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strike w:val="0"/>
          <w:dstrike w:val="0"/>
          <w:color w:val="auto"/>
          <w:sz w:val="24"/>
          <w:szCs w:val="20"/>
          <w:highlight w:val="none"/>
          <w:lang w:val="zh-CN"/>
        </w:rPr>
        <w:id w:val="599453903"/>
        <w:docPartObj>
          <w:docPartGallery w:val="Table of Contents"/>
          <w:docPartUnique/>
        </w:docPartObj>
      </w:sdtPr>
      <w:sdtEndPr>
        <w:rPr>
          <w:rFonts w:ascii="Times New Roman" w:hAnsi="Times New Roman" w:eastAsia="宋体" w:cs="Times New Roman"/>
          <w:b/>
          <w:bCs/>
          <w:strike w:val="0"/>
          <w:dstrike w:val="0"/>
          <w:color w:val="auto"/>
          <w:sz w:val="24"/>
          <w:szCs w:val="20"/>
          <w:highlight w:val="none"/>
          <w:lang w:val="zh-CN"/>
        </w:rPr>
      </w:sdtEndPr>
      <w:sdtContent>
        <w:p w14:paraId="4FAA9B30">
          <w:pPr>
            <w:pStyle w:val="170"/>
            <w:jc w:val="center"/>
            <w:rPr>
              <w:rFonts w:ascii="Times New Roman" w:hAnsi="Times New Roman" w:eastAsia="宋体"/>
              <w:strike w:val="0"/>
              <w:dstrike w:val="0"/>
              <w:color w:val="auto"/>
              <w:highlight w:val="none"/>
            </w:rPr>
          </w:pPr>
          <w:bookmarkStart w:id="481" w:name="_GoBack"/>
          <w:r>
            <w:rPr>
              <w:rFonts w:ascii="Times New Roman" w:hAnsi="Times New Roman" w:eastAsia="宋体"/>
              <w:strike w:val="0"/>
              <w:dstrike w:val="0"/>
              <w:color w:val="auto"/>
              <w:highlight w:val="none"/>
              <w:lang w:val="zh-CN"/>
            </w:rPr>
            <w:t>目录</w:t>
          </w:r>
        </w:p>
        <w:p w14:paraId="680EDF1D">
          <w:pPr>
            <w:pStyle w:val="27"/>
            <w:tabs>
              <w:tab w:val="right" w:leader="dot" w:pos="8306"/>
              <w:tab w:val="clear" w:pos="8296"/>
            </w:tabs>
            <w:rPr>
              <w:rFonts w:ascii="Times New Roman" w:hAnsi="Times New Roman" w:eastAsia="宋体"/>
              <w:color w:val="auto"/>
            </w:rPr>
          </w:pPr>
          <w:r>
            <w:rPr>
              <w:rFonts w:ascii="Times New Roman" w:hAnsi="Times New Roman" w:eastAsia="宋体"/>
              <w:bCs w:val="0"/>
              <w:strike w:val="0"/>
              <w:dstrike w:val="0"/>
              <w:color w:val="auto"/>
              <w:highlight w:val="none"/>
            </w:rPr>
            <w:fldChar w:fldCharType="begin"/>
          </w:r>
          <w:r>
            <w:rPr>
              <w:rFonts w:ascii="Times New Roman" w:hAnsi="Times New Roman" w:eastAsia="宋体"/>
              <w:strike w:val="0"/>
              <w:dstrike w:val="0"/>
              <w:color w:val="auto"/>
              <w:highlight w:val="none"/>
            </w:rPr>
            <w:instrText xml:space="preserve"> TOC \o "1-3" \h \z \u </w:instrText>
          </w:r>
          <w:r>
            <w:rPr>
              <w:rFonts w:ascii="Times New Roman" w:hAnsi="Times New Roman" w:eastAsia="宋体"/>
              <w:bCs w:val="0"/>
              <w:strike w:val="0"/>
              <w:dstrike w:val="0"/>
              <w:color w:val="auto"/>
              <w:highlight w:val="none"/>
            </w:rPr>
            <w:fldChar w:fldCharType="separate"/>
          </w:r>
          <w:r>
            <w:rPr>
              <w:rFonts w:ascii="Times New Roman" w:hAnsi="Times New Roman" w:eastAsia="宋体"/>
              <w:bCs w:val="0"/>
              <w:strike w:val="0"/>
              <w:dstrike w:val="0"/>
              <w:color w:val="auto"/>
              <w:highlight w:val="none"/>
            </w:rPr>
            <w:fldChar w:fldCharType="begin"/>
          </w:r>
          <w:r>
            <w:rPr>
              <w:rFonts w:ascii="Times New Roman" w:hAnsi="Times New Roman" w:eastAsia="宋体"/>
              <w:bCs w:val="0"/>
              <w:strike w:val="0"/>
              <w:dstrike w:val="0"/>
              <w:color w:val="auto"/>
              <w:highlight w:val="none"/>
            </w:rPr>
            <w:instrText xml:space="preserve"> HYPERLINK \l _Toc10540 </w:instrText>
          </w:r>
          <w:r>
            <w:rPr>
              <w:rFonts w:ascii="Times New Roman" w:hAnsi="Times New Roman" w:eastAsia="宋体"/>
              <w:bCs w:val="0"/>
              <w:strike w:val="0"/>
              <w:dstrike w:val="0"/>
              <w:color w:val="auto"/>
              <w:highlight w:val="none"/>
            </w:rPr>
            <w:fldChar w:fldCharType="separate"/>
          </w:r>
          <w:r>
            <w:rPr>
              <w:rFonts w:hint="eastAsia" w:ascii="Times New Roman" w:hAnsi="Times New Roman" w:eastAsia="宋体"/>
              <w:strike w:val="0"/>
              <w:dstrike w:val="0"/>
              <w:color w:val="auto"/>
              <w:highlight w:val="none"/>
            </w:rPr>
            <w:t>1建设项目概况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_Toc10540 \h </w:instrText>
          </w:r>
          <w:r>
            <w:rPr>
              <w:rFonts w:ascii="Times New Roman" w:hAnsi="Times New Roman" w:eastAsia="宋体"/>
              <w:color w:val="auto"/>
            </w:rPr>
            <w:fldChar w:fldCharType="separate"/>
          </w:r>
          <w:r>
            <w:rPr>
              <w:rFonts w:ascii="Times New Roman" w:hAnsi="Times New Roman" w:eastAsia="宋体"/>
              <w:color w:val="auto"/>
            </w:rPr>
            <w:t>1</w:t>
          </w:r>
          <w:r>
            <w:rPr>
              <w:rFonts w:ascii="Times New Roman" w:hAnsi="Times New Roman" w:eastAsia="宋体"/>
              <w:color w:val="auto"/>
            </w:rPr>
            <w:fldChar w:fldCharType="end"/>
          </w:r>
          <w:r>
            <w:rPr>
              <w:rFonts w:ascii="Times New Roman" w:hAnsi="Times New Roman" w:eastAsia="宋体"/>
              <w:bCs w:val="0"/>
              <w:strike w:val="0"/>
              <w:dstrike w:val="0"/>
              <w:color w:val="auto"/>
              <w:highlight w:val="none"/>
            </w:rPr>
            <w:fldChar w:fldCharType="end"/>
          </w:r>
        </w:p>
        <w:p w14:paraId="7899DB5B">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_Toc20496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1.1项目实施背景</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_Toc20496 \h </w:instrText>
          </w:r>
          <w:r>
            <w:rPr>
              <w:rFonts w:ascii="Times New Roman" w:hAnsi="Times New Roman" w:eastAsia="宋体"/>
              <w:color w:val="auto"/>
            </w:rPr>
            <w:fldChar w:fldCharType="separate"/>
          </w:r>
          <w:r>
            <w:rPr>
              <w:rFonts w:ascii="Times New Roman" w:hAnsi="Times New Roman" w:eastAsia="宋体"/>
              <w:color w:val="auto"/>
            </w:rPr>
            <w:t>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3EE6C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_Toc1741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1.2环评工作过程</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_Toc1741 \h </w:instrText>
          </w:r>
          <w:r>
            <w:rPr>
              <w:rFonts w:ascii="Times New Roman" w:hAnsi="Times New Roman" w:eastAsia="宋体"/>
              <w:color w:val="auto"/>
            </w:rPr>
            <w:fldChar w:fldCharType="separate"/>
          </w:r>
          <w:r>
            <w:rPr>
              <w:rFonts w:ascii="Times New Roman" w:hAnsi="Times New Roman" w:eastAsia="宋体"/>
              <w:color w:val="auto"/>
            </w:rPr>
            <w:t>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C1A6B2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_Toc8140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1.3分析判定相关情况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_Toc8140 \h </w:instrText>
          </w:r>
          <w:r>
            <w:rPr>
              <w:rFonts w:ascii="Times New Roman" w:hAnsi="Times New Roman" w:eastAsia="宋体"/>
              <w:color w:val="auto"/>
            </w:rPr>
            <w:fldChar w:fldCharType="separate"/>
          </w:r>
          <w:r>
            <w:rPr>
              <w:rFonts w:ascii="Times New Roman" w:hAnsi="Times New Roman" w:eastAsia="宋体"/>
              <w:color w:val="auto"/>
            </w:rPr>
            <w:t>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562B7F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_Toc7905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1.3.1产业政策相符性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_Toc7905 \h </w:instrText>
          </w:r>
          <w:r>
            <w:rPr>
              <w:rFonts w:ascii="Times New Roman" w:hAnsi="Times New Roman" w:eastAsia="宋体"/>
              <w:color w:val="auto"/>
            </w:rPr>
            <w:fldChar w:fldCharType="separate"/>
          </w:r>
          <w:r>
            <w:rPr>
              <w:rFonts w:ascii="Times New Roman" w:hAnsi="Times New Roman" w:eastAsia="宋体"/>
              <w:color w:val="auto"/>
            </w:rPr>
            <w:t>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290981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_Toc32348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1.3.2规划符合性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_Toc32348 \h </w:instrText>
          </w:r>
          <w:r>
            <w:rPr>
              <w:rFonts w:ascii="Times New Roman" w:hAnsi="Times New Roman" w:eastAsia="宋体"/>
              <w:color w:val="auto"/>
            </w:rPr>
            <w:fldChar w:fldCharType="separate"/>
          </w:r>
          <w:r>
            <w:rPr>
              <w:rFonts w:ascii="Times New Roman" w:hAnsi="Times New Roman" w:eastAsia="宋体"/>
              <w:color w:val="auto"/>
            </w:rPr>
            <w:t>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282F1E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_Toc22764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val="en-US" w:eastAsia="zh-CN"/>
            </w:rPr>
            <w:t>3 生态环境分区管控要求</w:t>
          </w:r>
          <w:r>
            <w:rPr>
              <w:rFonts w:hint="eastAsia" w:ascii="Times New Roman" w:hAnsi="Times New Roman" w:eastAsia="宋体"/>
              <w:strike w:val="0"/>
              <w:dstrike w:val="0"/>
              <w:color w:val="auto"/>
              <w:highlight w:val="none"/>
            </w:rPr>
            <w:t>符合性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_Toc22764 \h </w:instrText>
          </w:r>
          <w:r>
            <w:rPr>
              <w:rFonts w:ascii="Times New Roman" w:hAnsi="Times New Roman" w:eastAsia="宋体"/>
              <w:color w:val="auto"/>
            </w:rPr>
            <w:fldChar w:fldCharType="separate"/>
          </w:r>
          <w:r>
            <w:rPr>
              <w:rFonts w:ascii="Times New Roman" w:hAnsi="Times New Roman" w:eastAsia="宋体"/>
              <w:color w:val="auto"/>
            </w:rPr>
            <w:t>12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D35EE5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_Toc28838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cs="Times New Roman"/>
              <w:strike w:val="0"/>
              <w:dstrike w:val="0"/>
              <w:color w:val="auto"/>
              <w:highlight w:val="none"/>
            </w:rPr>
            <w:t>1.3.</w:t>
          </w:r>
          <w:r>
            <w:rPr>
              <w:rFonts w:hint="eastAsia" w:ascii="Times New Roman" w:hAnsi="Times New Roman" w:eastAsia="宋体" w:cs="Times New Roman"/>
              <w:strike w:val="0"/>
              <w:dstrike w:val="0"/>
              <w:color w:val="auto"/>
              <w:highlight w:val="none"/>
              <w:lang w:val="en-US" w:eastAsia="zh-CN"/>
            </w:rPr>
            <w:t>4</w:t>
          </w:r>
          <w:r>
            <w:rPr>
              <w:rFonts w:hint="eastAsia" w:ascii="Times New Roman" w:hAnsi="Times New Roman" w:eastAsia="宋体" w:cs="Times New Roman"/>
              <w:strike w:val="0"/>
              <w:dstrike w:val="0"/>
              <w:color w:val="auto"/>
              <w:highlight w:val="none"/>
            </w:rPr>
            <w:t>选址合理性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_Toc28838 \h </w:instrText>
          </w:r>
          <w:r>
            <w:rPr>
              <w:rFonts w:ascii="Times New Roman" w:hAnsi="Times New Roman" w:eastAsia="宋体"/>
              <w:color w:val="auto"/>
            </w:rPr>
            <w:fldChar w:fldCharType="separate"/>
          </w:r>
          <w:r>
            <w:rPr>
              <w:rFonts w:ascii="Times New Roman" w:hAnsi="Times New Roman" w:eastAsia="宋体"/>
              <w:color w:val="auto"/>
            </w:rPr>
            <w:t>15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5C9583">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_Toc15337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1.4关注的主要环境问题</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_Toc15337 \h </w:instrText>
          </w:r>
          <w:r>
            <w:rPr>
              <w:rFonts w:ascii="Times New Roman" w:hAnsi="Times New Roman" w:eastAsia="宋体"/>
              <w:color w:val="auto"/>
            </w:rPr>
            <w:fldChar w:fldCharType="separate"/>
          </w:r>
          <w:r>
            <w:rPr>
              <w:rFonts w:ascii="Times New Roman" w:hAnsi="Times New Roman" w:eastAsia="宋体"/>
              <w:color w:val="auto"/>
            </w:rPr>
            <w:t>16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242428">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_Toc18623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1.5环评报告书的主要结论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_Toc18623 \h </w:instrText>
          </w:r>
          <w:r>
            <w:rPr>
              <w:rFonts w:ascii="Times New Roman" w:hAnsi="Times New Roman" w:eastAsia="宋体"/>
              <w:color w:val="auto"/>
            </w:rPr>
            <w:fldChar w:fldCharType="separate"/>
          </w:r>
          <w:r>
            <w:rPr>
              <w:rFonts w:ascii="Times New Roman" w:hAnsi="Times New Roman" w:eastAsia="宋体"/>
              <w:color w:val="auto"/>
            </w:rPr>
            <w:t>17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3B0DBAC">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_Toc9363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2、总论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_Toc9363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FBF3EF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_Toc24450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2.1编制依据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_Toc24450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9CF86E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_Toc801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2.1.1国家法律、法规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_Toc801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23F01E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_Toc7153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2.1.2部门规章</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_Toc7153 \h </w:instrText>
          </w:r>
          <w:r>
            <w:rPr>
              <w:rFonts w:ascii="Times New Roman" w:hAnsi="Times New Roman" w:eastAsia="宋体"/>
              <w:color w:val="auto"/>
            </w:rPr>
            <w:fldChar w:fldCharType="separate"/>
          </w:r>
          <w:r>
            <w:rPr>
              <w:rFonts w:ascii="Times New Roman" w:hAnsi="Times New Roman" w:eastAsia="宋体"/>
              <w:color w:val="auto"/>
            </w:rPr>
            <w:t>18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5D42B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2.1.3地方法规及政策</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_Toc936 \h </w:instrText>
          </w:r>
          <w:r>
            <w:rPr>
              <w:rFonts w:ascii="Times New Roman" w:hAnsi="Times New Roman" w:eastAsia="宋体"/>
              <w:color w:val="auto"/>
            </w:rPr>
            <w:fldChar w:fldCharType="separate"/>
          </w:r>
          <w:r>
            <w:rPr>
              <w:rFonts w:ascii="Times New Roman" w:hAnsi="Times New Roman" w:eastAsia="宋体"/>
              <w:color w:val="auto"/>
            </w:rPr>
            <w:t>20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11D3A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_Toc15998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2.1.4相关规划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_Toc15998 \h </w:instrText>
          </w:r>
          <w:r>
            <w:rPr>
              <w:rFonts w:ascii="Times New Roman" w:hAnsi="Times New Roman" w:eastAsia="宋体"/>
              <w:color w:val="auto"/>
            </w:rPr>
            <w:fldChar w:fldCharType="separate"/>
          </w:r>
          <w:r>
            <w:rPr>
              <w:rFonts w:ascii="Times New Roman" w:hAnsi="Times New Roman" w:eastAsia="宋体"/>
              <w:color w:val="auto"/>
            </w:rPr>
            <w:t>21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0D546E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_Toc24253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2.1.5环评编制要求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_Toc24253 \h </w:instrText>
          </w:r>
          <w:r>
            <w:rPr>
              <w:rFonts w:ascii="Times New Roman" w:hAnsi="Times New Roman" w:eastAsia="宋体"/>
              <w:color w:val="auto"/>
            </w:rPr>
            <w:fldChar w:fldCharType="separate"/>
          </w:r>
          <w:r>
            <w:rPr>
              <w:rFonts w:ascii="Times New Roman" w:hAnsi="Times New Roman" w:eastAsia="宋体"/>
              <w:color w:val="auto"/>
            </w:rPr>
            <w:t>21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30D46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_Toc22442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2.1.6技术导则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_Toc22442 \h </w:instrText>
          </w:r>
          <w:r>
            <w:rPr>
              <w:rFonts w:ascii="Times New Roman" w:hAnsi="Times New Roman" w:eastAsia="宋体"/>
              <w:color w:val="auto"/>
            </w:rPr>
            <w:fldChar w:fldCharType="separate"/>
          </w:r>
          <w:r>
            <w:rPr>
              <w:rFonts w:ascii="Times New Roman" w:hAnsi="Times New Roman" w:eastAsia="宋体"/>
              <w:color w:val="auto"/>
            </w:rPr>
            <w:t>21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FE0057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_Toc15384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2.1.7项目有关文件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_Toc15384 \h </w:instrText>
          </w:r>
          <w:r>
            <w:rPr>
              <w:rFonts w:ascii="Times New Roman" w:hAnsi="Times New Roman" w:eastAsia="宋体"/>
              <w:color w:val="auto"/>
            </w:rPr>
            <w:fldChar w:fldCharType="separate"/>
          </w:r>
          <w:r>
            <w:rPr>
              <w:rFonts w:ascii="Times New Roman" w:hAnsi="Times New Roman" w:eastAsia="宋体"/>
              <w:color w:val="auto"/>
            </w:rPr>
            <w:t>22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ECD29D6">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_Toc19617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2.2评价目的和原则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_Toc19617 \h </w:instrText>
          </w:r>
          <w:r>
            <w:rPr>
              <w:rFonts w:ascii="Times New Roman" w:hAnsi="Times New Roman" w:eastAsia="宋体"/>
              <w:color w:val="auto"/>
            </w:rPr>
            <w:fldChar w:fldCharType="separate"/>
          </w:r>
          <w:r>
            <w:rPr>
              <w:rFonts w:ascii="Times New Roman" w:hAnsi="Times New Roman" w:eastAsia="宋体"/>
              <w:color w:val="auto"/>
            </w:rPr>
            <w:t>22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087778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_Toc7994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2.2.1评价目的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_Toc7994 \h </w:instrText>
          </w:r>
          <w:r>
            <w:rPr>
              <w:rFonts w:ascii="Times New Roman" w:hAnsi="Times New Roman" w:eastAsia="宋体"/>
              <w:color w:val="auto"/>
            </w:rPr>
            <w:fldChar w:fldCharType="separate"/>
          </w:r>
          <w:r>
            <w:rPr>
              <w:rFonts w:ascii="Times New Roman" w:hAnsi="Times New Roman" w:eastAsia="宋体"/>
              <w:color w:val="auto"/>
            </w:rPr>
            <w:t>22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C2318C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_Toc8639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2.2.2评价原则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_Toc8639 \h </w:instrText>
          </w:r>
          <w:r>
            <w:rPr>
              <w:rFonts w:ascii="Times New Roman" w:hAnsi="Times New Roman" w:eastAsia="宋体"/>
              <w:color w:val="auto"/>
            </w:rPr>
            <w:fldChar w:fldCharType="separate"/>
          </w:r>
          <w:r>
            <w:rPr>
              <w:rFonts w:ascii="Times New Roman" w:hAnsi="Times New Roman" w:eastAsia="宋体"/>
              <w:color w:val="auto"/>
            </w:rPr>
            <w:t>23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FB2FE5">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_Toc22126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2.3评价内容及评价重点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_Toc22126 \h </w:instrText>
          </w:r>
          <w:r>
            <w:rPr>
              <w:rFonts w:ascii="Times New Roman" w:hAnsi="Times New Roman" w:eastAsia="宋体"/>
              <w:color w:val="auto"/>
            </w:rPr>
            <w:fldChar w:fldCharType="separate"/>
          </w:r>
          <w:r>
            <w:rPr>
              <w:rFonts w:ascii="Times New Roman" w:hAnsi="Times New Roman" w:eastAsia="宋体"/>
              <w:color w:val="auto"/>
            </w:rPr>
            <w:t>23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C726F1F">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_Toc16924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2.3.1评价内容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_Toc16924 \h </w:instrText>
          </w:r>
          <w:r>
            <w:rPr>
              <w:rFonts w:ascii="Times New Roman" w:hAnsi="Times New Roman" w:eastAsia="宋体"/>
              <w:color w:val="auto"/>
            </w:rPr>
            <w:fldChar w:fldCharType="separate"/>
          </w:r>
          <w:r>
            <w:rPr>
              <w:rFonts w:ascii="Times New Roman" w:hAnsi="Times New Roman" w:eastAsia="宋体"/>
              <w:color w:val="auto"/>
            </w:rPr>
            <w:t>23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4EDF5D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_Toc26261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2.3.2评价重点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_Toc26261 \h </w:instrText>
          </w:r>
          <w:r>
            <w:rPr>
              <w:rFonts w:ascii="Times New Roman" w:hAnsi="Times New Roman" w:eastAsia="宋体"/>
              <w:color w:val="auto"/>
            </w:rPr>
            <w:fldChar w:fldCharType="separate"/>
          </w:r>
          <w:r>
            <w:rPr>
              <w:rFonts w:ascii="Times New Roman" w:hAnsi="Times New Roman" w:eastAsia="宋体"/>
              <w:color w:val="auto"/>
            </w:rPr>
            <w:t>24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024B422">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_Toc29838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2.4评价因子识别与筛选</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_Toc29838 \h </w:instrText>
          </w:r>
          <w:r>
            <w:rPr>
              <w:rFonts w:ascii="Times New Roman" w:hAnsi="Times New Roman" w:eastAsia="宋体"/>
              <w:color w:val="auto"/>
            </w:rPr>
            <w:fldChar w:fldCharType="separate"/>
          </w:r>
          <w:r>
            <w:rPr>
              <w:rFonts w:ascii="Times New Roman" w:hAnsi="Times New Roman" w:eastAsia="宋体"/>
              <w:color w:val="auto"/>
            </w:rPr>
            <w:t>24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C3FB98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_Toc676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2.4.1影响因素识别</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_Toc676 \h </w:instrText>
          </w:r>
          <w:r>
            <w:rPr>
              <w:rFonts w:ascii="Times New Roman" w:hAnsi="Times New Roman" w:eastAsia="宋体"/>
              <w:color w:val="auto"/>
            </w:rPr>
            <w:fldChar w:fldCharType="separate"/>
          </w:r>
          <w:r>
            <w:rPr>
              <w:rFonts w:ascii="Times New Roman" w:hAnsi="Times New Roman" w:eastAsia="宋体"/>
              <w:color w:val="auto"/>
            </w:rPr>
            <w:t>25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C59294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_Toc29135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2.4.2评价因子筛选</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_Toc29135 \h </w:instrText>
          </w:r>
          <w:r>
            <w:rPr>
              <w:rFonts w:ascii="Times New Roman" w:hAnsi="Times New Roman" w:eastAsia="宋体"/>
              <w:color w:val="auto"/>
            </w:rPr>
            <w:fldChar w:fldCharType="separate"/>
          </w:r>
          <w:r>
            <w:rPr>
              <w:rFonts w:ascii="Times New Roman" w:hAnsi="Times New Roman" w:eastAsia="宋体"/>
              <w:color w:val="auto"/>
            </w:rPr>
            <w:t>25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C6795A2">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_Toc21435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2.5环境功能区划及评价标准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_Toc21435 \h </w:instrText>
          </w:r>
          <w:r>
            <w:rPr>
              <w:rFonts w:ascii="Times New Roman" w:hAnsi="Times New Roman" w:eastAsia="宋体"/>
              <w:color w:val="auto"/>
            </w:rPr>
            <w:fldChar w:fldCharType="separate"/>
          </w:r>
          <w:r>
            <w:rPr>
              <w:rFonts w:ascii="Times New Roman" w:hAnsi="Times New Roman" w:eastAsia="宋体"/>
              <w:color w:val="auto"/>
            </w:rPr>
            <w:t>26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18519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_Toc27805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2.5.1环境功能区划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_Toc27805 \h </w:instrText>
          </w:r>
          <w:r>
            <w:rPr>
              <w:rFonts w:ascii="Times New Roman" w:hAnsi="Times New Roman" w:eastAsia="宋体"/>
              <w:color w:val="auto"/>
            </w:rPr>
            <w:fldChar w:fldCharType="separate"/>
          </w:r>
          <w:r>
            <w:rPr>
              <w:rFonts w:ascii="Times New Roman" w:hAnsi="Times New Roman" w:eastAsia="宋体"/>
              <w:color w:val="auto"/>
            </w:rPr>
            <w:t>26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F49EF8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_Toc16184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2.5.2评价标准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_Toc16184 \h </w:instrText>
          </w:r>
          <w:r>
            <w:rPr>
              <w:rFonts w:ascii="Times New Roman" w:hAnsi="Times New Roman" w:eastAsia="宋体"/>
              <w:color w:val="auto"/>
            </w:rPr>
            <w:fldChar w:fldCharType="separate"/>
          </w:r>
          <w:r>
            <w:rPr>
              <w:rFonts w:ascii="Times New Roman" w:hAnsi="Times New Roman" w:eastAsia="宋体"/>
              <w:color w:val="auto"/>
            </w:rPr>
            <w:t>27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1B0C2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_Toc9231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2.6评价等级及评价范围</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_Toc9231 \h </w:instrText>
          </w:r>
          <w:r>
            <w:rPr>
              <w:rFonts w:ascii="Times New Roman" w:hAnsi="Times New Roman" w:eastAsia="宋体"/>
              <w:color w:val="auto"/>
            </w:rPr>
            <w:fldChar w:fldCharType="separate"/>
          </w:r>
          <w:r>
            <w:rPr>
              <w:rFonts w:ascii="Times New Roman" w:hAnsi="Times New Roman" w:eastAsia="宋体"/>
              <w:color w:val="auto"/>
            </w:rPr>
            <w:t>30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80EB3F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_Toc576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2.6.1评价等级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_Toc576 \h </w:instrText>
          </w:r>
          <w:r>
            <w:rPr>
              <w:rFonts w:ascii="Times New Roman" w:hAnsi="Times New Roman" w:eastAsia="宋体"/>
              <w:color w:val="auto"/>
            </w:rPr>
            <w:fldChar w:fldCharType="separate"/>
          </w:r>
          <w:r>
            <w:rPr>
              <w:rFonts w:ascii="Times New Roman" w:hAnsi="Times New Roman" w:eastAsia="宋体"/>
              <w:color w:val="auto"/>
            </w:rPr>
            <w:t>30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8C1CFD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_Toc6526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2.6.2评价范围</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_Toc6526 \h </w:instrText>
          </w:r>
          <w:r>
            <w:rPr>
              <w:rFonts w:ascii="Times New Roman" w:hAnsi="Times New Roman" w:eastAsia="宋体"/>
              <w:color w:val="auto"/>
            </w:rPr>
            <w:fldChar w:fldCharType="separate"/>
          </w:r>
          <w:r>
            <w:rPr>
              <w:rFonts w:ascii="Times New Roman" w:hAnsi="Times New Roman" w:eastAsia="宋体"/>
              <w:color w:val="auto"/>
            </w:rPr>
            <w:t>38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602DBED">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_Toc30339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2.7环境保护目标及敏感点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_Toc30339 \h </w:instrText>
          </w:r>
          <w:r>
            <w:rPr>
              <w:rFonts w:ascii="Times New Roman" w:hAnsi="Times New Roman" w:eastAsia="宋体"/>
              <w:color w:val="auto"/>
            </w:rPr>
            <w:fldChar w:fldCharType="separate"/>
          </w:r>
          <w:r>
            <w:rPr>
              <w:rFonts w:ascii="Times New Roman" w:hAnsi="Times New Roman" w:eastAsia="宋体"/>
              <w:color w:val="auto"/>
            </w:rPr>
            <w:t>39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7BEDE9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_Toc3751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选址合理性分析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_Toc3751 \h </w:instrText>
          </w:r>
          <w:r>
            <w:rPr>
              <w:rFonts w:ascii="Times New Roman" w:hAnsi="Times New Roman" w:eastAsia="宋体"/>
              <w:color w:val="auto"/>
            </w:rPr>
            <w:fldChar w:fldCharType="separate"/>
          </w:r>
          <w:r>
            <w:rPr>
              <w:rFonts w:ascii="Times New Roman" w:hAnsi="Times New Roman" w:eastAsia="宋体"/>
              <w:color w:val="auto"/>
            </w:rPr>
            <w:t>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437AEE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_Toc12883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.1选址合理性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_Toc12883 \h </w:instrText>
          </w:r>
          <w:r>
            <w:rPr>
              <w:rFonts w:ascii="Times New Roman" w:hAnsi="Times New Roman" w:eastAsia="宋体"/>
              <w:color w:val="auto"/>
            </w:rPr>
            <w:fldChar w:fldCharType="separate"/>
          </w:r>
          <w:r>
            <w:rPr>
              <w:rFonts w:ascii="Times New Roman" w:hAnsi="Times New Roman" w:eastAsia="宋体"/>
              <w:color w:val="auto"/>
            </w:rPr>
            <w:t>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3E2B7CF">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_Toc22006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.2环境容量</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_Toc22006 \h </w:instrText>
          </w:r>
          <w:r>
            <w:rPr>
              <w:rFonts w:ascii="Times New Roman" w:hAnsi="Times New Roman" w:eastAsia="宋体"/>
              <w:color w:val="auto"/>
            </w:rPr>
            <w:fldChar w:fldCharType="separate"/>
          </w:r>
          <w:r>
            <w:rPr>
              <w:rFonts w:ascii="Times New Roman" w:hAnsi="Times New Roman" w:eastAsia="宋体"/>
              <w:color w:val="auto"/>
            </w:rPr>
            <w:t>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956DEA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_Toc1607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.3区域主导风向及防护距离</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_Toc1607 \h </w:instrText>
          </w:r>
          <w:r>
            <w:rPr>
              <w:rFonts w:ascii="Times New Roman" w:hAnsi="Times New Roman" w:eastAsia="宋体"/>
              <w:color w:val="auto"/>
            </w:rPr>
            <w:fldChar w:fldCharType="separate"/>
          </w:r>
          <w:r>
            <w:rPr>
              <w:rFonts w:ascii="Times New Roman" w:hAnsi="Times New Roman" w:eastAsia="宋体"/>
              <w:color w:val="auto"/>
            </w:rPr>
            <w:t>41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5792E2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_Toc3612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.4环境敏感性分析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_Toc3612 \h </w:instrText>
          </w:r>
          <w:r>
            <w:rPr>
              <w:rFonts w:ascii="Times New Roman" w:hAnsi="Times New Roman" w:eastAsia="宋体"/>
              <w:color w:val="auto"/>
            </w:rPr>
            <w:fldChar w:fldCharType="separate"/>
          </w:r>
          <w:r>
            <w:rPr>
              <w:rFonts w:ascii="Times New Roman" w:hAnsi="Times New Roman" w:eastAsia="宋体"/>
              <w:color w:val="auto"/>
            </w:rPr>
            <w:t>41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423788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_Toc11506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.5小结</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_Toc11506 \h </w:instrText>
          </w:r>
          <w:r>
            <w:rPr>
              <w:rFonts w:ascii="Times New Roman" w:hAnsi="Times New Roman" w:eastAsia="宋体"/>
              <w:color w:val="auto"/>
            </w:rPr>
            <w:fldChar w:fldCharType="separate"/>
          </w:r>
          <w:r>
            <w:rPr>
              <w:rFonts w:ascii="Times New Roman" w:hAnsi="Times New Roman" w:eastAsia="宋体"/>
              <w:color w:val="auto"/>
            </w:rPr>
            <w:t>41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4A7A67E">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_Toc27486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3、工程分析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_Toc27486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E936C6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_Toc25991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3.1工程概况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_Toc25991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84DC49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_Toc1078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3.1.1项目基本情况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_Toc1078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B35894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_Toc14426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3.1.2主要建设内容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_Toc14426 \h </w:instrText>
          </w:r>
          <w:r>
            <w:rPr>
              <w:rFonts w:ascii="Times New Roman" w:hAnsi="Times New Roman" w:eastAsia="宋体"/>
              <w:color w:val="auto"/>
            </w:rPr>
            <w:fldChar w:fldCharType="separate"/>
          </w:r>
          <w:r>
            <w:rPr>
              <w:rFonts w:ascii="Times New Roman" w:hAnsi="Times New Roman" w:eastAsia="宋体"/>
              <w:color w:val="auto"/>
            </w:rPr>
            <w:t>43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ABC867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_Toc1096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3.1.3主要原辅材料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_Toc1096 \h </w:instrText>
          </w:r>
          <w:r>
            <w:rPr>
              <w:rFonts w:ascii="Times New Roman" w:hAnsi="Times New Roman" w:eastAsia="宋体"/>
              <w:color w:val="auto"/>
            </w:rPr>
            <w:fldChar w:fldCharType="separate"/>
          </w:r>
          <w:r>
            <w:rPr>
              <w:rFonts w:ascii="Times New Roman" w:hAnsi="Times New Roman" w:eastAsia="宋体"/>
              <w:color w:val="auto"/>
            </w:rPr>
            <w:t>44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BA3728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_Toc23707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平面布置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_Toc23707 \h </w:instrText>
          </w:r>
          <w:r>
            <w:rPr>
              <w:rFonts w:ascii="Times New Roman" w:hAnsi="Times New Roman" w:eastAsia="宋体"/>
              <w:color w:val="auto"/>
            </w:rPr>
            <w:fldChar w:fldCharType="separate"/>
          </w:r>
          <w:r>
            <w:rPr>
              <w:rFonts w:ascii="Times New Roman" w:hAnsi="Times New Roman" w:eastAsia="宋体"/>
              <w:color w:val="auto"/>
            </w:rPr>
            <w:t>45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5AD19A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_Toc32699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公用工程</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_Toc32699 \h </w:instrText>
          </w:r>
          <w:r>
            <w:rPr>
              <w:rFonts w:ascii="Times New Roman" w:hAnsi="Times New Roman" w:eastAsia="宋体"/>
              <w:color w:val="auto"/>
            </w:rPr>
            <w:fldChar w:fldCharType="separate"/>
          </w:r>
          <w:r>
            <w:rPr>
              <w:rFonts w:ascii="Times New Roman" w:hAnsi="Times New Roman" w:eastAsia="宋体"/>
              <w:color w:val="auto"/>
            </w:rPr>
            <w:t>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72DDE92">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_Toc12482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3.2</w:t>
          </w:r>
          <w:r>
            <w:rPr>
              <w:rFonts w:hint="eastAsia" w:ascii="Times New Roman" w:hAnsi="Times New Roman" w:eastAsia="宋体"/>
              <w:strike w:val="0"/>
              <w:dstrike w:val="0"/>
              <w:color w:val="auto"/>
              <w:highlight w:val="none"/>
            </w:rPr>
            <w:t>生产工艺流程</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_Toc12482 \h </w:instrText>
          </w:r>
          <w:r>
            <w:rPr>
              <w:rFonts w:ascii="Times New Roman" w:hAnsi="Times New Roman" w:eastAsia="宋体"/>
              <w:color w:val="auto"/>
            </w:rPr>
            <w:fldChar w:fldCharType="separate"/>
          </w:r>
          <w:r>
            <w:rPr>
              <w:rFonts w:ascii="Times New Roman" w:hAnsi="Times New Roman" w:eastAsia="宋体"/>
              <w:color w:val="auto"/>
            </w:rPr>
            <w:t>49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3C00A5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_Toc12902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3.2.1</w:t>
          </w:r>
          <w:r>
            <w:rPr>
              <w:rFonts w:hint="eastAsia" w:ascii="Times New Roman" w:hAnsi="Times New Roman" w:eastAsia="宋体"/>
              <w:strike w:val="0"/>
              <w:dstrike w:val="0"/>
              <w:color w:val="auto"/>
              <w:highlight w:val="none"/>
            </w:rPr>
            <w:t>施工期工艺流程及产污节点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_Toc12902 \h </w:instrText>
          </w:r>
          <w:r>
            <w:rPr>
              <w:rFonts w:ascii="Times New Roman" w:hAnsi="Times New Roman" w:eastAsia="宋体"/>
              <w:color w:val="auto"/>
            </w:rPr>
            <w:fldChar w:fldCharType="separate"/>
          </w:r>
          <w:r>
            <w:rPr>
              <w:rFonts w:ascii="Times New Roman" w:hAnsi="Times New Roman" w:eastAsia="宋体"/>
              <w:color w:val="auto"/>
            </w:rPr>
            <w:t>49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E8D206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_Toc899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3.2.2运营期工艺流程及产污节点</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_Toc899 \h </w:instrText>
          </w:r>
          <w:r>
            <w:rPr>
              <w:rFonts w:ascii="Times New Roman" w:hAnsi="Times New Roman" w:eastAsia="宋体"/>
              <w:color w:val="auto"/>
            </w:rPr>
            <w:fldChar w:fldCharType="separate"/>
          </w:r>
          <w:r>
            <w:rPr>
              <w:rFonts w:ascii="Times New Roman" w:hAnsi="Times New Roman" w:eastAsia="宋体"/>
              <w:color w:val="auto"/>
            </w:rPr>
            <w:t>50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9003AC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_Toc4478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3污染源源强分析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_Toc4478 \h </w:instrText>
          </w:r>
          <w:r>
            <w:rPr>
              <w:rFonts w:ascii="Times New Roman" w:hAnsi="Times New Roman" w:eastAsia="宋体"/>
              <w:color w:val="auto"/>
            </w:rPr>
            <w:fldChar w:fldCharType="separate"/>
          </w:r>
          <w:r>
            <w:rPr>
              <w:rFonts w:ascii="Times New Roman" w:hAnsi="Times New Roman" w:eastAsia="宋体"/>
              <w:color w:val="auto"/>
            </w:rPr>
            <w:t>56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B431C3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_Toc6472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.1施工期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_Toc6472 \h </w:instrText>
          </w:r>
          <w:r>
            <w:rPr>
              <w:rFonts w:ascii="Times New Roman" w:hAnsi="Times New Roman" w:eastAsia="宋体"/>
              <w:color w:val="auto"/>
            </w:rPr>
            <w:fldChar w:fldCharType="separate"/>
          </w:r>
          <w:r>
            <w:rPr>
              <w:rFonts w:ascii="Times New Roman" w:hAnsi="Times New Roman" w:eastAsia="宋体"/>
              <w:color w:val="auto"/>
            </w:rPr>
            <w:t>56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74299A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_Toc2984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.2运营期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_Toc2984 \h </w:instrText>
          </w:r>
          <w:r>
            <w:rPr>
              <w:rFonts w:ascii="Times New Roman" w:hAnsi="Times New Roman" w:eastAsia="宋体"/>
              <w:color w:val="auto"/>
            </w:rPr>
            <w:fldChar w:fldCharType="separate"/>
          </w:r>
          <w:r>
            <w:rPr>
              <w:rFonts w:ascii="Times New Roman" w:hAnsi="Times New Roman" w:eastAsia="宋体"/>
              <w:color w:val="auto"/>
            </w:rPr>
            <w:t>59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E057564">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_Toc31356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排放</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_Toc31356 \h </w:instrText>
          </w:r>
          <w:r>
            <w:rPr>
              <w:rFonts w:ascii="Times New Roman" w:hAnsi="Times New Roman" w:eastAsia="宋体"/>
              <w:color w:val="auto"/>
            </w:rPr>
            <w:fldChar w:fldCharType="separate"/>
          </w:r>
          <w:r>
            <w:rPr>
              <w:rFonts w:ascii="Times New Roman" w:hAnsi="Times New Roman" w:eastAsia="宋体"/>
              <w:color w:val="auto"/>
            </w:rPr>
            <w:t>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5F921A">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_Toc29336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3.5总量控制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_Toc29336 \h </w:instrText>
          </w:r>
          <w:r>
            <w:rPr>
              <w:rFonts w:ascii="Times New Roman" w:hAnsi="Times New Roman" w:eastAsia="宋体"/>
              <w:color w:val="auto"/>
            </w:rPr>
            <w:fldChar w:fldCharType="separate"/>
          </w:r>
          <w:r>
            <w:rPr>
              <w:rFonts w:ascii="Times New Roman" w:hAnsi="Times New Roman" w:eastAsia="宋体"/>
              <w:color w:val="auto"/>
            </w:rPr>
            <w:t>68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7E29FE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_Toc14636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清洁生产概述</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_Toc14636 \h </w:instrText>
          </w:r>
          <w:r>
            <w:rPr>
              <w:rFonts w:ascii="Times New Roman" w:hAnsi="Times New Roman" w:eastAsia="宋体"/>
              <w:color w:val="auto"/>
            </w:rPr>
            <w:fldChar w:fldCharType="separate"/>
          </w:r>
          <w:r>
            <w:rPr>
              <w:rFonts w:ascii="Times New Roman" w:hAnsi="Times New Roman" w:eastAsia="宋体"/>
              <w:color w:val="auto"/>
            </w:rPr>
            <w:t>68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16EE08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_Toc8869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.1清洁生产</w:t>
          </w:r>
          <w:r>
            <w:rPr>
              <w:rFonts w:hint="eastAsia" w:ascii="Times New Roman" w:hAnsi="Times New Roman" w:eastAsia="宋体"/>
              <w:strike w:val="0"/>
              <w:dstrike w:val="0"/>
              <w:color w:val="auto"/>
              <w:highlight w:val="none"/>
            </w:rPr>
            <w:t>的意义</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_Toc8869 \h </w:instrText>
          </w:r>
          <w:r>
            <w:rPr>
              <w:rFonts w:ascii="Times New Roman" w:hAnsi="Times New Roman" w:eastAsia="宋体"/>
              <w:color w:val="auto"/>
            </w:rPr>
            <w:fldChar w:fldCharType="separate"/>
          </w:r>
          <w:r>
            <w:rPr>
              <w:rFonts w:ascii="Times New Roman" w:hAnsi="Times New Roman" w:eastAsia="宋体"/>
              <w:color w:val="auto"/>
            </w:rPr>
            <w:t>68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42A1D8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_Toc4305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3.6.2清洁生产水平分析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_Toc4305 \h </w:instrText>
          </w:r>
          <w:r>
            <w:rPr>
              <w:rFonts w:ascii="Times New Roman" w:hAnsi="Times New Roman" w:eastAsia="宋体"/>
              <w:color w:val="auto"/>
            </w:rPr>
            <w:fldChar w:fldCharType="separate"/>
          </w:r>
          <w:r>
            <w:rPr>
              <w:rFonts w:ascii="Times New Roman" w:hAnsi="Times New Roman" w:eastAsia="宋体"/>
              <w:color w:val="auto"/>
            </w:rPr>
            <w:t>69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504E1D8">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_Toc24566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4、环境现状调查与评价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_Toc24566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AC59537">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_Toc6460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4.1自然环境概况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_Toc6460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99BE77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_Toc24124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4.1.1地理位置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_Toc24124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F397D3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_Toc19956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4.1.2地形、地貌</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_Toc19956 \h </w:instrText>
          </w:r>
          <w:r>
            <w:rPr>
              <w:rFonts w:ascii="Times New Roman" w:hAnsi="Times New Roman" w:eastAsia="宋体"/>
              <w:color w:val="auto"/>
            </w:rPr>
            <w:fldChar w:fldCharType="separate"/>
          </w:r>
          <w:r>
            <w:rPr>
              <w:rFonts w:ascii="Times New Roman" w:hAnsi="Times New Roman" w:eastAsia="宋体"/>
              <w:color w:val="auto"/>
            </w:rPr>
            <w:t>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C35E0F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_Toc20244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4.1.3水文地质</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_Toc20244 \h </w:instrText>
          </w:r>
          <w:r>
            <w:rPr>
              <w:rFonts w:ascii="Times New Roman" w:hAnsi="Times New Roman" w:eastAsia="宋体"/>
              <w:color w:val="auto"/>
            </w:rPr>
            <w:fldChar w:fldCharType="separate"/>
          </w:r>
          <w:r>
            <w:rPr>
              <w:rFonts w:ascii="Times New Roman" w:hAnsi="Times New Roman" w:eastAsia="宋体"/>
              <w:color w:val="auto"/>
            </w:rPr>
            <w:t>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C74AB0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_Toc30095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4.1.4气候、气象</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_Toc30095 \h </w:instrText>
          </w:r>
          <w:r>
            <w:rPr>
              <w:rFonts w:ascii="Times New Roman" w:hAnsi="Times New Roman" w:eastAsia="宋体"/>
              <w:color w:val="auto"/>
            </w:rPr>
            <w:fldChar w:fldCharType="separate"/>
          </w:r>
          <w:r>
            <w:rPr>
              <w:rFonts w:ascii="Times New Roman" w:hAnsi="Times New Roman" w:eastAsia="宋体"/>
              <w:color w:val="auto"/>
            </w:rPr>
            <w:t>75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9E8EFD0">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_Toc29819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4.2环境质量现状调查与评价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_Toc29819 \h </w:instrText>
          </w:r>
          <w:r>
            <w:rPr>
              <w:rFonts w:ascii="Times New Roman" w:hAnsi="Times New Roman" w:eastAsia="宋体"/>
              <w:color w:val="auto"/>
            </w:rPr>
            <w:fldChar w:fldCharType="separate"/>
          </w:r>
          <w:r>
            <w:rPr>
              <w:rFonts w:ascii="Times New Roman" w:hAnsi="Times New Roman" w:eastAsia="宋体"/>
              <w:color w:val="auto"/>
            </w:rPr>
            <w:t>78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6FFCE8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_Toc4301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4.2.1大气环境现状调查与评价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_Toc4301 \h </w:instrText>
          </w:r>
          <w:r>
            <w:rPr>
              <w:rFonts w:ascii="Times New Roman" w:hAnsi="Times New Roman" w:eastAsia="宋体"/>
              <w:color w:val="auto"/>
            </w:rPr>
            <w:fldChar w:fldCharType="separate"/>
          </w:r>
          <w:r>
            <w:rPr>
              <w:rFonts w:ascii="Times New Roman" w:hAnsi="Times New Roman" w:eastAsia="宋体"/>
              <w:color w:val="auto"/>
            </w:rPr>
            <w:t>78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F47D684">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_Toc24583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4.2.2地表水环境质量现状评价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_Toc24583 \h </w:instrText>
          </w:r>
          <w:r>
            <w:rPr>
              <w:rFonts w:ascii="Times New Roman" w:hAnsi="Times New Roman" w:eastAsia="宋体"/>
              <w:color w:val="auto"/>
            </w:rPr>
            <w:fldChar w:fldCharType="separate"/>
          </w:r>
          <w:r>
            <w:rPr>
              <w:rFonts w:ascii="Times New Roman" w:hAnsi="Times New Roman" w:eastAsia="宋体"/>
              <w:color w:val="auto"/>
            </w:rPr>
            <w:t>84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81D484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_Toc30582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4.2.3地下水环境现状调查与评价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_Toc30582 \h </w:instrText>
          </w:r>
          <w:r>
            <w:rPr>
              <w:rFonts w:ascii="Times New Roman" w:hAnsi="Times New Roman" w:eastAsia="宋体"/>
              <w:color w:val="auto"/>
            </w:rPr>
            <w:fldChar w:fldCharType="separate"/>
          </w:r>
          <w:r>
            <w:rPr>
              <w:rFonts w:ascii="Times New Roman" w:hAnsi="Times New Roman" w:eastAsia="宋体"/>
              <w:color w:val="auto"/>
            </w:rPr>
            <w:t>84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A3BE0C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_Toc3263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4.2.4声环境质量现状调查与评价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_Toc3263 \h </w:instrText>
          </w:r>
          <w:r>
            <w:rPr>
              <w:rFonts w:ascii="Times New Roman" w:hAnsi="Times New Roman" w:eastAsia="宋体"/>
              <w:color w:val="auto"/>
            </w:rPr>
            <w:fldChar w:fldCharType="separate"/>
          </w:r>
          <w:r>
            <w:rPr>
              <w:rFonts w:ascii="Times New Roman" w:hAnsi="Times New Roman" w:eastAsia="宋体"/>
              <w:color w:val="auto"/>
            </w:rPr>
            <w:t>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52339D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_Toc14674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4.2.5土壤环境质量现状调查与评价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_Toc14674 \h </w:instrText>
          </w:r>
          <w:r>
            <w:rPr>
              <w:rFonts w:ascii="Times New Roman" w:hAnsi="Times New Roman" w:eastAsia="宋体"/>
              <w:color w:val="auto"/>
            </w:rPr>
            <w:fldChar w:fldCharType="separate"/>
          </w:r>
          <w:r>
            <w:rPr>
              <w:rFonts w:ascii="Times New Roman" w:hAnsi="Times New Roman" w:eastAsia="宋体"/>
              <w:color w:val="auto"/>
            </w:rPr>
            <w:t>88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3A80CE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_Toc12481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4.2.6生态现状调查</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_Toc12481 \h </w:instrText>
          </w:r>
          <w:r>
            <w:rPr>
              <w:rFonts w:ascii="Times New Roman" w:hAnsi="Times New Roman" w:eastAsia="宋体"/>
              <w:color w:val="auto"/>
            </w:rPr>
            <w:fldChar w:fldCharType="separate"/>
          </w:r>
          <w:r>
            <w:rPr>
              <w:rFonts w:ascii="Times New Roman" w:hAnsi="Times New Roman" w:eastAsia="宋体"/>
              <w:color w:val="auto"/>
            </w:rPr>
            <w:t>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3F9079F">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_Toc19376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5、建设项目环境影响分析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_Toc19376 \h </w:instrText>
          </w:r>
          <w:r>
            <w:rPr>
              <w:rFonts w:ascii="Times New Roman" w:hAnsi="Times New Roman" w:eastAsia="宋体"/>
              <w:color w:val="auto"/>
            </w:rPr>
            <w:fldChar w:fldCharType="separate"/>
          </w:r>
          <w:r>
            <w:rPr>
              <w:rFonts w:ascii="Times New Roman" w:hAnsi="Times New Roman" w:eastAsia="宋体"/>
              <w:color w:val="auto"/>
            </w:rPr>
            <w:t>91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A9E317C">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_Toc19741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5.1施工期环境影响分析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_Toc19741 \h </w:instrText>
          </w:r>
          <w:r>
            <w:rPr>
              <w:rFonts w:ascii="Times New Roman" w:hAnsi="Times New Roman" w:eastAsia="宋体"/>
              <w:color w:val="auto"/>
            </w:rPr>
            <w:fldChar w:fldCharType="separate"/>
          </w:r>
          <w:r>
            <w:rPr>
              <w:rFonts w:ascii="Times New Roman" w:hAnsi="Times New Roman" w:eastAsia="宋体"/>
              <w:color w:val="auto"/>
            </w:rPr>
            <w:t>91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87BC1D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_Toc4184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5.1.1施工期大气环境影响分析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_Toc4184 \h </w:instrText>
          </w:r>
          <w:r>
            <w:rPr>
              <w:rFonts w:ascii="Times New Roman" w:hAnsi="Times New Roman" w:eastAsia="宋体"/>
              <w:color w:val="auto"/>
            </w:rPr>
            <w:fldChar w:fldCharType="separate"/>
          </w:r>
          <w:r>
            <w:rPr>
              <w:rFonts w:ascii="Times New Roman" w:hAnsi="Times New Roman" w:eastAsia="宋体"/>
              <w:color w:val="auto"/>
            </w:rPr>
            <w:t>91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E67F2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_Toc30097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5.1.2施工期水环境影响分析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_Toc30097 \h </w:instrText>
          </w:r>
          <w:r>
            <w:rPr>
              <w:rFonts w:ascii="Times New Roman" w:hAnsi="Times New Roman" w:eastAsia="宋体"/>
              <w:color w:val="auto"/>
            </w:rPr>
            <w:fldChar w:fldCharType="separate"/>
          </w:r>
          <w:r>
            <w:rPr>
              <w:rFonts w:ascii="Times New Roman" w:hAnsi="Times New Roman" w:eastAsia="宋体"/>
              <w:color w:val="auto"/>
            </w:rPr>
            <w:t>92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635A5A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_Toc26845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5.1.3施工期声环境影响分析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_Toc26845 \h </w:instrText>
          </w:r>
          <w:r>
            <w:rPr>
              <w:rFonts w:ascii="Times New Roman" w:hAnsi="Times New Roman" w:eastAsia="宋体"/>
              <w:color w:val="auto"/>
            </w:rPr>
            <w:fldChar w:fldCharType="separate"/>
          </w:r>
          <w:r>
            <w:rPr>
              <w:rFonts w:ascii="Times New Roman" w:hAnsi="Times New Roman" w:eastAsia="宋体"/>
              <w:color w:val="auto"/>
            </w:rPr>
            <w:t>93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0B03A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_Toc22273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5.1.4施工期固体废物环境影响分析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_Toc22273 \h </w:instrText>
          </w:r>
          <w:r>
            <w:rPr>
              <w:rFonts w:ascii="Times New Roman" w:hAnsi="Times New Roman" w:eastAsia="宋体"/>
              <w:color w:val="auto"/>
            </w:rPr>
            <w:fldChar w:fldCharType="separate"/>
          </w:r>
          <w:r>
            <w:rPr>
              <w:rFonts w:ascii="Times New Roman" w:hAnsi="Times New Roman" w:eastAsia="宋体"/>
              <w:color w:val="auto"/>
            </w:rPr>
            <w:t>94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D24C1F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_Toc25000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5.1.5施工期生态影响分析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_Toc25000 \h </w:instrText>
          </w:r>
          <w:r>
            <w:rPr>
              <w:rFonts w:ascii="Times New Roman" w:hAnsi="Times New Roman" w:eastAsia="宋体"/>
              <w:color w:val="auto"/>
            </w:rPr>
            <w:fldChar w:fldCharType="separate"/>
          </w:r>
          <w:r>
            <w:rPr>
              <w:rFonts w:ascii="Times New Roman" w:hAnsi="Times New Roman" w:eastAsia="宋体"/>
              <w:color w:val="auto"/>
            </w:rPr>
            <w:t>96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0E7C185">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_Toc31465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5.2运营期环境影响分析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_Toc31465 \h </w:instrText>
          </w:r>
          <w:r>
            <w:rPr>
              <w:rFonts w:ascii="Times New Roman" w:hAnsi="Times New Roman" w:eastAsia="宋体"/>
              <w:color w:val="auto"/>
            </w:rPr>
            <w:fldChar w:fldCharType="separate"/>
          </w:r>
          <w:r>
            <w:rPr>
              <w:rFonts w:ascii="Times New Roman" w:hAnsi="Times New Roman" w:eastAsia="宋体"/>
              <w:color w:val="auto"/>
            </w:rPr>
            <w:t>99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B21A2D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_Toc6709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5.2.1大气环境影响分析与评价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_Toc6709 \h </w:instrText>
          </w:r>
          <w:r>
            <w:rPr>
              <w:rFonts w:ascii="Times New Roman" w:hAnsi="Times New Roman" w:eastAsia="宋体"/>
              <w:color w:val="auto"/>
            </w:rPr>
            <w:fldChar w:fldCharType="separate"/>
          </w:r>
          <w:r>
            <w:rPr>
              <w:rFonts w:ascii="Times New Roman" w:hAnsi="Times New Roman" w:eastAsia="宋体"/>
              <w:color w:val="auto"/>
            </w:rPr>
            <w:t>99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4EBAF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_Toc30485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5.2.2水环境影响</w:t>
          </w:r>
          <w:r>
            <w:rPr>
              <w:rFonts w:hint="eastAsia" w:ascii="Times New Roman" w:hAnsi="Times New Roman" w:eastAsia="宋体"/>
              <w:strike w:val="0"/>
              <w:dstrike w:val="0"/>
              <w:color w:val="auto"/>
              <w:highlight w:val="none"/>
              <w:lang w:val="en-US" w:eastAsia="zh-CN"/>
            </w:rPr>
            <w:t>分析</w:t>
          </w:r>
          <w:r>
            <w:rPr>
              <w:rFonts w:hint="eastAsia" w:ascii="Times New Roman" w:hAnsi="Times New Roman" w:eastAsia="宋体"/>
              <w:strike w:val="0"/>
              <w:dstrike w:val="0"/>
              <w:color w:val="auto"/>
              <w:highlight w:val="none"/>
            </w:rPr>
            <w:t>与评价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_Toc30485 \h </w:instrText>
          </w:r>
          <w:r>
            <w:rPr>
              <w:rFonts w:ascii="Times New Roman" w:hAnsi="Times New Roman" w:eastAsia="宋体"/>
              <w:color w:val="auto"/>
            </w:rPr>
            <w:fldChar w:fldCharType="separate"/>
          </w:r>
          <w:r>
            <w:rPr>
              <w:rFonts w:ascii="Times New Roman" w:hAnsi="Times New Roman" w:eastAsia="宋体"/>
              <w:color w:val="auto"/>
            </w:rPr>
            <w:t>106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DB362C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_Toc31830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5.2.3声环境影响分析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_Toc31830 \h </w:instrText>
          </w:r>
          <w:r>
            <w:rPr>
              <w:rFonts w:ascii="Times New Roman" w:hAnsi="Times New Roman" w:eastAsia="宋体"/>
              <w:color w:val="auto"/>
            </w:rPr>
            <w:fldChar w:fldCharType="separate"/>
          </w:r>
          <w:r>
            <w:rPr>
              <w:rFonts w:ascii="Times New Roman" w:hAnsi="Times New Roman" w:eastAsia="宋体"/>
              <w:color w:val="auto"/>
            </w:rPr>
            <w:t>117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6C9346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_Toc29796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5.2.4固体废弃物影响分析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_Toc29796 \h </w:instrText>
          </w:r>
          <w:r>
            <w:rPr>
              <w:rFonts w:ascii="Times New Roman" w:hAnsi="Times New Roman" w:eastAsia="宋体"/>
              <w:color w:val="auto"/>
            </w:rPr>
            <w:fldChar w:fldCharType="separate"/>
          </w:r>
          <w:r>
            <w:rPr>
              <w:rFonts w:ascii="Times New Roman" w:hAnsi="Times New Roman" w:eastAsia="宋体"/>
              <w:color w:val="auto"/>
            </w:rPr>
            <w:t>124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A5B83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_Toc8826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5.2.5土壤环境影响分析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_Toc8826 \h </w:instrText>
          </w:r>
          <w:r>
            <w:rPr>
              <w:rFonts w:ascii="Times New Roman" w:hAnsi="Times New Roman" w:eastAsia="宋体"/>
              <w:color w:val="auto"/>
            </w:rPr>
            <w:fldChar w:fldCharType="separate"/>
          </w:r>
          <w:r>
            <w:rPr>
              <w:rFonts w:ascii="Times New Roman" w:hAnsi="Times New Roman" w:eastAsia="宋体"/>
              <w:color w:val="auto"/>
            </w:rPr>
            <w:t>126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7D623A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_Toc3173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5.2.6生态环境影响分析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_Toc3173 \h </w:instrText>
          </w:r>
          <w:r>
            <w:rPr>
              <w:rFonts w:ascii="Times New Roman" w:hAnsi="Times New Roman" w:eastAsia="宋体"/>
              <w:color w:val="auto"/>
            </w:rPr>
            <w:fldChar w:fldCharType="separate"/>
          </w:r>
          <w:r>
            <w:rPr>
              <w:rFonts w:ascii="Times New Roman" w:hAnsi="Times New Roman" w:eastAsia="宋体"/>
              <w:color w:val="auto"/>
            </w:rPr>
            <w:t>129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09AC90A">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_Toc3406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5.3、环境风险评价</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_Toc3406 \h </w:instrText>
          </w:r>
          <w:r>
            <w:rPr>
              <w:rFonts w:ascii="Times New Roman" w:hAnsi="Times New Roman" w:eastAsia="宋体"/>
              <w:color w:val="auto"/>
            </w:rPr>
            <w:fldChar w:fldCharType="separate"/>
          </w:r>
          <w:r>
            <w:rPr>
              <w:rFonts w:ascii="Times New Roman" w:hAnsi="Times New Roman" w:eastAsia="宋体"/>
              <w:color w:val="auto"/>
            </w:rPr>
            <w:t>131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86847F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_Toc15623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5.3.1环境风险评价原则</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_Toc15623 \h </w:instrText>
          </w:r>
          <w:r>
            <w:rPr>
              <w:rFonts w:ascii="Times New Roman" w:hAnsi="Times New Roman" w:eastAsia="宋体"/>
              <w:color w:val="auto"/>
            </w:rPr>
            <w:fldChar w:fldCharType="separate"/>
          </w:r>
          <w:r>
            <w:rPr>
              <w:rFonts w:ascii="Times New Roman" w:hAnsi="Times New Roman" w:eastAsia="宋体"/>
              <w:color w:val="auto"/>
            </w:rPr>
            <w:t>132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5EFF6C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_Toc2859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5.3.2评价程序</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_Toc2859 \h </w:instrText>
          </w:r>
          <w:r>
            <w:rPr>
              <w:rFonts w:ascii="Times New Roman" w:hAnsi="Times New Roman" w:eastAsia="宋体"/>
              <w:color w:val="auto"/>
            </w:rPr>
            <w:fldChar w:fldCharType="separate"/>
          </w:r>
          <w:r>
            <w:rPr>
              <w:rFonts w:ascii="Times New Roman" w:hAnsi="Times New Roman" w:eastAsia="宋体"/>
              <w:color w:val="auto"/>
            </w:rPr>
            <w:t>132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6F9B53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_Toc27328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5.3.3风险调查</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_Toc27328 \h </w:instrText>
          </w:r>
          <w:r>
            <w:rPr>
              <w:rFonts w:ascii="Times New Roman" w:hAnsi="Times New Roman" w:eastAsia="宋体"/>
              <w:color w:val="auto"/>
            </w:rPr>
            <w:fldChar w:fldCharType="separate"/>
          </w:r>
          <w:r>
            <w:rPr>
              <w:rFonts w:ascii="Times New Roman" w:hAnsi="Times New Roman" w:eastAsia="宋体"/>
              <w:color w:val="auto"/>
            </w:rPr>
            <w:t>133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A66CD64">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5.3.4环境风险潜势初判</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_Toc2096 \h </w:instrText>
          </w:r>
          <w:r>
            <w:rPr>
              <w:rFonts w:ascii="Times New Roman" w:hAnsi="Times New Roman" w:eastAsia="宋体"/>
              <w:color w:val="auto"/>
            </w:rPr>
            <w:fldChar w:fldCharType="separate"/>
          </w:r>
          <w:r>
            <w:rPr>
              <w:rFonts w:ascii="Times New Roman" w:hAnsi="Times New Roman" w:eastAsia="宋体"/>
              <w:color w:val="auto"/>
            </w:rPr>
            <w:t>133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18EF91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_Toc27848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5.3.5环境风险评价工作等级</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_Toc27848 \h </w:instrText>
          </w:r>
          <w:r>
            <w:rPr>
              <w:rFonts w:ascii="Times New Roman" w:hAnsi="Times New Roman" w:eastAsia="宋体"/>
              <w:color w:val="auto"/>
            </w:rPr>
            <w:fldChar w:fldCharType="separate"/>
          </w:r>
          <w:r>
            <w:rPr>
              <w:rFonts w:ascii="Times New Roman" w:hAnsi="Times New Roman" w:eastAsia="宋体"/>
              <w:color w:val="auto"/>
            </w:rPr>
            <w:t>134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365C30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_Toc29691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5.3.6环境风险识别</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_Toc29691 \h </w:instrText>
          </w:r>
          <w:r>
            <w:rPr>
              <w:rFonts w:ascii="Times New Roman" w:hAnsi="Times New Roman" w:eastAsia="宋体"/>
              <w:color w:val="auto"/>
            </w:rPr>
            <w:fldChar w:fldCharType="separate"/>
          </w:r>
          <w:r>
            <w:rPr>
              <w:rFonts w:ascii="Times New Roman" w:hAnsi="Times New Roman" w:eastAsia="宋体"/>
              <w:color w:val="auto"/>
            </w:rPr>
            <w:t>134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842E183">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_Toc15457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5.3.7环境风险防范措施及应急要求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_Toc15457 \h </w:instrText>
          </w:r>
          <w:r>
            <w:rPr>
              <w:rFonts w:ascii="Times New Roman" w:hAnsi="Times New Roman" w:eastAsia="宋体"/>
              <w:color w:val="auto"/>
            </w:rPr>
            <w:fldChar w:fldCharType="separate"/>
          </w:r>
          <w:r>
            <w:rPr>
              <w:rFonts w:ascii="Times New Roman" w:hAnsi="Times New Roman" w:eastAsia="宋体"/>
              <w:color w:val="auto"/>
            </w:rPr>
            <w:t>137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340796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_Toc4702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5.3.8环境风险应急预案</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_Toc4702 \h </w:instrText>
          </w:r>
          <w:r>
            <w:rPr>
              <w:rFonts w:ascii="Times New Roman" w:hAnsi="Times New Roman" w:eastAsia="宋体"/>
              <w:color w:val="auto"/>
            </w:rPr>
            <w:fldChar w:fldCharType="separate"/>
          </w:r>
          <w:r>
            <w:rPr>
              <w:rFonts w:ascii="Times New Roman" w:hAnsi="Times New Roman" w:eastAsia="宋体"/>
              <w:color w:val="auto"/>
            </w:rPr>
            <w:t>140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7AED60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_Toc26444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5.3.9项目风险评价结论与建议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_Toc26444 \h </w:instrText>
          </w:r>
          <w:r>
            <w:rPr>
              <w:rFonts w:ascii="Times New Roman" w:hAnsi="Times New Roman" w:eastAsia="宋体"/>
              <w:color w:val="auto"/>
            </w:rPr>
            <w:fldChar w:fldCharType="separate"/>
          </w:r>
          <w:r>
            <w:rPr>
              <w:rFonts w:ascii="Times New Roman" w:hAnsi="Times New Roman" w:eastAsia="宋体"/>
              <w:color w:val="auto"/>
            </w:rPr>
            <w:t>145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C919986">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_Toc30338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6、污染防治措施和对策建议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_Toc30338 \h </w:instrText>
          </w:r>
          <w:r>
            <w:rPr>
              <w:rFonts w:ascii="Times New Roman" w:hAnsi="Times New Roman" w:eastAsia="宋体"/>
              <w:color w:val="auto"/>
            </w:rPr>
            <w:fldChar w:fldCharType="separate"/>
          </w:r>
          <w:r>
            <w:rPr>
              <w:rFonts w:ascii="Times New Roman" w:hAnsi="Times New Roman" w:eastAsia="宋体"/>
              <w:color w:val="auto"/>
            </w:rPr>
            <w:t>147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8EDDCA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_Toc9935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6.1施工期污染防治措施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_Toc9935 \h </w:instrText>
          </w:r>
          <w:r>
            <w:rPr>
              <w:rFonts w:ascii="Times New Roman" w:hAnsi="Times New Roman" w:eastAsia="宋体"/>
              <w:color w:val="auto"/>
            </w:rPr>
            <w:fldChar w:fldCharType="separate"/>
          </w:r>
          <w:r>
            <w:rPr>
              <w:rFonts w:ascii="Times New Roman" w:hAnsi="Times New Roman" w:eastAsia="宋体"/>
              <w:color w:val="auto"/>
            </w:rPr>
            <w:t>147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A94659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_Toc9299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6.1.1施工期大气污染防治措施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_Toc9299 \h </w:instrText>
          </w:r>
          <w:r>
            <w:rPr>
              <w:rFonts w:ascii="Times New Roman" w:hAnsi="Times New Roman" w:eastAsia="宋体"/>
              <w:color w:val="auto"/>
            </w:rPr>
            <w:fldChar w:fldCharType="separate"/>
          </w:r>
          <w:r>
            <w:rPr>
              <w:rFonts w:ascii="Times New Roman" w:hAnsi="Times New Roman" w:eastAsia="宋体"/>
              <w:color w:val="auto"/>
            </w:rPr>
            <w:t>147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F36DA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_Toc18421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6.1.2施工期水污染防治措施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_Toc18421 \h </w:instrText>
          </w:r>
          <w:r>
            <w:rPr>
              <w:rFonts w:ascii="Times New Roman" w:hAnsi="Times New Roman" w:eastAsia="宋体"/>
              <w:color w:val="auto"/>
            </w:rPr>
            <w:fldChar w:fldCharType="separate"/>
          </w:r>
          <w:r>
            <w:rPr>
              <w:rFonts w:ascii="Times New Roman" w:hAnsi="Times New Roman" w:eastAsia="宋体"/>
              <w:color w:val="auto"/>
            </w:rPr>
            <w:t>149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12FDD9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_Toc29233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6.1.3施工期噪声污染防治措施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_Toc29233 \h </w:instrText>
          </w:r>
          <w:r>
            <w:rPr>
              <w:rFonts w:ascii="Times New Roman" w:hAnsi="Times New Roman" w:eastAsia="宋体"/>
              <w:color w:val="auto"/>
            </w:rPr>
            <w:fldChar w:fldCharType="separate"/>
          </w:r>
          <w:r>
            <w:rPr>
              <w:rFonts w:ascii="Times New Roman" w:hAnsi="Times New Roman" w:eastAsia="宋体"/>
              <w:color w:val="auto"/>
            </w:rPr>
            <w:t>150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A0F07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_Toc14081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6.1.4施工期固体废物防治措施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_Toc14081 \h </w:instrText>
          </w:r>
          <w:r>
            <w:rPr>
              <w:rFonts w:ascii="Times New Roman" w:hAnsi="Times New Roman" w:eastAsia="宋体"/>
              <w:color w:val="auto"/>
            </w:rPr>
            <w:fldChar w:fldCharType="separate"/>
          </w:r>
          <w:r>
            <w:rPr>
              <w:rFonts w:ascii="Times New Roman" w:hAnsi="Times New Roman" w:eastAsia="宋体"/>
              <w:color w:val="auto"/>
            </w:rPr>
            <w:t>151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B956EE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_Toc21814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6.1.5施工期生态环境防治措施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_Toc21814 \h </w:instrText>
          </w:r>
          <w:r>
            <w:rPr>
              <w:rFonts w:ascii="Times New Roman" w:hAnsi="Times New Roman" w:eastAsia="宋体"/>
              <w:color w:val="auto"/>
            </w:rPr>
            <w:fldChar w:fldCharType="separate"/>
          </w:r>
          <w:r>
            <w:rPr>
              <w:rFonts w:ascii="Times New Roman" w:hAnsi="Times New Roman" w:eastAsia="宋体"/>
              <w:color w:val="auto"/>
            </w:rPr>
            <w:t>152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9E9B0D1">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_Toc20252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6.2运营期污染防治措施分析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_Toc20252 \h </w:instrText>
          </w:r>
          <w:r>
            <w:rPr>
              <w:rFonts w:ascii="Times New Roman" w:hAnsi="Times New Roman" w:eastAsia="宋体"/>
              <w:color w:val="auto"/>
            </w:rPr>
            <w:fldChar w:fldCharType="separate"/>
          </w:r>
          <w:r>
            <w:rPr>
              <w:rFonts w:ascii="Times New Roman" w:hAnsi="Times New Roman" w:eastAsia="宋体"/>
              <w:color w:val="auto"/>
            </w:rPr>
            <w:t>153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AE3C7C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_Toc21643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6.2.1大气污染物防治措施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_Toc21643 \h </w:instrText>
          </w:r>
          <w:r>
            <w:rPr>
              <w:rFonts w:ascii="Times New Roman" w:hAnsi="Times New Roman" w:eastAsia="宋体"/>
              <w:color w:val="auto"/>
            </w:rPr>
            <w:fldChar w:fldCharType="separate"/>
          </w:r>
          <w:r>
            <w:rPr>
              <w:rFonts w:ascii="Times New Roman" w:hAnsi="Times New Roman" w:eastAsia="宋体"/>
              <w:color w:val="auto"/>
            </w:rPr>
            <w:t>153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FC37DF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_Toc22726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6.2.2运营期水污染防治措施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_Toc22726 \h </w:instrText>
          </w:r>
          <w:r>
            <w:rPr>
              <w:rFonts w:ascii="Times New Roman" w:hAnsi="Times New Roman" w:eastAsia="宋体"/>
              <w:color w:val="auto"/>
            </w:rPr>
            <w:fldChar w:fldCharType="separate"/>
          </w:r>
          <w:r>
            <w:rPr>
              <w:rFonts w:ascii="Times New Roman" w:hAnsi="Times New Roman" w:eastAsia="宋体"/>
              <w:color w:val="auto"/>
            </w:rPr>
            <w:t>156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5E4FB0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_Toc1198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6.2.3运营期噪声污染防治措施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_Toc1198 \h </w:instrText>
          </w:r>
          <w:r>
            <w:rPr>
              <w:rFonts w:ascii="Times New Roman" w:hAnsi="Times New Roman" w:eastAsia="宋体"/>
              <w:color w:val="auto"/>
            </w:rPr>
            <w:fldChar w:fldCharType="separate"/>
          </w:r>
          <w:r>
            <w:rPr>
              <w:rFonts w:ascii="Times New Roman" w:hAnsi="Times New Roman" w:eastAsia="宋体"/>
              <w:color w:val="auto"/>
            </w:rPr>
            <w:t>159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D0234A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_Toc13467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6.2.4运营期固废污染防治措施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_Toc13467 \h </w:instrText>
          </w:r>
          <w:r>
            <w:rPr>
              <w:rFonts w:ascii="Times New Roman" w:hAnsi="Times New Roman" w:eastAsia="宋体"/>
              <w:color w:val="auto"/>
            </w:rPr>
            <w:fldChar w:fldCharType="separate"/>
          </w:r>
          <w:r>
            <w:rPr>
              <w:rFonts w:ascii="Times New Roman" w:hAnsi="Times New Roman" w:eastAsia="宋体"/>
              <w:color w:val="auto"/>
            </w:rPr>
            <w:t>160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9157AC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_Toc12690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土壤污染防治措施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_Toc12690 \h </w:instrText>
          </w:r>
          <w:r>
            <w:rPr>
              <w:rFonts w:ascii="Times New Roman" w:hAnsi="Times New Roman" w:eastAsia="宋体"/>
              <w:color w:val="auto"/>
            </w:rPr>
            <w:fldChar w:fldCharType="separate"/>
          </w:r>
          <w:r>
            <w:rPr>
              <w:rFonts w:ascii="Times New Roman" w:hAnsi="Times New Roman" w:eastAsia="宋体"/>
              <w:color w:val="auto"/>
            </w:rPr>
            <w:t>165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4623E3B">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_Toc23908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生态防治措施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_Toc23908 \h </w:instrText>
          </w:r>
          <w:r>
            <w:rPr>
              <w:rFonts w:ascii="Times New Roman" w:hAnsi="Times New Roman" w:eastAsia="宋体"/>
              <w:color w:val="auto"/>
            </w:rPr>
            <w:fldChar w:fldCharType="separate"/>
          </w:r>
          <w:r>
            <w:rPr>
              <w:rFonts w:ascii="Times New Roman" w:hAnsi="Times New Roman" w:eastAsia="宋体"/>
              <w:color w:val="auto"/>
            </w:rPr>
            <w:t>166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AD6ABA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_Toc22265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6.3环境风险防范措施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_Toc22265 \h </w:instrText>
          </w:r>
          <w:r>
            <w:rPr>
              <w:rFonts w:ascii="Times New Roman" w:hAnsi="Times New Roman" w:eastAsia="宋体"/>
              <w:color w:val="auto"/>
            </w:rPr>
            <w:fldChar w:fldCharType="separate"/>
          </w:r>
          <w:r>
            <w:rPr>
              <w:rFonts w:ascii="Times New Roman" w:hAnsi="Times New Roman" w:eastAsia="宋体"/>
              <w:color w:val="auto"/>
            </w:rPr>
            <w:t>166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9D03945">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_Toc911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6.3.1火灾防范措施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_Toc911 \h </w:instrText>
          </w:r>
          <w:r>
            <w:rPr>
              <w:rFonts w:ascii="Times New Roman" w:hAnsi="Times New Roman" w:eastAsia="宋体"/>
              <w:color w:val="auto"/>
            </w:rPr>
            <w:fldChar w:fldCharType="separate"/>
          </w:r>
          <w:r>
            <w:rPr>
              <w:rFonts w:ascii="Times New Roman" w:hAnsi="Times New Roman" w:eastAsia="宋体"/>
              <w:color w:val="auto"/>
            </w:rPr>
            <w:t>166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4B654C3">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_Toc16512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6.3.2废气处理措施故障防范措施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_Toc16512 \h </w:instrText>
          </w:r>
          <w:r>
            <w:rPr>
              <w:rFonts w:ascii="Times New Roman" w:hAnsi="Times New Roman" w:eastAsia="宋体"/>
              <w:color w:val="auto"/>
            </w:rPr>
            <w:fldChar w:fldCharType="separate"/>
          </w:r>
          <w:r>
            <w:rPr>
              <w:rFonts w:ascii="Times New Roman" w:hAnsi="Times New Roman" w:eastAsia="宋体"/>
              <w:color w:val="auto"/>
            </w:rPr>
            <w:t>167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03E5C6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_Toc21887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6.3.3有害物质泄漏防范措施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_Toc21887 \h </w:instrText>
          </w:r>
          <w:r>
            <w:rPr>
              <w:rFonts w:ascii="Times New Roman" w:hAnsi="Times New Roman" w:eastAsia="宋体"/>
              <w:color w:val="auto"/>
            </w:rPr>
            <w:fldChar w:fldCharType="separate"/>
          </w:r>
          <w:r>
            <w:rPr>
              <w:rFonts w:ascii="Times New Roman" w:hAnsi="Times New Roman" w:eastAsia="宋体"/>
              <w:color w:val="auto"/>
            </w:rPr>
            <w:t>167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8D765F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_Toc14136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6.3.4疫病风险防范措施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_Toc14136 \h </w:instrText>
          </w:r>
          <w:r>
            <w:rPr>
              <w:rFonts w:ascii="Times New Roman" w:hAnsi="Times New Roman" w:eastAsia="宋体"/>
              <w:color w:val="auto"/>
            </w:rPr>
            <w:fldChar w:fldCharType="separate"/>
          </w:r>
          <w:r>
            <w:rPr>
              <w:rFonts w:ascii="Times New Roman" w:hAnsi="Times New Roman" w:eastAsia="宋体"/>
              <w:color w:val="auto"/>
            </w:rPr>
            <w:t>167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CABA71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_Toc25436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6.3.5养殖场隔离舍建设要求及日常防治措施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_Toc25436 \h </w:instrText>
          </w:r>
          <w:r>
            <w:rPr>
              <w:rFonts w:ascii="Times New Roman" w:hAnsi="Times New Roman" w:eastAsia="宋体"/>
              <w:color w:val="auto"/>
            </w:rPr>
            <w:fldChar w:fldCharType="separate"/>
          </w:r>
          <w:r>
            <w:rPr>
              <w:rFonts w:ascii="Times New Roman" w:hAnsi="Times New Roman" w:eastAsia="宋体"/>
              <w:color w:val="auto"/>
            </w:rPr>
            <w:t>169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1290D84">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_Toc4280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7、环境影响经济损益分析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_Toc4280 \h </w:instrText>
          </w:r>
          <w:r>
            <w:rPr>
              <w:rFonts w:ascii="Times New Roman" w:hAnsi="Times New Roman" w:eastAsia="宋体"/>
              <w:color w:val="auto"/>
            </w:rPr>
            <w:fldChar w:fldCharType="separate"/>
          </w:r>
          <w:r>
            <w:rPr>
              <w:rFonts w:ascii="Times New Roman" w:hAnsi="Times New Roman" w:eastAsia="宋体"/>
              <w:color w:val="auto"/>
            </w:rPr>
            <w:t>170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63878C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_Toc16957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7.1社会效益分析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_Toc16957 \h </w:instrText>
          </w:r>
          <w:r>
            <w:rPr>
              <w:rFonts w:ascii="Times New Roman" w:hAnsi="Times New Roman" w:eastAsia="宋体"/>
              <w:color w:val="auto"/>
            </w:rPr>
            <w:fldChar w:fldCharType="separate"/>
          </w:r>
          <w:r>
            <w:rPr>
              <w:rFonts w:ascii="Times New Roman" w:hAnsi="Times New Roman" w:eastAsia="宋体"/>
              <w:color w:val="auto"/>
            </w:rPr>
            <w:t>170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96BE541">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_Toc21517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7.2经济效益分析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_Toc21517 \h </w:instrText>
          </w:r>
          <w:r>
            <w:rPr>
              <w:rFonts w:ascii="Times New Roman" w:hAnsi="Times New Roman" w:eastAsia="宋体"/>
              <w:color w:val="auto"/>
            </w:rPr>
            <w:fldChar w:fldCharType="separate"/>
          </w:r>
          <w:r>
            <w:rPr>
              <w:rFonts w:ascii="Times New Roman" w:hAnsi="Times New Roman" w:eastAsia="宋体"/>
              <w:color w:val="auto"/>
            </w:rPr>
            <w:t>170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1F1ACD">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_Toc29169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7.3环境效益分析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_Toc29169 \h </w:instrText>
          </w:r>
          <w:r>
            <w:rPr>
              <w:rFonts w:ascii="Times New Roman" w:hAnsi="Times New Roman" w:eastAsia="宋体"/>
              <w:color w:val="auto"/>
            </w:rPr>
            <w:fldChar w:fldCharType="separate"/>
          </w:r>
          <w:r>
            <w:rPr>
              <w:rFonts w:ascii="Times New Roman" w:hAnsi="Times New Roman" w:eastAsia="宋体"/>
              <w:color w:val="auto"/>
            </w:rPr>
            <w:t>171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23480FC">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_Toc2812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7.4环境经济效益分析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_Toc2812 \h </w:instrText>
          </w:r>
          <w:r>
            <w:rPr>
              <w:rFonts w:ascii="Times New Roman" w:hAnsi="Times New Roman" w:eastAsia="宋体"/>
              <w:color w:val="auto"/>
            </w:rPr>
            <w:fldChar w:fldCharType="separate"/>
          </w:r>
          <w:r>
            <w:rPr>
              <w:rFonts w:ascii="Times New Roman" w:hAnsi="Times New Roman" w:eastAsia="宋体"/>
              <w:color w:val="auto"/>
            </w:rPr>
            <w:t>171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8ADC0D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_Toc19048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7.4.1环保投资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_Toc19048 \h </w:instrText>
          </w:r>
          <w:r>
            <w:rPr>
              <w:rFonts w:ascii="Times New Roman" w:hAnsi="Times New Roman" w:eastAsia="宋体"/>
              <w:color w:val="auto"/>
            </w:rPr>
            <w:fldChar w:fldCharType="separate"/>
          </w:r>
          <w:r>
            <w:rPr>
              <w:rFonts w:ascii="Times New Roman" w:hAnsi="Times New Roman" w:eastAsia="宋体"/>
              <w:color w:val="auto"/>
            </w:rPr>
            <w:t>171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684E23C">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_Toc4941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7.4.2环境效益分析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_Toc4941 \h </w:instrText>
          </w:r>
          <w:r>
            <w:rPr>
              <w:rFonts w:ascii="Times New Roman" w:hAnsi="Times New Roman" w:eastAsia="宋体"/>
              <w:color w:val="auto"/>
            </w:rPr>
            <w:fldChar w:fldCharType="separate"/>
          </w:r>
          <w:r>
            <w:rPr>
              <w:rFonts w:ascii="Times New Roman" w:hAnsi="Times New Roman" w:eastAsia="宋体"/>
              <w:color w:val="auto"/>
            </w:rPr>
            <w:t>172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D1450BB">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_Toc4832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7.5小结</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_Toc4832 \h </w:instrText>
          </w:r>
          <w:r>
            <w:rPr>
              <w:rFonts w:ascii="Times New Roman" w:hAnsi="Times New Roman" w:eastAsia="宋体"/>
              <w:color w:val="auto"/>
            </w:rPr>
            <w:fldChar w:fldCharType="separate"/>
          </w:r>
          <w:r>
            <w:rPr>
              <w:rFonts w:ascii="Times New Roman" w:hAnsi="Times New Roman" w:eastAsia="宋体"/>
              <w:color w:val="auto"/>
            </w:rPr>
            <w:t>173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E0B7C59">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_Toc6740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w:t>
          </w:r>
          <w:r>
            <w:rPr>
              <w:rFonts w:ascii="Times New Roman" w:hAnsi="Times New Roman" w:eastAsia="宋体"/>
              <w:strike w:val="0"/>
              <w:dstrike w:val="0"/>
              <w:color w:val="auto"/>
              <w:highlight w:val="none"/>
            </w:rPr>
            <w:t>、环境管理与</w:t>
          </w:r>
          <w:r>
            <w:rPr>
              <w:rFonts w:hint="eastAsia" w:ascii="Times New Roman" w:hAnsi="Times New Roman" w:eastAsia="宋体"/>
              <w:strike w:val="0"/>
              <w:dstrike w:val="0"/>
              <w:color w:val="auto"/>
              <w:highlight w:val="none"/>
            </w:rPr>
            <w:t>环境</w:t>
          </w:r>
          <w:r>
            <w:rPr>
              <w:rFonts w:ascii="Times New Roman" w:hAnsi="Times New Roman" w:eastAsia="宋体"/>
              <w:strike w:val="0"/>
              <w:dstrike w:val="0"/>
              <w:color w:val="auto"/>
              <w:highlight w:val="none"/>
            </w:rPr>
            <w:t>监测计划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_Toc6740 \h </w:instrText>
          </w:r>
          <w:r>
            <w:rPr>
              <w:rFonts w:ascii="Times New Roman" w:hAnsi="Times New Roman" w:eastAsia="宋体"/>
              <w:color w:val="auto"/>
            </w:rPr>
            <w:fldChar w:fldCharType="separate"/>
          </w:r>
          <w:r>
            <w:rPr>
              <w:rFonts w:ascii="Times New Roman" w:hAnsi="Times New Roman" w:eastAsia="宋体"/>
              <w:color w:val="auto"/>
            </w:rPr>
            <w:t>174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5A3B44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_Toc29342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8.1环境管理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_Toc29342 \h </w:instrText>
          </w:r>
          <w:r>
            <w:rPr>
              <w:rFonts w:ascii="Times New Roman" w:hAnsi="Times New Roman" w:eastAsia="宋体"/>
              <w:color w:val="auto"/>
            </w:rPr>
            <w:fldChar w:fldCharType="separate"/>
          </w:r>
          <w:r>
            <w:rPr>
              <w:rFonts w:ascii="Times New Roman" w:hAnsi="Times New Roman" w:eastAsia="宋体"/>
              <w:color w:val="auto"/>
            </w:rPr>
            <w:t>174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3BD5FB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_Toc23105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8.1.1设置环境管理机构</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_Toc23105 \h </w:instrText>
          </w:r>
          <w:r>
            <w:rPr>
              <w:rFonts w:ascii="Times New Roman" w:hAnsi="Times New Roman" w:eastAsia="宋体"/>
              <w:color w:val="auto"/>
            </w:rPr>
            <w:fldChar w:fldCharType="separate"/>
          </w:r>
          <w:r>
            <w:rPr>
              <w:rFonts w:ascii="Times New Roman" w:hAnsi="Times New Roman" w:eastAsia="宋体"/>
              <w:color w:val="auto"/>
            </w:rPr>
            <w:t>174</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66B570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_Toc23679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8.1.2落实环境管理制度</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_Toc23679 \h </w:instrText>
          </w:r>
          <w:r>
            <w:rPr>
              <w:rFonts w:ascii="Times New Roman" w:hAnsi="Times New Roman" w:eastAsia="宋体"/>
              <w:color w:val="auto"/>
            </w:rPr>
            <w:fldChar w:fldCharType="separate"/>
          </w:r>
          <w:r>
            <w:rPr>
              <w:rFonts w:ascii="Times New Roman" w:hAnsi="Times New Roman" w:eastAsia="宋体"/>
              <w:color w:val="auto"/>
            </w:rPr>
            <w:t>175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B39396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_Toc19009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8.1.3制定环境管理计划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_Toc19009 \h </w:instrText>
          </w:r>
          <w:r>
            <w:rPr>
              <w:rFonts w:ascii="Times New Roman" w:hAnsi="Times New Roman" w:eastAsia="宋体"/>
              <w:color w:val="auto"/>
            </w:rPr>
            <w:fldChar w:fldCharType="separate"/>
          </w:r>
          <w:r>
            <w:rPr>
              <w:rFonts w:ascii="Times New Roman" w:hAnsi="Times New Roman" w:eastAsia="宋体"/>
              <w:color w:val="auto"/>
            </w:rPr>
            <w:t>177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8406976">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_Toc956 </w:instrText>
          </w:r>
          <w:r>
            <w:rPr>
              <w:rFonts w:ascii="Times New Roman" w:hAnsi="Times New Roman" w:eastAsia="宋体"/>
              <w:bCs/>
              <w:strike w:val="0"/>
              <w:dstrike w:val="0"/>
              <w:color w:val="auto"/>
              <w:highlight w:val="none"/>
              <w:lang w:val="zh-CN"/>
            </w:rPr>
            <w:fldChar w:fldCharType="separate"/>
          </w:r>
          <w:r>
            <w:rPr>
              <w:rFonts w:ascii="Times New Roman" w:hAnsi="Times New Roman" w:eastAsia="宋体"/>
              <w:strike w:val="0"/>
              <w:dstrike w:val="0"/>
              <w:color w:val="auto"/>
              <w:highlight w:val="none"/>
            </w:rPr>
            <w:t>8.1.4排污</w:t>
          </w:r>
          <w:r>
            <w:rPr>
              <w:rFonts w:hint="eastAsia" w:ascii="Times New Roman" w:hAnsi="Times New Roman" w:eastAsia="宋体"/>
              <w:strike w:val="0"/>
              <w:dstrike w:val="0"/>
              <w:color w:val="auto"/>
              <w:highlight w:val="none"/>
            </w:rPr>
            <w:t>口规范化设置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_Toc956 \h </w:instrText>
          </w:r>
          <w:r>
            <w:rPr>
              <w:rFonts w:ascii="Times New Roman" w:hAnsi="Times New Roman" w:eastAsia="宋体"/>
              <w:color w:val="auto"/>
            </w:rPr>
            <w:fldChar w:fldCharType="separate"/>
          </w:r>
          <w:r>
            <w:rPr>
              <w:rFonts w:ascii="Times New Roman" w:hAnsi="Times New Roman" w:eastAsia="宋体"/>
              <w:color w:val="auto"/>
            </w:rPr>
            <w:t>179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C5C4C1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_Toc28280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8.1.5</w:t>
          </w:r>
          <w:r>
            <w:rPr>
              <w:rFonts w:ascii="Times New Roman" w:hAnsi="Times New Roman" w:eastAsia="宋体"/>
              <w:strike w:val="0"/>
              <w:dstrike w:val="0"/>
              <w:color w:val="auto"/>
              <w:highlight w:val="none"/>
            </w:rPr>
            <w:t>环境影响评价制度与排污许可制衔接分析</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_Toc28280 \h </w:instrText>
          </w:r>
          <w:r>
            <w:rPr>
              <w:rFonts w:ascii="Times New Roman" w:hAnsi="Times New Roman" w:eastAsia="宋体"/>
              <w:color w:val="auto"/>
            </w:rPr>
            <w:fldChar w:fldCharType="separate"/>
          </w:r>
          <w:r>
            <w:rPr>
              <w:rFonts w:ascii="Times New Roman" w:hAnsi="Times New Roman" w:eastAsia="宋体"/>
              <w:color w:val="auto"/>
            </w:rPr>
            <w:t>179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DBDF267">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_Toc19052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8.1.6</w:t>
          </w:r>
          <w:r>
            <w:rPr>
              <w:rFonts w:ascii="Times New Roman" w:hAnsi="Times New Roman" w:eastAsia="宋体"/>
              <w:strike w:val="0"/>
              <w:dstrike w:val="0"/>
              <w:color w:val="auto"/>
              <w:highlight w:val="none"/>
            </w:rPr>
            <w:t>企业环境信息公开</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_Toc19052 \h </w:instrText>
          </w:r>
          <w:r>
            <w:rPr>
              <w:rFonts w:ascii="Times New Roman" w:hAnsi="Times New Roman" w:eastAsia="宋体"/>
              <w:color w:val="auto"/>
            </w:rPr>
            <w:fldChar w:fldCharType="separate"/>
          </w:r>
          <w:r>
            <w:rPr>
              <w:rFonts w:ascii="Times New Roman" w:hAnsi="Times New Roman" w:eastAsia="宋体"/>
              <w:color w:val="auto"/>
            </w:rPr>
            <w:t>180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4A1946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_Toc32002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8.2</w:t>
          </w:r>
          <w:r>
            <w:rPr>
              <w:rFonts w:ascii="Times New Roman" w:hAnsi="Times New Roman" w:eastAsia="宋体"/>
              <w:strike w:val="0"/>
              <w:dstrike w:val="0"/>
              <w:color w:val="auto"/>
              <w:highlight w:val="none"/>
            </w:rPr>
            <w:t>环境监测</w:t>
          </w:r>
          <w:r>
            <w:rPr>
              <w:rFonts w:hint="eastAsia" w:ascii="Times New Roman" w:hAnsi="Times New Roman" w:eastAsia="宋体"/>
              <w:strike w:val="0"/>
              <w:dstrike w:val="0"/>
              <w:color w:val="auto"/>
              <w:highlight w:val="none"/>
            </w:rPr>
            <w:t>计划</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_Toc32002 \h </w:instrText>
          </w:r>
          <w:r>
            <w:rPr>
              <w:rFonts w:ascii="Times New Roman" w:hAnsi="Times New Roman" w:eastAsia="宋体"/>
              <w:color w:val="auto"/>
            </w:rPr>
            <w:fldChar w:fldCharType="separate"/>
          </w:r>
          <w:r>
            <w:rPr>
              <w:rFonts w:ascii="Times New Roman" w:hAnsi="Times New Roman" w:eastAsia="宋体"/>
              <w:color w:val="auto"/>
            </w:rPr>
            <w:t>180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5A576DD">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8.3</w:t>
          </w:r>
          <w:r>
            <w:rPr>
              <w:rFonts w:ascii="Times New Roman" w:hAnsi="Times New Roman" w:eastAsia="宋体"/>
              <w:strike w:val="0"/>
              <w:dstrike w:val="0"/>
              <w:color w:val="auto"/>
              <w:highlight w:val="none"/>
            </w:rPr>
            <w:t>竣工验收管理</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_Toc282 \h </w:instrText>
          </w:r>
          <w:r>
            <w:rPr>
              <w:rFonts w:ascii="Times New Roman" w:hAnsi="Times New Roman" w:eastAsia="宋体"/>
              <w:color w:val="auto"/>
            </w:rPr>
            <w:fldChar w:fldCharType="separate"/>
          </w:r>
          <w:r>
            <w:rPr>
              <w:rFonts w:ascii="Times New Roman" w:hAnsi="Times New Roman" w:eastAsia="宋体"/>
              <w:color w:val="auto"/>
            </w:rPr>
            <w:t>181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4FBB8EC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_Toc5046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8.3.1竣工验收管理及要求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_Toc5046 \h </w:instrText>
          </w:r>
          <w:r>
            <w:rPr>
              <w:rFonts w:ascii="Times New Roman" w:hAnsi="Times New Roman" w:eastAsia="宋体"/>
              <w:color w:val="auto"/>
            </w:rPr>
            <w:fldChar w:fldCharType="separate"/>
          </w:r>
          <w:r>
            <w:rPr>
              <w:rFonts w:ascii="Times New Roman" w:hAnsi="Times New Roman" w:eastAsia="宋体"/>
              <w:color w:val="auto"/>
            </w:rPr>
            <w:t>181</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56C351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_Toc26604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8.3.2环境保护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_Toc26604 \h </w:instrText>
          </w:r>
          <w:r>
            <w:rPr>
              <w:rFonts w:ascii="Times New Roman" w:hAnsi="Times New Roman" w:eastAsia="宋体"/>
              <w:color w:val="auto"/>
            </w:rPr>
            <w:fldChar w:fldCharType="separate"/>
          </w:r>
          <w:r>
            <w:rPr>
              <w:rFonts w:ascii="Times New Roman" w:hAnsi="Times New Roman" w:eastAsia="宋体"/>
              <w:color w:val="auto"/>
            </w:rPr>
            <w:t>182</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24E43C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_Toc19743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8.4污染源排放清单</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_Toc19743 \h </w:instrText>
          </w:r>
          <w:r>
            <w:rPr>
              <w:rFonts w:ascii="Times New Roman" w:hAnsi="Times New Roman" w:eastAsia="宋体"/>
              <w:color w:val="auto"/>
            </w:rPr>
            <w:fldChar w:fldCharType="separate"/>
          </w:r>
          <w:r>
            <w:rPr>
              <w:rFonts w:ascii="Times New Roman" w:hAnsi="Times New Roman" w:eastAsia="宋体"/>
              <w:color w:val="auto"/>
            </w:rPr>
            <w:t>183</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1BDFC17">
          <w:pPr>
            <w:pStyle w:val="27"/>
            <w:tabs>
              <w:tab w:val="right" w:leader="dot" w:pos="8306"/>
              <w:tab w:val="clear" w:pos="829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_Toc9779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9、结论与建议</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_Toc9779 \h </w:instrText>
          </w:r>
          <w:r>
            <w:rPr>
              <w:rFonts w:ascii="Times New Roman" w:hAnsi="Times New Roman" w:eastAsia="宋体"/>
              <w:color w:val="auto"/>
            </w:rPr>
            <w:fldChar w:fldCharType="separate"/>
          </w:r>
          <w:r>
            <w:rPr>
              <w:rFonts w:ascii="Times New Roman" w:hAnsi="Times New Roman" w:eastAsia="宋体"/>
              <w:color w:val="auto"/>
            </w:rPr>
            <w:t>185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F8AED9B">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_Toc13917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9.1建设项目概况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_Toc13917 \h </w:instrText>
          </w:r>
          <w:r>
            <w:rPr>
              <w:rFonts w:ascii="Times New Roman" w:hAnsi="Times New Roman" w:eastAsia="宋体"/>
              <w:color w:val="auto"/>
            </w:rPr>
            <w:fldChar w:fldCharType="separate"/>
          </w:r>
          <w:r>
            <w:rPr>
              <w:rFonts w:ascii="Times New Roman" w:hAnsi="Times New Roman" w:eastAsia="宋体"/>
              <w:color w:val="auto"/>
            </w:rPr>
            <w:t>185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57D9E6E">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_Toc21346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9.2产业政策及相关规划符合性结论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_Toc21346 \h </w:instrText>
          </w:r>
          <w:r>
            <w:rPr>
              <w:rFonts w:ascii="Times New Roman" w:hAnsi="Times New Roman" w:eastAsia="宋体"/>
              <w:color w:val="auto"/>
            </w:rPr>
            <w:fldChar w:fldCharType="separate"/>
          </w:r>
          <w:r>
            <w:rPr>
              <w:rFonts w:ascii="Times New Roman" w:hAnsi="Times New Roman" w:eastAsia="宋体"/>
              <w:color w:val="auto"/>
            </w:rPr>
            <w:t>185</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1191266">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_Toc29881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_Toc29881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786CE8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_Toc17587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9.3.1大气环境质量现状评价结论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_Toc17587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1CADD29">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_Toc8501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9.3.2地下水环境质量现状评价结论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_Toc8501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16CE3E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_Toc11530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9.3.3声环境质量现状评价结论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_Toc11530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E135D4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_Toc20844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9.3.4土壤环境质量现状评价结论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_Toc20844 \h </w:instrText>
          </w:r>
          <w:r>
            <w:rPr>
              <w:rFonts w:ascii="Times New Roman" w:hAnsi="Times New Roman" w:eastAsia="宋体"/>
              <w:color w:val="auto"/>
            </w:rPr>
            <w:fldChar w:fldCharType="separate"/>
          </w:r>
          <w:r>
            <w:rPr>
              <w:rFonts w:ascii="Times New Roman" w:hAnsi="Times New Roman" w:eastAsia="宋体"/>
              <w:color w:val="auto"/>
            </w:rPr>
            <w:t>186</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026B880">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_Toc18642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_Toc18642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103540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_Toc16492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9.4.1大气环境影响评价结论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_Toc16492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17696E1">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_Toc24042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9.4.2水环境影响评价结论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_Toc24042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A0BE712">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_Toc24442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9.4.3声环境影响评价结论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_Toc24442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EAD482E">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_Toc22497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9.4.4固体废物环境影响分析结论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_Toc22497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814F3F8">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_Toc5596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9.5污染防治措施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_Toc5596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0398313A">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_Toc19206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9.5.1大气环境保护措施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_Toc19206 \h </w:instrText>
          </w:r>
          <w:r>
            <w:rPr>
              <w:rFonts w:ascii="Times New Roman" w:hAnsi="Times New Roman" w:eastAsia="宋体"/>
              <w:color w:val="auto"/>
            </w:rPr>
            <w:fldChar w:fldCharType="separate"/>
          </w:r>
          <w:r>
            <w:rPr>
              <w:rFonts w:ascii="Times New Roman" w:hAnsi="Times New Roman" w:eastAsia="宋体"/>
              <w:color w:val="auto"/>
            </w:rPr>
            <w:t>187</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82DB8C0">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_Toc28709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9.5.2水环境保护措施</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_Toc28709 \h </w:instrText>
          </w:r>
          <w:r>
            <w:rPr>
              <w:rFonts w:ascii="Times New Roman" w:hAnsi="Times New Roman" w:eastAsia="宋体"/>
              <w:color w:val="auto"/>
            </w:rPr>
            <w:fldChar w:fldCharType="separate"/>
          </w:r>
          <w:r>
            <w:rPr>
              <w:rFonts w:ascii="Times New Roman" w:hAnsi="Times New Roman" w:eastAsia="宋体"/>
              <w:color w:val="auto"/>
            </w:rPr>
            <w:t>188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FDEDD7D">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_Toc15650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9.5.3噪声</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_Toc15650 \h </w:instrText>
          </w:r>
          <w:r>
            <w:rPr>
              <w:rFonts w:ascii="Times New Roman" w:hAnsi="Times New Roman" w:eastAsia="宋体"/>
              <w:color w:val="auto"/>
            </w:rPr>
            <w:fldChar w:fldCharType="separate"/>
          </w:r>
          <w:r>
            <w:rPr>
              <w:rFonts w:ascii="Times New Roman" w:hAnsi="Times New Roman" w:eastAsia="宋体"/>
              <w:color w:val="auto"/>
            </w:rPr>
            <w:t>188</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3F332478">
          <w:pPr>
            <w:pStyle w:val="19"/>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_Toc17037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9.5.4固体废弃物</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_Toc17037 \h </w:instrText>
          </w:r>
          <w:r>
            <w:rPr>
              <w:rFonts w:ascii="Times New Roman" w:hAnsi="Times New Roman" w:eastAsia="宋体"/>
              <w:color w:val="auto"/>
            </w:rPr>
            <w:fldChar w:fldCharType="separate"/>
          </w:r>
          <w:r>
            <w:rPr>
              <w:rFonts w:ascii="Times New Roman" w:hAnsi="Times New Roman" w:eastAsia="宋体"/>
              <w:color w:val="auto"/>
            </w:rPr>
            <w:t>189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81FDF65">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_Toc18644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9.6公众意见采纳情况</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_Toc18644 \h </w:instrText>
          </w:r>
          <w:r>
            <w:rPr>
              <w:rFonts w:ascii="Times New Roman" w:hAnsi="Times New Roman" w:eastAsia="宋体"/>
              <w:color w:val="auto"/>
            </w:rPr>
            <w:fldChar w:fldCharType="separate"/>
          </w:r>
          <w:r>
            <w:rPr>
              <w:rFonts w:ascii="Times New Roman" w:hAnsi="Times New Roman" w:eastAsia="宋体"/>
              <w:color w:val="auto"/>
            </w:rPr>
            <w:t>189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BC178F9">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_Toc8028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9.7环境经济损益分析结论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_Toc8028 \h </w:instrText>
          </w:r>
          <w:r>
            <w:rPr>
              <w:rFonts w:ascii="Times New Roman" w:hAnsi="Times New Roman" w:eastAsia="宋体"/>
              <w:color w:val="auto"/>
            </w:rPr>
            <w:fldChar w:fldCharType="separate"/>
          </w:r>
          <w:r>
            <w:rPr>
              <w:rFonts w:ascii="Times New Roman" w:hAnsi="Times New Roman" w:eastAsia="宋体"/>
              <w:color w:val="auto"/>
            </w:rPr>
            <w:t>189</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6B6F200F">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_Toc6365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9.8环境管理与监测结论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_Toc6365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51FA18EC">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_Toc18811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9.9总量控制</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_Toc18811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17218837">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_Toc25327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9.10综合结论</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_Toc25327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2E881F66">
          <w:pPr>
            <w:pStyle w:val="32"/>
            <w:tabs>
              <w:tab w:val="right" w:leader="dot" w:pos="8306"/>
            </w:tabs>
            <w:rPr>
              <w:rFonts w:ascii="Times New Roman" w:hAnsi="Times New Roman" w:eastAsia="宋体"/>
              <w:color w:val="auto"/>
            </w:rPr>
          </w:pPr>
          <w:r>
            <w:rPr>
              <w:rFonts w:ascii="Times New Roman" w:hAnsi="Times New Roman" w:eastAsia="宋体"/>
              <w:bCs/>
              <w:strike w:val="0"/>
              <w:dstrike w:val="0"/>
              <w:color w:val="auto"/>
              <w:highlight w:val="none"/>
              <w:lang w:val="zh-CN"/>
            </w:rPr>
            <w:fldChar w:fldCharType="begin"/>
          </w:r>
          <w:r>
            <w:rPr>
              <w:rFonts w:ascii="Times New Roman" w:hAnsi="Times New Roman" w:eastAsia="宋体"/>
              <w:bCs/>
              <w:strike w:val="0"/>
              <w:dstrike w:val="0"/>
              <w:color w:val="auto"/>
              <w:highlight w:val="none"/>
              <w:lang w:val="zh-CN"/>
            </w:rPr>
            <w:instrText xml:space="preserve"> HYPERLINK \l _Toc19610 </w:instrText>
          </w:r>
          <w:r>
            <w:rPr>
              <w:rFonts w:ascii="Times New Roman" w:hAnsi="Times New Roman" w:eastAsia="宋体"/>
              <w:bCs/>
              <w:strike w:val="0"/>
              <w:dstrike w:val="0"/>
              <w:color w:val="auto"/>
              <w:highlight w:val="none"/>
              <w:lang w:val="zh-CN"/>
            </w:rPr>
            <w:fldChar w:fldCharType="separate"/>
          </w:r>
          <w:r>
            <w:rPr>
              <w:rFonts w:hint="eastAsia" w:ascii="Times New Roman" w:hAnsi="Times New Roman" w:eastAsia="宋体"/>
              <w:strike w:val="0"/>
              <w:dstrike w:val="0"/>
              <w:color w:val="auto"/>
              <w:highlight w:val="none"/>
            </w:rPr>
            <w:t>9.11要求</w:t>
          </w:r>
          <w:r>
            <w:rPr>
              <w:rFonts w:ascii="Times New Roman" w:hAnsi="Times New Roman" w:eastAsia="宋体"/>
              <w:color w:val="auto"/>
            </w:rPr>
            <w:tab/>
          </w:r>
          <w:r>
            <w:rPr>
              <w:rFonts w:ascii="Times New Roman" w:hAnsi="Times New Roman" w:eastAsia="宋体"/>
              <w:color w:val="auto"/>
            </w:rPr>
            <w:fldChar w:fldCharType="begin"/>
          </w:r>
          <w:r>
            <w:rPr>
              <w:rFonts w:ascii="Times New Roman" w:hAnsi="Times New Roman" w:eastAsia="宋体"/>
              <w:color w:val="auto"/>
            </w:rPr>
            <w:instrText xml:space="preserve"> PAGEREF _Toc19610 \h </w:instrText>
          </w:r>
          <w:r>
            <w:rPr>
              <w:rFonts w:ascii="Times New Roman" w:hAnsi="Times New Roman" w:eastAsia="宋体"/>
              <w:color w:val="auto"/>
            </w:rPr>
            <w:fldChar w:fldCharType="separate"/>
          </w:r>
          <w:r>
            <w:rPr>
              <w:rFonts w:ascii="Times New Roman" w:hAnsi="Times New Roman" w:eastAsia="宋体"/>
              <w:color w:val="auto"/>
            </w:rPr>
            <w:t>190</w:t>
          </w:r>
          <w:r>
            <w:rPr>
              <w:rFonts w:ascii="Times New Roman" w:hAnsi="Times New Roman" w:eastAsia="宋体"/>
              <w:color w:val="auto"/>
            </w:rPr>
            <w:fldChar w:fldCharType="end"/>
          </w:r>
          <w:r>
            <w:rPr>
              <w:rFonts w:ascii="Times New Roman" w:hAnsi="Times New Roman" w:eastAsia="宋体"/>
              <w:bCs/>
              <w:strike w:val="0"/>
              <w:dstrike w:val="0"/>
              <w:color w:val="auto"/>
              <w:highlight w:val="none"/>
              <w:lang w:val="zh-CN"/>
            </w:rPr>
            <w:fldChar w:fldCharType="end"/>
          </w:r>
        </w:p>
        <w:p w14:paraId="79A3B8CC">
          <w:pPr>
            <w:ind w:firstLine="482"/>
            <w:rPr>
              <w:rFonts w:ascii="Times New Roman" w:hAnsi="Times New Roman" w:eastAsia="宋体"/>
              <w:strike w:val="0"/>
              <w:dstrike w:val="0"/>
              <w:color w:val="auto"/>
              <w:highlight w:val="none"/>
            </w:rPr>
          </w:pPr>
          <w:r>
            <w:rPr>
              <w:rFonts w:ascii="Times New Roman" w:hAnsi="Times New Roman" w:eastAsia="宋体"/>
              <w:bCs/>
              <w:strike w:val="0"/>
              <w:dstrike w:val="0"/>
              <w:color w:val="auto"/>
              <w:highlight w:val="none"/>
              <w:lang w:val="zh-CN"/>
            </w:rPr>
            <w:fldChar w:fldCharType="end"/>
          </w:r>
        </w:p>
      </w:sdtContent>
    </w:sdt>
    <w:p w14:paraId="1B74EA2F">
      <w:pPr>
        <w:rPr>
          <w:rFonts w:hint="eastAsia" w:ascii="Times New Roman" w:hAnsi="Times New Roman" w:eastAsia="宋体"/>
          <w:strike w:val="0"/>
          <w:dstrike w:val="0"/>
          <w:color w:val="auto"/>
          <w:highlight w:val="none"/>
        </w:rPr>
      </w:pPr>
      <w:bookmarkStart w:id="0" w:name="_Toc89619317"/>
      <w:bookmarkStart w:id="1" w:name="_Toc71394699"/>
    </w:p>
    <w:p w14:paraId="344DE203">
      <w:pPr>
        <w:pStyle w:val="2"/>
        <w:rPr>
          <w:rFonts w:hint="eastAsia" w:ascii="Times New Roman" w:hAnsi="Times New Roman" w:eastAsia="宋体"/>
          <w:strike w:val="0"/>
          <w:dstrike w:val="0"/>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titlePg/>
          <w:docGrid w:type="lines" w:linePitch="326" w:charSpace="0"/>
        </w:sectPr>
      </w:pPr>
    </w:p>
    <w:p w14:paraId="6055DB4D">
      <w:pPr>
        <w:pStyle w:val="2"/>
        <w:rPr>
          <w:rFonts w:ascii="Times New Roman" w:hAnsi="Times New Roman" w:eastAsia="宋体"/>
          <w:strike w:val="0"/>
          <w:dstrike w:val="0"/>
          <w:color w:val="auto"/>
          <w:highlight w:val="none"/>
        </w:rPr>
      </w:pPr>
      <w:bookmarkStart w:id="2" w:name="_Toc10540"/>
      <w:r>
        <w:rPr>
          <w:rFonts w:hint="eastAsia" w:ascii="Times New Roman" w:hAnsi="Times New Roman" w:eastAsia="宋体"/>
          <w:strike w:val="0"/>
          <w:dstrike w:val="0"/>
          <w:color w:val="auto"/>
          <w:highlight w:val="none"/>
        </w:rPr>
        <w:t>1建设项目概况</w:t>
      </w:r>
      <w:bookmarkEnd w:id="0"/>
      <w:bookmarkEnd w:id="1"/>
      <w:bookmarkEnd w:id="2"/>
    </w:p>
    <w:p w14:paraId="59922057">
      <w:pPr>
        <w:pStyle w:val="3"/>
        <w:rPr>
          <w:rFonts w:ascii="Times New Roman" w:hAnsi="Times New Roman" w:eastAsia="宋体"/>
          <w:strike w:val="0"/>
          <w:dstrike w:val="0"/>
          <w:color w:val="auto"/>
          <w:highlight w:val="none"/>
        </w:rPr>
      </w:pPr>
      <w:bookmarkStart w:id="3" w:name="_Toc20496"/>
      <w:bookmarkStart w:id="4" w:name="_Toc89619318"/>
      <w:bookmarkStart w:id="5" w:name="_Toc71394700"/>
      <w:r>
        <w:rPr>
          <w:rFonts w:hint="eastAsia" w:ascii="Times New Roman" w:hAnsi="Times New Roman" w:eastAsia="宋体"/>
          <w:strike w:val="0"/>
          <w:dstrike w:val="0"/>
          <w:color w:val="auto"/>
          <w:highlight w:val="none"/>
        </w:rPr>
        <w:t>1.1项目实施背景</w:t>
      </w:r>
      <w:bookmarkEnd w:id="3"/>
      <w:bookmarkEnd w:id="4"/>
      <w:bookmarkEnd w:id="5"/>
    </w:p>
    <w:p w14:paraId="2EF18893">
      <w:pPr>
        <w:keepNext w:val="0"/>
        <w:keepLines w:val="0"/>
        <w:pageBreakBefore w:val="0"/>
        <w:widowControl w:val="0"/>
        <w:kinsoku/>
        <w:wordWrap/>
        <w:overflowPunct/>
        <w:topLinePunct w:val="0"/>
        <w:bidi w:val="0"/>
        <w:adjustRightInd/>
        <w:snapToGrid/>
        <w:spacing w:line="360" w:lineRule="auto"/>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为</w:t>
      </w:r>
      <w:r>
        <w:rPr>
          <w:rFonts w:hint="eastAsia" w:ascii="Times New Roman" w:hAnsi="Times New Roman" w:eastAsia="宋体"/>
          <w:strike w:val="0"/>
          <w:dstrike w:val="0"/>
          <w:color w:val="auto"/>
          <w:sz w:val="24"/>
          <w:highlight w:val="none"/>
          <w:lang w:val="en-US" w:eastAsia="zh-CN"/>
        </w:rPr>
        <w:t>立足新疆木垒县绿色生态与长眉驼特色种质资源优势，以“健康、天然、品质”为理念，构建集良种繁育、标准化养殖、饲料加工、文旅体验于一体的产业发展体系。通过科学繁育、规范养殖与产业化运营，稳定供应优质原料驼奶和出栏长眉驼，带动当地畜牧养殖、饲料加工、文旅服务等相关产业协同发展，优化区域产业结构。完善“企业+牧民”利益联结机制，增强农牧民自我发展能力，促进就业增收，打造“长眉驼之乡”特色名片，推动特色畜牧业高质量发展，实现产业兴旺与乡村振兴有效衔接。</w:t>
      </w:r>
    </w:p>
    <w:p w14:paraId="19B4A6EC">
      <w:pPr>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在此背景下，</w:t>
      </w:r>
      <w:r>
        <w:rPr>
          <w:rFonts w:hint="eastAsia" w:ascii="Times New Roman" w:hAnsi="Times New Roman" w:eastAsia="宋体"/>
          <w:strike w:val="0"/>
          <w:dstrike w:val="0"/>
          <w:color w:val="auto"/>
          <w:sz w:val="24"/>
          <w:lang w:val="en-US" w:eastAsia="zh-CN"/>
        </w:rPr>
        <w:t>木垒县博斯坦乡人民政府</w:t>
      </w:r>
      <w:r>
        <w:rPr>
          <w:rFonts w:hint="eastAsia" w:ascii="Times New Roman" w:hAnsi="Times New Roman" w:eastAsia="宋体"/>
          <w:strike w:val="0"/>
          <w:dstrike w:val="0"/>
          <w:color w:val="auto"/>
          <w:sz w:val="24"/>
          <w:lang w:val="en-US" w:eastAsia="zh-CN"/>
        </w:rPr>
        <w:t>在</w:t>
      </w:r>
      <w:r>
        <w:rPr>
          <w:rFonts w:hint="eastAsia" w:ascii="Times New Roman" w:hAnsi="Times New Roman" w:eastAsia="宋体"/>
          <w:strike w:val="0"/>
          <w:dstrike w:val="0"/>
          <w:color w:val="auto"/>
          <w:sz w:val="24"/>
          <w:lang w:val="en-US" w:eastAsia="zh-CN"/>
        </w:rPr>
        <w:t>木垒县博斯坦乡阿克卓勒村</w:t>
      </w:r>
      <w:r>
        <w:rPr>
          <w:rFonts w:hint="eastAsia" w:ascii="Times New Roman" w:hAnsi="Times New Roman" w:eastAsia="宋体"/>
          <w:strike w:val="0"/>
          <w:dstrike w:val="0"/>
          <w:color w:val="auto"/>
          <w:sz w:val="24"/>
          <w:lang w:val="en-US" w:eastAsia="zh-CN"/>
        </w:rPr>
        <w:t>建设</w:t>
      </w:r>
      <w:r>
        <w:rPr>
          <w:rFonts w:hint="eastAsia" w:ascii="Times New Roman" w:hAnsi="Times New Roman" w:eastAsia="宋体"/>
          <w:strike w:val="0"/>
          <w:dstrike w:val="0"/>
          <w:color w:val="auto"/>
          <w:sz w:val="24"/>
          <w:lang w:val="en-US" w:eastAsia="zh-CN"/>
        </w:rPr>
        <w:t>木垒县2026年长眉驼良种繁育基地建设项目</w:t>
      </w:r>
      <w:r>
        <w:rPr>
          <w:rFonts w:hint="eastAsia" w:ascii="Times New Roman" w:hAnsi="Times New Roman" w:eastAsia="宋体"/>
          <w:strike w:val="0"/>
          <w:dstrike w:val="0"/>
          <w:color w:val="auto"/>
          <w:sz w:val="24"/>
          <w:lang w:val="en-US" w:eastAsia="zh-CN"/>
        </w:rPr>
        <w:t>（以下简称“本项目”），本项目新建1</w:t>
      </w:r>
      <w:r>
        <w:rPr>
          <w:rFonts w:hint="eastAsia" w:ascii="Times New Roman" w:hAnsi="Times New Roman" w:eastAsia="宋体"/>
          <w:strike w:val="0"/>
          <w:dstrike w:val="0"/>
          <w:color w:val="auto"/>
          <w:sz w:val="24"/>
          <w:vertAlign w:val="superscript"/>
          <w:lang w:val="en-US" w:eastAsia="zh-CN"/>
        </w:rPr>
        <w:t>#</w:t>
      </w:r>
      <w:r>
        <w:rPr>
          <w:rFonts w:hint="eastAsia" w:ascii="Times New Roman" w:hAnsi="Times New Roman" w:eastAsia="宋体"/>
          <w:strike w:val="0"/>
          <w:dstrike w:val="0"/>
          <w:color w:val="auto"/>
          <w:sz w:val="24"/>
          <w:lang w:val="en-US" w:eastAsia="zh-CN"/>
        </w:rPr>
        <w:t>-6</w:t>
      </w:r>
      <w:r>
        <w:rPr>
          <w:rFonts w:hint="eastAsia" w:ascii="Times New Roman" w:hAnsi="Times New Roman" w:eastAsia="宋体"/>
          <w:strike w:val="0"/>
          <w:dstrike w:val="0"/>
          <w:color w:val="auto"/>
          <w:sz w:val="24"/>
          <w:vertAlign w:val="superscript"/>
          <w:lang w:val="en-US" w:eastAsia="zh-CN"/>
        </w:rPr>
        <w:t>#</w:t>
      </w:r>
      <w:r>
        <w:rPr>
          <w:rFonts w:hint="eastAsia" w:ascii="Times New Roman" w:hAnsi="Times New Roman" w:eastAsia="宋体"/>
          <w:strike w:val="0"/>
          <w:dstrike w:val="0"/>
          <w:color w:val="auto"/>
          <w:sz w:val="24"/>
          <w:lang w:val="en-US" w:eastAsia="zh-CN"/>
        </w:rPr>
        <w:t>泌乳母驼舍建筑面积4560平方米、7</w:t>
      </w:r>
      <w:r>
        <w:rPr>
          <w:rFonts w:hint="eastAsia" w:ascii="Times New Roman" w:hAnsi="Times New Roman" w:eastAsia="宋体"/>
          <w:strike w:val="0"/>
          <w:dstrike w:val="0"/>
          <w:color w:val="auto"/>
          <w:sz w:val="24"/>
          <w:vertAlign w:val="superscript"/>
          <w:lang w:val="en-US" w:eastAsia="zh-CN"/>
        </w:rPr>
        <w:t>#</w:t>
      </w:r>
      <w:r>
        <w:rPr>
          <w:rFonts w:hint="eastAsia" w:ascii="Times New Roman" w:hAnsi="Times New Roman" w:eastAsia="宋体"/>
          <w:strike w:val="0"/>
          <w:dstrike w:val="0"/>
          <w:color w:val="auto"/>
          <w:sz w:val="24"/>
          <w:lang w:val="en-US" w:eastAsia="zh-CN"/>
        </w:rPr>
        <w:t>后备驼舍建筑面积725平方米、8#公驼舍建筑面积725平方米、隔离舍建筑面积190平方米、挤奶厅建筑面积2800平方米</w:t>
      </w:r>
      <w:r>
        <w:rPr>
          <w:rFonts w:hint="eastAsia" w:ascii="Times New Roman" w:hAnsi="Times New Roman" w:eastAsia="宋体"/>
          <w:strike w:val="0"/>
          <w:dstrike w:val="0"/>
          <w:color w:val="auto"/>
          <w:sz w:val="24"/>
          <w:vertAlign w:val="baseline"/>
          <w:lang w:val="en-US" w:eastAsia="zh-CN"/>
        </w:rPr>
        <w:t>及养殖圈舍其他配套附属设施等</w:t>
      </w:r>
      <w:r>
        <w:rPr>
          <w:rFonts w:hint="eastAsia" w:ascii="Times New Roman" w:hAnsi="Times New Roman" w:eastAsia="宋体"/>
          <w:strike w:val="0"/>
          <w:dstrike w:val="0"/>
          <w:color w:val="auto"/>
          <w:sz w:val="24"/>
          <w:vertAlign w:val="baseline"/>
          <w:lang w:val="en-US" w:eastAsia="zh-CN"/>
        </w:rPr>
        <w:t>。</w:t>
      </w:r>
    </w:p>
    <w:p w14:paraId="46DD92D2">
      <w:pPr>
        <w:pStyle w:val="3"/>
        <w:rPr>
          <w:rFonts w:hint="eastAsia" w:ascii="Times New Roman" w:hAnsi="Times New Roman" w:eastAsia="宋体"/>
          <w:strike w:val="0"/>
          <w:dstrike w:val="0"/>
          <w:color w:val="auto"/>
          <w:highlight w:val="none"/>
        </w:rPr>
      </w:pPr>
      <w:bookmarkStart w:id="6" w:name="_Toc1741"/>
      <w:bookmarkStart w:id="7" w:name="_Toc71394701"/>
      <w:bookmarkStart w:id="8" w:name="_Toc89619319"/>
      <w:r>
        <w:rPr>
          <w:rFonts w:hint="eastAsia" w:ascii="Times New Roman" w:hAnsi="Times New Roman" w:eastAsia="宋体"/>
          <w:strike w:val="0"/>
          <w:dstrike w:val="0"/>
          <w:color w:val="auto"/>
          <w:highlight w:val="none"/>
        </w:rPr>
        <w:t>1.2环评工作过程</w:t>
      </w:r>
      <w:bookmarkEnd w:id="6"/>
      <w:bookmarkEnd w:id="7"/>
      <w:bookmarkEnd w:id="8"/>
    </w:p>
    <w:p w14:paraId="02AC9AA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根据《中华人民共和国环境保护法》、《建设项目环境保护管理条例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《中华人民共和国环境影响评价法》、国务院《关于修改&lt;设项目环境保护管理条例&gt;的决定》（国务院令第682号）中有关规定和要求，该建设项目需进行环境影响评价</w:t>
      </w:r>
      <w:r>
        <w:rPr>
          <w:rFonts w:hint="eastAsia" w:ascii="Times New Roman" w:hAnsi="Times New Roman" w:eastAsia="宋体"/>
          <w:strike w:val="0"/>
          <w:dstrike w:val="0"/>
          <w:color w:val="auto"/>
          <w:highlight w:val="none"/>
          <w:lang w:eastAsia="zh-CN"/>
        </w:rPr>
        <w:t>。</w:t>
      </w:r>
    </w:p>
    <w:p w14:paraId="6B7B6DED">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本项目为</w:t>
      </w:r>
      <w:r>
        <w:rPr>
          <w:rFonts w:hint="eastAsia" w:ascii="Times New Roman" w:hAnsi="Times New Roman" w:eastAsia="宋体"/>
          <w:strike w:val="0"/>
          <w:dstrike w:val="0"/>
          <w:color w:val="auto"/>
          <w:highlight w:val="none"/>
          <w:lang w:val="en-US" w:eastAsia="zh-CN"/>
        </w:rPr>
        <w:t>骆驼养殖项目</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根据论文《基于饲养标准的家禽单位折算方法》（草地学报，第17卷第4期，2009年7月，刘玉杰、李向林、何峰）中各种家禽与绵羊单位的折算系数可知：1头牛=4只绵羊，1峰骆驼=7只绵羊；根据《畜禽养殖业污染物排放标准》（GB 118596-2001）可知：1头肉牛=5头猪。按照上述折算系数，可得出：1峰骆驼约折算成9头猪。</w:t>
      </w:r>
    </w:p>
    <w:p w14:paraId="7CBA391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根据《建设项目环境影响评价分类管理名录》（2021年版），本项目年存栏1015峰骆驼（折算成9135头猪），通过人工授精技术和精细化饲养管理等手段，平均每年可产驼奶540吨、出栏骆驼400峰，出栏公幼驼200峰，年出栏骆驼共计600峰（折算成5400头猪），属于“二、畜牧业，1畜禽养殖场、养殖小区”中“年出栏生猪5000头（其他畜禽种类折合猪的养殖量）及以上的规模化畜禽养殖”，应编制环境影响评价报告书。</w:t>
      </w:r>
      <w:r>
        <w:rPr>
          <w:rFonts w:hint="eastAsia" w:ascii="Times New Roman" w:hAnsi="Times New Roman" w:eastAsia="宋体"/>
          <w:strike w:val="0"/>
          <w:dstrike w:val="0"/>
          <w:color w:val="auto"/>
          <w:highlight w:val="none"/>
        </w:rPr>
        <w:t>我单位立即组织有关环评工作人员赴现场进行了实地踏勘，对评价区范围的自然环境及规划情况进行了调查，收集了当地水文、地质、气象、环境现状等资料，并收集了具有相似生产规模和工艺的企业的实际生产数据</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评价单位在此基础上，与建设单位进行多次沟通，查阅行业资料，咨询了行业专家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在这些工作的基础上按照《环境影响评价技术导则》的有关规定，编制完成了《</w:t>
      </w:r>
      <w:r>
        <w:rPr>
          <w:rFonts w:hint="eastAsia" w:ascii="Times New Roman" w:hAnsi="Times New Roman" w:eastAsia="宋体"/>
          <w:strike w:val="0"/>
          <w:dstrike w:val="0"/>
          <w:color w:val="auto"/>
          <w:highlight w:val="none"/>
          <w:lang w:eastAsia="zh-CN"/>
        </w:rPr>
        <w:t>木垒县2026年长眉驼良种繁育基地建设项目</w:t>
      </w:r>
      <w:r>
        <w:rPr>
          <w:rFonts w:hint="eastAsia" w:ascii="Times New Roman" w:hAnsi="Times New Roman" w:eastAsia="宋体"/>
          <w:strike w:val="0"/>
          <w:dstrike w:val="0"/>
          <w:color w:val="auto"/>
          <w:highlight w:val="none"/>
        </w:rPr>
        <w:t>环境影响报告书》</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现报</w:t>
      </w:r>
      <w:r>
        <w:rPr>
          <w:rFonts w:hint="eastAsia" w:ascii="Times New Roman" w:hAnsi="Times New Roman" w:eastAsia="宋体"/>
          <w:strike w:val="0"/>
          <w:dstrike w:val="0"/>
          <w:color w:val="auto"/>
          <w:highlight w:val="none"/>
          <w:lang w:val="en-US" w:eastAsia="zh-CN"/>
        </w:rPr>
        <w:t>昌吉州</w:t>
      </w:r>
      <w:r>
        <w:rPr>
          <w:rFonts w:hint="eastAsia" w:ascii="Times New Roman" w:hAnsi="Times New Roman" w:eastAsia="宋体"/>
          <w:strike w:val="0"/>
          <w:dstrike w:val="0"/>
          <w:color w:val="auto"/>
          <w:highlight w:val="none"/>
        </w:rPr>
        <w:t>生态环境局审批后作为本项目建设期和运营期环境</w:t>
      </w:r>
      <w:r>
        <w:rPr>
          <w:rFonts w:hint="eastAsia" w:ascii="Times New Roman" w:hAnsi="Times New Roman" w:eastAsia="宋体"/>
          <w:strike w:val="0"/>
          <w:dstrike w:val="0"/>
          <w:color w:val="auto"/>
          <w:highlight w:val="none"/>
          <w:lang w:eastAsia="zh-CN"/>
        </w:rPr>
        <w:t>管理</w:t>
      </w:r>
      <w:r>
        <w:rPr>
          <w:rFonts w:hint="eastAsia" w:ascii="Times New Roman" w:hAnsi="Times New Roman" w:eastAsia="宋体"/>
          <w:strike w:val="0"/>
          <w:dstrike w:val="0"/>
          <w:color w:val="auto"/>
          <w:highlight w:val="none"/>
        </w:rPr>
        <w:t>的依据</w:t>
      </w:r>
      <w:r>
        <w:rPr>
          <w:rFonts w:hint="eastAsia" w:ascii="Times New Roman" w:hAnsi="Times New Roman" w:eastAsia="宋体"/>
          <w:strike w:val="0"/>
          <w:dstrike w:val="0"/>
          <w:color w:val="auto"/>
          <w:highlight w:val="none"/>
          <w:lang w:eastAsia="zh-CN"/>
        </w:rPr>
        <w:t>。</w:t>
      </w:r>
    </w:p>
    <w:p w14:paraId="231E59A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环境影响评价工作一般</w:t>
      </w:r>
      <w:r>
        <w:rPr>
          <w:rFonts w:hint="eastAsia" w:ascii="Times New Roman" w:hAnsi="Times New Roman" w:eastAsia="宋体"/>
          <w:strike w:val="0"/>
          <w:dstrike w:val="0"/>
          <w:color w:val="auto"/>
          <w:highlight w:val="none"/>
          <w:lang w:eastAsia="zh-CN"/>
        </w:rPr>
        <w:t>分为</w:t>
      </w:r>
      <w:r>
        <w:rPr>
          <w:rFonts w:hint="eastAsia" w:ascii="Times New Roman" w:hAnsi="Times New Roman" w:eastAsia="宋体"/>
          <w:strike w:val="0"/>
          <w:dstrike w:val="0"/>
          <w:color w:val="auto"/>
          <w:highlight w:val="none"/>
        </w:rPr>
        <w:t>三个阶段，即前期准备、调研和工作方案阶段，分析论证和预测评价阶段、环境影响评价文件编制阶段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本项目环境影响评价工作程序见图1.2-1</w:t>
      </w:r>
      <w:r>
        <w:rPr>
          <w:rFonts w:hint="eastAsia" w:ascii="Times New Roman" w:hAnsi="Times New Roman" w:eastAsia="宋体"/>
          <w:strike w:val="0"/>
          <w:dstrike w:val="0"/>
          <w:color w:val="auto"/>
          <w:highlight w:val="none"/>
          <w:lang w:eastAsia="zh-CN"/>
        </w:rPr>
        <w:t>。</w:t>
      </w:r>
    </w:p>
    <w:p w14:paraId="1CA2B0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olor w:val="auto"/>
          <w:position w:val="-196"/>
        </w:rPr>
      </w:pPr>
      <w:r>
        <w:rPr>
          <w:rFonts w:ascii="Times New Roman" w:hAnsi="Times New Roman" w:eastAsia="宋体"/>
          <w:color w:val="auto"/>
          <w:position w:val="-196"/>
        </w:rPr>
        <w:drawing>
          <wp:inline distT="0" distB="0" distL="0" distR="0">
            <wp:extent cx="3599815" cy="4306570"/>
            <wp:effectExtent l="0" t="0" r="635" b="17780"/>
            <wp:docPr id="72" name="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 6"/>
                    <pic:cNvPicPr>
                      <a:picLocks noChangeAspect="1"/>
                    </pic:cNvPicPr>
                  </pic:nvPicPr>
                  <pic:blipFill>
                    <a:blip r:embed="rId27"/>
                    <a:stretch>
                      <a:fillRect/>
                    </a:stretch>
                  </pic:blipFill>
                  <pic:spPr>
                    <a:xfrm>
                      <a:off x="0" y="0"/>
                      <a:ext cx="3599815" cy="4306570"/>
                    </a:xfrm>
                    <a:prstGeom prst="rect">
                      <a:avLst/>
                    </a:prstGeom>
                  </pic:spPr>
                </pic:pic>
              </a:graphicData>
            </a:graphic>
          </wp:inline>
        </w:drawing>
      </w:r>
    </w:p>
    <w:p w14:paraId="459E6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bCs/>
          <w:strike w:val="0"/>
          <w:dstrike w:val="0"/>
          <w:color w:val="auto"/>
          <w:highlight w:val="red"/>
        </w:rPr>
      </w:pPr>
      <w:r>
        <w:rPr>
          <w:rFonts w:hint="eastAsia" w:ascii="Times New Roman" w:hAnsi="Times New Roman" w:eastAsia="宋体"/>
          <w:b/>
          <w:bCs/>
          <w:strike w:val="0"/>
          <w:dstrike w:val="0"/>
          <w:color w:val="auto"/>
          <w:highlight w:val="none"/>
        </w:rPr>
        <w:t>图1.2-1</w:t>
      </w:r>
      <w:r>
        <w:rPr>
          <w:rFonts w:hint="eastAsia" w:ascii="Times New Roman" w:hAnsi="Times New Roman" w:eastAsia="宋体"/>
          <w:b/>
          <w:bCs/>
          <w:strike w:val="0"/>
          <w:dstrike w:val="0"/>
          <w:color w:val="auto"/>
          <w:highlight w:val="none"/>
          <w:lang w:val="en-US" w:eastAsia="zh-CN"/>
        </w:rPr>
        <w:t xml:space="preserve"> </w:t>
      </w:r>
      <w:r>
        <w:rPr>
          <w:rFonts w:hint="eastAsia" w:ascii="Times New Roman" w:hAnsi="Times New Roman" w:eastAsia="宋体"/>
          <w:b/>
          <w:bCs/>
          <w:strike w:val="0"/>
          <w:dstrike w:val="0"/>
          <w:color w:val="auto"/>
          <w:highlight w:val="none"/>
        </w:rPr>
        <w:t>环境影响评价工作程序</w:t>
      </w:r>
    </w:p>
    <w:p w14:paraId="300B12A0">
      <w:pPr>
        <w:pStyle w:val="3"/>
        <w:snapToGrid w:val="0"/>
        <w:spacing w:before="0" w:after="0"/>
        <w:rPr>
          <w:rFonts w:ascii="Times New Roman" w:hAnsi="Times New Roman" w:eastAsia="宋体"/>
          <w:strike w:val="0"/>
          <w:dstrike w:val="0"/>
          <w:color w:val="auto"/>
          <w:highlight w:val="none"/>
        </w:rPr>
      </w:pPr>
      <w:bookmarkStart w:id="9" w:name="_Toc89619320"/>
      <w:bookmarkStart w:id="10" w:name="_Toc8140"/>
      <w:bookmarkStart w:id="11" w:name="_Toc71394702"/>
      <w:r>
        <w:rPr>
          <w:rFonts w:hint="eastAsia" w:ascii="Times New Roman" w:hAnsi="Times New Roman" w:eastAsia="宋体"/>
          <w:strike w:val="0"/>
          <w:dstrike w:val="0"/>
          <w:color w:val="auto"/>
          <w:highlight w:val="none"/>
        </w:rPr>
        <w:t>1.3分析判定相关情况</w:t>
      </w:r>
      <w:bookmarkEnd w:id="9"/>
      <w:bookmarkEnd w:id="10"/>
      <w:bookmarkEnd w:id="11"/>
    </w:p>
    <w:p w14:paraId="1E0B2E00">
      <w:pPr>
        <w:pStyle w:val="4"/>
        <w:snapToGrid w:val="0"/>
        <w:spacing w:before="0" w:after="0"/>
        <w:rPr>
          <w:rFonts w:ascii="Times New Roman" w:hAnsi="Times New Roman" w:eastAsia="宋体"/>
          <w:strike w:val="0"/>
          <w:dstrike w:val="0"/>
          <w:color w:val="auto"/>
          <w:highlight w:val="none"/>
        </w:rPr>
      </w:pPr>
      <w:bookmarkStart w:id="12" w:name="_Toc7905"/>
      <w:bookmarkStart w:id="13" w:name="_Toc106663413"/>
      <w:r>
        <w:rPr>
          <w:rFonts w:hint="eastAsia" w:ascii="Times New Roman" w:hAnsi="Times New Roman" w:eastAsia="宋体"/>
          <w:strike w:val="0"/>
          <w:dstrike w:val="0"/>
          <w:color w:val="auto"/>
          <w:highlight w:val="none"/>
        </w:rPr>
        <w:t>1.3.1产业政策相符性</w:t>
      </w:r>
      <w:bookmarkEnd w:id="12"/>
      <w:bookmarkEnd w:id="13"/>
    </w:p>
    <w:p w14:paraId="14090144">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本项目主要从事</w:t>
      </w:r>
      <w:r>
        <w:rPr>
          <w:rFonts w:hint="eastAsia" w:ascii="Times New Roman" w:hAnsi="Times New Roman" w:eastAsia="宋体"/>
          <w:strike w:val="0"/>
          <w:dstrike w:val="0"/>
          <w:color w:val="auto"/>
          <w:highlight w:val="none"/>
          <w:lang w:val="en-US" w:eastAsia="zh-CN"/>
        </w:rPr>
        <w:t>骆驼养殖</w:t>
      </w:r>
      <w:r>
        <w:rPr>
          <w:rFonts w:hint="eastAsia" w:ascii="Times New Roman" w:hAnsi="Times New Roman" w:eastAsia="宋体"/>
          <w:strike w:val="0"/>
          <w:dstrike w:val="0"/>
          <w:color w:val="auto"/>
          <w:highlight w:val="none"/>
        </w:rPr>
        <w:t>，根据《</w:t>
      </w:r>
      <w:r>
        <w:rPr>
          <w:rFonts w:hint="eastAsia" w:ascii="Times New Roman" w:hAnsi="Times New Roman" w:eastAsia="宋体"/>
          <w:strike w:val="0"/>
          <w:dstrike w:val="0"/>
          <w:color w:val="auto"/>
          <w:highlight w:val="none"/>
          <w:lang w:eastAsia="zh-CN"/>
        </w:rPr>
        <w:t>产业结构调整指导目录（</w:t>
      </w:r>
      <w:r>
        <w:rPr>
          <w:rFonts w:hint="eastAsia" w:ascii="Times New Roman" w:hAnsi="Times New Roman" w:eastAsia="宋体"/>
          <w:strike w:val="0"/>
          <w:dstrike w:val="0"/>
          <w:color w:val="auto"/>
          <w:highlight w:val="none"/>
          <w:lang w:val="en-US" w:eastAsia="zh-CN"/>
        </w:rPr>
        <w:t>2024</w:t>
      </w:r>
      <w:r>
        <w:rPr>
          <w:rFonts w:hint="eastAsia" w:ascii="Times New Roman" w:hAnsi="Times New Roman" w:eastAsia="宋体"/>
          <w:strike w:val="0"/>
          <w:dstrike w:val="0"/>
          <w:color w:val="auto"/>
          <w:highlight w:val="none"/>
          <w:lang w:eastAsia="zh-CN"/>
        </w:rPr>
        <w:t>年本）</w:t>
      </w:r>
      <w:r>
        <w:rPr>
          <w:rFonts w:hint="eastAsia" w:ascii="Times New Roman" w:hAnsi="Times New Roman" w:eastAsia="宋体"/>
          <w:strike w:val="0"/>
          <w:dstrike w:val="0"/>
          <w:color w:val="auto"/>
          <w:highlight w:val="none"/>
        </w:rPr>
        <w:t>》，本项目属于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第一类鼓励类—一、</w:t>
      </w:r>
      <w:r>
        <w:rPr>
          <w:rFonts w:hint="eastAsia" w:ascii="Times New Roman" w:hAnsi="Times New Roman" w:eastAsia="宋体"/>
          <w:strike w:val="0"/>
          <w:dstrike w:val="0"/>
          <w:color w:val="auto"/>
          <w:highlight w:val="none"/>
          <w:lang w:val="en-US" w:eastAsia="zh-CN"/>
        </w:rPr>
        <w:t>农林牧渔业</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14.现代畜牧业及水产生态健康养殖：畜禽标准化规模养殖技术开发与应用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，因此，符合国家产业政策</w:t>
      </w:r>
      <w:r>
        <w:rPr>
          <w:rFonts w:hint="eastAsia" w:ascii="Times New Roman" w:hAnsi="Times New Roman" w:eastAsia="宋体"/>
          <w:strike w:val="0"/>
          <w:dstrike w:val="0"/>
          <w:color w:val="auto"/>
          <w:highlight w:val="none"/>
          <w:lang w:eastAsia="zh-CN"/>
        </w:rPr>
        <w:t>。</w:t>
      </w:r>
    </w:p>
    <w:p w14:paraId="475E093C">
      <w:pPr>
        <w:pStyle w:val="4"/>
        <w:snapToGrid w:val="0"/>
        <w:spacing w:before="0" w:after="0"/>
        <w:rPr>
          <w:rFonts w:ascii="Times New Roman" w:hAnsi="Times New Roman" w:eastAsia="宋体"/>
          <w:strike w:val="0"/>
          <w:dstrike w:val="0"/>
          <w:color w:val="auto"/>
          <w:highlight w:val="none"/>
        </w:rPr>
      </w:pPr>
      <w:bookmarkStart w:id="14" w:name="_Toc32348"/>
      <w:bookmarkStart w:id="15" w:name="_Toc106663414"/>
      <w:r>
        <w:rPr>
          <w:rFonts w:hint="eastAsia" w:ascii="Times New Roman" w:hAnsi="Times New Roman" w:eastAsia="宋体"/>
          <w:strike w:val="0"/>
          <w:dstrike w:val="0"/>
          <w:color w:val="auto"/>
          <w:highlight w:val="none"/>
        </w:rPr>
        <w:t>1.3.2规划符合性</w:t>
      </w:r>
      <w:bookmarkEnd w:id="14"/>
      <w:bookmarkEnd w:id="15"/>
    </w:p>
    <w:p w14:paraId="66466AED">
      <w:pPr>
        <w:snapToGrid w:val="0"/>
        <w:ind w:firstLine="480"/>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（1）与《新疆维吾尔自治区国民经济和社会发展第十</w:t>
      </w:r>
      <w:r>
        <w:rPr>
          <w:rFonts w:hint="eastAsia" w:ascii="Times New Roman" w:hAnsi="Times New Roman" w:eastAsia="宋体"/>
          <w:b/>
          <w:bCs/>
          <w:strike w:val="0"/>
          <w:dstrike w:val="0"/>
          <w:color w:val="auto"/>
          <w:highlight w:val="none"/>
          <w:lang w:val="en-US" w:eastAsia="zh-CN"/>
        </w:rPr>
        <w:t>五</w:t>
      </w:r>
      <w:r>
        <w:rPr>
          <w:rFonts w:hint="eastAsia" w:ascii="Times New Roman" w:hAnsi="Times New Roman" w:eastAsia="宋体"/>
          <w:b/>
          <w:bCs/>
          <w:strike w:val="0"/>
          <w:dstrike w:val="0"/>
          <w:color w:val="auto"/>
          <w:highlight w:val="none"/>
        </w:rPr>
        <w:t>个五年规划纲要》的符合性分析</w:t>
      </w:r>
    </w:p>
    <w:p w14:paraId="2E1EE8E0">
      <w:pPr>
        <w:snapToGrid w:val="0"/>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《新疆维吾尔自治区国民经济和社会发展第十</w:t>
      </w:r>
      <w:r>
        <w:rPr>
          <w:rFonts w:hint="eastAsia" w:ascii="Times New Roman" w:hAnsi="Times New Roman" w:eastAsia="宋体"/>
          <w:strike w:val="0"/>
          <w:dstrike w:val="0"/>
          <w:color w:val="auto"/>
          <w:highlight w:val="none"/>
          <w:lang w:val="en-US" w:eastAsia="zh-CN"/>
        </w:rPr>
        <w:t>五</w:t>
      </w:r>
      <w:r>
        <w:rPr>
          <w:rFonts w:hint="eastAsia" w:ascii="Times New Roman" w:hAnsi="Times New Roman" w:eastAsia="宋体"/>
          <w:strike w:val="0"/>
          <w:dstrike w:val="0"/>
          <w:color w:val="auto"/>
          <w:highlight w:val="none"/>
        </w:rPr>
        <w:t>个五年规划纲要》指出，加强绿色畜牧产品生产基地和优质果蔬标准化基地建设，延伸精深加工产业链，推动优势产品“走出去”，全面提升综合生产能力和经营效益。建强绿色畜牧产品产业链。深入实施畜牧业振兴行动，加快草原畜牧业转型升级。推动品种改良和农区养殖业发展，实施畜禽遗传改良计划，提高优势畜禽主导品种自主供种能力。促进肉羊增产、肉牛提质、奶业增效，因地制宜发展生猪、家禽、马、驼、蜂等产业，稳步扩大特色渔业。持续建设肉牛肉羊特色产业集聚区、牛奶和特色驼乳生产加工集聚区，大力发展畜禽水产精深加工、分级包装、冷链物流，拓展多样化乳品生产。健全完善现代饲草生产、加工、储存、流通、配送体系。强化动物疫病防控，保障畜牧业生产安全。“十五五”期间，保障肉蛋奶稳定供给。</w:t>
      </w:r>
    </w:p>
    <w:p w14:paraId="4C5059A7">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本项目立足木垒县资源条件开展长眉驼规模化养殖，建设标准化繁育基地，属于区域重点扶持的特色骆驼产业，契合自治区绿色畜牧产业布局</w:t>
      </w:r>
      <w:r>
        <w:rPr>
          <w:rFonts w:hint="eastAsia" w:ascii="Times New Roman" w:hAnsi="Times New Roman" w:eastAsia="宋体"/>
          <w:strike w:val="0"/>
          <w:dstrike w:val="0"/>
          <w:color w:val="auto"/>
          <w:highlight w:val="none"/>
          <w:lang w:eastAsia="zh-CN"/>
        </w:rPr>
        <w:t>；项目开展长眉驼保种、繁育与品种选育，壮大良种种群，能够强化地方优良驼种资源保护，提高良种供给水平，严格落实畜禽遗传改良行动要求；项目养殖长眉驼并配套</w:t>
      </w:r>
      <w:r>
        <w:rPr>
          <w:rFonts w:hint="eastAsia" w:ascii="Times New Roman" w:hAnsi="Times New Roman" w:eastAsia="宋体"/>
          <w:strike w:val="0"/>
          <w:dstrike w:val="0"/>
          <w:color w:val="auto"/>
          <w:highlight w:val="none"/>
          <w:lang w:val="en-US" w:eastAsia="zh-CN"/>
        </w:rPr>
        <w:t>挤奶大厅</w:t>
      </w:r>
      <w:r>
        <w:rPr>
          <w:rFonts w:hint="eastAsia" w:ascii="Times New Roman" w:hAnsi="Times New Roman" w:eastAsia="宋体"/>
          <w:strike w:val="0"/>
          <w:dstrike w:val="0"/>
          <w:color w:val="auto"/>
          <w:highlight w:val="none"/>
          <w:lang w:eastAsia="zh-CN"/>
        </w:rPr>
        <w:t>，可为后续驼乳精深加工提供优质原料，延伸驼产业上下游链条，完善区域驼乳产业链条，推动特色畜牧产品提质增效；</w:t>
      </w:r>
      <w:r>
        <w:rPr>
          <w:rFonts w:hint="eastAsia" w:ascii="Times New Roman" w:hAnsi="Times New Roman" w:eastAsia="宋体"/>
          <w:strike w:val="0"/>
          <w:dstrike w:val="0"/>
          <w:color w:val="auto"/>
          <w:highlight w:val="none"/>
        </w:rPr>
        <w:t>项目配套建设饲草料贮存、加工设施，建立稳定饲草供给体系，实现种养配套、粮草平衡，保障养殖业稳定可持续发展</w:t>
      </w:r>
      <w:r>
        <w:rPr>
          <w:rFonts w:hint="eastAsia" w:ascii="Times New Roman" w:hAnsi="Times New Roman" w:eastAsia="宋体"/>
          <w:strike w:val="0"/>
          <w:dstrike w:val="0"/>
          <w:color w:val="auto"/>
          <w:highlight w:val="none"/>
          <w:lang w:eastAsia="zh-CN"/>
        </w:rPr>
        <w:t>；项目产出的驼粪经简单堆肥后外售有机肥厂，实现种养循环；驼乳作为原料外销精深加工企业。</w:t>
      </w:r>
      <w:r>
        <w:rPr>
          <w:rFonts w:hint="eastAsia" w:ascii="Times New Roman" w:hAnsi="Times New Roman" w:eastAsia="宋体"/>
          <w:strike w:val="0"/>
          <w:dstrike w:val="0"/>
          <w:color w:val="auto"/>
          <w:highlight w:val="none"/>
        </w:rPr>
        <w:t>因此，本项目符合《新疆维吾尔自治区国民经济和社会发展第十</w:t>
      </w:r>
      <w:r>
        <w:rPr>
          <w:rFonts w:hint="eastAsia" w:ascii="Times New Roman" w:hAnsi="Times New Roman" w:eastAsia="宋体"/>
          <w:strike w:val="0"/>
          <w:dstrike w:val="0"/>
          <w:color w:val="auto"/>
          <w:highlight w:val="none"/>
          <w:lang w:val="en-US" w:eastAsia="zh-CN"/>
        </w:rPr>
        <w:t>五</w:t>
      </w:r>
      <w:r>
        <w:rPr>
          <w:rFonts w:hint="eastAsia" w:ascii="Times New Roman" w:hAnsi="Times New Roman" w:eastAsia="宋体"/>
          <w:strike w:val="0"/>
          <w:dstrike w:val="0"/>
          <w:color w:val="auto"/>
          <w:highlight w:val="none"/>
        </w:rPr>
        <w:t>个五年规划纲要》相关要求</w:t>
      </w:r>
      <w:r>
        <w:rPr>
          <w:rFonts w:hint="eastAsia" w:ascii="Times New Roman" w:hAnsi="Times New Roman" w:eastAsia="宋体"/>
          <w:strike w:val="0"/>
          <w:dstrike w:val="0"/>
          <w:color w:val="auto"/>
          <w:highlight w:val="none"/>
          <w:lang w:eastAsia="zh-CN"/>
        </w:rPr>
        <w:t>。</w:t>
      </w:r>
    </w:p>
    <w:p w14:paraId="3D537F28">
      <w:pPr>
        <w:snapToGrid w:val="0"/>
        <w:ind w:firstLine="480"/>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（2）与《新疆维吾尔自治区畜牧业</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rPr>
        <w:t>十四五</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rPr>
        <w:t>发展规划》的符合性分析</w:t>
      </w:r>
    </w:p>
    <w:p w14:paraId="2E78259F">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《新疆维吾尔自治区畜牧业</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发展规划》提出，</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期间，全区畜牧业坚持生态化发展方向，坚持农牧结合、草畜配套，稳定发展牧区畜牧业，突出发展农区畜牧业，坚持走集约化、标准化、规模化的发展道路，着力夯基础、补短板、强弱项、优结构、促融合、壮主体、增动能，强化科技创新和政策支持，做大肉牛肉羊产业、加快奶业振兴、做优做强畜禽产业、因地制宜发展特色产业，构建科学合理、安全高效的畜产品供给保障体系，加快推进现代畜牧业发展</w:t>
      </w:r>
      <w:r>
        <w:rPr>
          <w:rFonts w:hint="eastAsia" w:ascii="Times New Roman" w:hAnsi="Times New Roman" w:eastAsia="宋体"/>
          <w:strike w:val="0"/>
          <w:dstrike w:val="0"/>
          <w:color w:val="auto"/>
          <w:highlight w:val="none"/>
          <w:lang w:eastAsia="zh-CN"/>
        </w:rPr>
        <w:t>。</w:t>
      </w:r>
    </w:p>
    <w:p w14:paraId="2345F818">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到2025年，将建立适合区情、支撑有力的畜牧业产业体系、生产体系、经营体系，形成天山北坡奶业、南疆特禽、北疆绿色有机牛羊肉、马产业等4个产值百亿元以上、有国内影响力的产业集群</w:t>
      </w:r>
      <w:r>
        <w:rPr>
          <w:rFonts w:hint="eastAsia" w:ascii="Times New Roman" w:hAnsi="Times New Roman" w:eastAsia="宋体"/>
          <w:strike w:val="0"/>
          <w:dstrike w:val="0"/>
          <w:color w:val="auto"/>
          <w:highlight w:val="none"/>
          <w:lang w:eastAsia="zh-CN"/>
        </w:rPr>
        <w:t>。</w:t>
      </w:r>
    </w:p>
    <w:p w14:paraId="54D26AC8">
      <w:pPr>
        <w:snapToGrid w:val="0"/>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本项目为</w:t>
      </w:r>
      <w:r>
        <w:rPr>
          <w:rFonts w:hint="eastAsia" w:ascii="Times New Roman" w:hAnsi="Times New Roman" w:eastAsia="宋体"/>
          <w:strike w:val="0"/>
          <w:dstrike w:val="0"/>
          <w:color w:val="auto"/>
          <w:highlight w:val="none"/>
          <w:lang w:eastAsia="zh-CN"/>
        </w:rPr>
        <w:t>木垒县2026年长眉驼良种繁育基地建设项目</w:t>
      </w:r>
      <w:r>
        <w:rPr>
          <w:rFonts w:hint="eastAsia" w:ascii="Times New Roman" w:hAnsi="Times New Roman" w:eastAsia="宋体"/>
          <w:strike w:val="0"/>
          <w:dstrike w:val="0"/>
          <w:color w:val="auto"/>
          <w:highlight w:val="none"/>
        </w:rPr>
        <w:t>，采用规模化、集约化养殖模式，项目重点发展骆驼特色养殖，属于规划因地制宜培育的特色产业，能够充实北疆畜牧产业集群</w:t>
      </w:r>
      <w:r>
        <w:rPr>
          <w:rFonts w:hint="eastAsia" w:ascii="Times New Roman" w:hAnsi="Times New Roman" w:eastAsia="宋体"/>
          <w:strike w:val="0"/>
          <w:dstrike w:val="0"/>
          <w:color w:val="auto"/>
          <w:highlight w:val="none"/>
          <w:lang w:eastAsia="zh-CN"/>
        </w:rPr>
        <w:t>，场区完善防疫、粪污资源化利用等基础设施，健全畜产品供给保障体系，驼乳外销加工企业，延伸产业链条，</w:t>
      </w:r>
      <w:r>
        <w:rPr>
          <w:rFonts w:hint="eastAsia" w:ascii="Times New Roman" w:hAnsi="Times New Roman" w:eastAsia="宋体"/>
          <w:strike w:val="0"/>
          <w:dstrike w:val="0"/>
          <w:color w:val="auto"/>
          <w:highlight w:val="none"/>
        </w:rPr>
        <w:t>项目的建设符合《新疆维吾尔自治区畜牧业</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发展规划》的相关要求</w:t>
      </w:r>
      <w:r>
        <w:rPr>
          <w:rFonts w:hint="eastAsia" w:ascii="Times New Roman" w:hAnsi="Times New Roman" w:eastAsia="宋体"/>
          <w:strike w:val="0"/>
          <w:dstrike w:val="0"/>
          <w:color w:val="auto"/>
          <w:highlight w:val="none"/>
          <w:lang w:eastAsia="zh-CN"/>
        </w:rPr>
        <w:t>。</w:t>
      </w:r>
    </w:p>
    <w:p w14:paraId="39C7C95F">
      <w:pPr>
        <w:snapToGrid w:val="0"/>
        <w:ind w:firstLine="480"/>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3</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与《新疆生态环境保护“十四五”规划》符合性分析</w:t>
      </w:r>
    </w:p>
    <w:p w14:paraId="5AAC5359">
      <w:pPr>
        <w:snapToGrid w:val="0"/>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《新疆维吾尔自治区环境保护“十四五”规划》提出“强化养殖业污染治理</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推进畜禽粪污资源化利用，大力发展生态循环农业，全面规范规模化畜禽养殖场和养殖小区污染治理设施，加大畜禽养殖废弃物收集、贮存、处理、输送和施用等设施建设力度</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推进畜禽养殖大县整县治理</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到2025年，畜禽粪污综合利用率达到80%以上</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w:t>
      </w:r>
    </w:p>
    <w:p w14:paraId="448134B1">
      <w:pPr>
        <w:snapToGrid w:val="0"/>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w:t>
      </w:r>
      <w:r>
        <w:rPr>
          <w:rFonts w:hint="eastAsia" w:ascii="Times New Roman" w:hAnsi="Times New Roman" w:eastAsia="宋体"/>
          <w:strike w:val="0"/>
          <w:dstrike w:val="0"/>
          <w:color w:val="auto"/>
          <w:highlight w:val="none"/>
          <w:lang w:val="en-US" w:eastAsia="zh-CN"/>
        </w:rPr>
        <w:t>目是</w:t>
      </w:r>
      <w:r>
        <w:rPr>
          <w:rFonts w:hint="eastAsia" w:ascii="Times New Roman" w:hAnsi="Times New Roman" w:eastAsia="宋体"/>
          <w:strike w:val="0"/>
          <w:dstrike w:val="0"/>
          <w:color w:val="auto"/>
          <w:highlight w:val="none"/>
          <w:lang w:val="en-US" w:eastAsia="zh-CN"/>
        </w:rPr>
        <w:t>集约化养殖项目，根据《畜禽养殖业污染物治理工程技术规范》</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HJ497－2009）要求，本项目建设后拟采用干清粪工艺</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lang w:val="en-US" w:eastAsia="zh-CN"/>
        </w:rPr>
        <w:t>粪便及时清出，</w:t>
      </w:r>
      <w:r>
        <w:rPr>
          <w:rFonts w:hint="eastAsia" w:ascii="Times New Roman" w:hAnsi="Times New Roman" w:eastAsia="宋体"/>
          <w:strike w:val="0"/>
          <w:dstrike w:val="0"/>
          <w:color w:val="auto"/>
          <w:highlight w:val="none"/>
          <w:lang w:val="en-US" w:eastAsia="zh-CN"/>
        </w:rPr>
        <w:t>粪便处理后外售有机肥厂</w:t>
      </w:r>
      <w:r>
        <w:rPr>
          <w:rFonts w:hint="eastAsia" w:ascii="Times New Roman" w:hAnsi="Times New Roman" w:eastAsia="宋体"/>
          <w:strike w:val="0"/>
          <w:dstrike w:val="0"/>
          <w:color w:val="auto"/>
          <w:highlight w:val="none"/>
          <w:lang w:val="en-US" w:eastAsia="zh-CN"/>
        </w:rPr>
        <w:t>，实现畜禽粪污综合利用</w:t>
      </w:r>
      <w:r>
        <w:rPr>
          <w:rFonts w:hint="eastAsia" w:ascii="Times New Roman" w:hAnsi="Times New Roman" w:eastAsia="宋体"/>
          <w:strike w:val="0"/>
          <w:dstrike w:val="0"/>
          <w:color w:val="auto"/>
          <w:highlight w:val="none"/>
          <w:lang w:val="en-US" w:eastAsia="zh-CN"/>
        </w:rPr>
        <w:t>。</w:t>
      </w:r>
    </w:p>
    <w:p w14:paraId="7C55658B">
      <w:pPr>
        <w:snapToGrid w:val="0"/>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综上所述，本项目符合《新疆生态环境保护“十四五”规划》的要求。</w:t>
      </w:r>
    </w:p>
    <w:p w14:paraId="3BB0CAD0">
      <w:pPr>
        <w:snapToGrid w:val="0"/>
        <w:ind w:firstLine="480"/>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（4）与《新疆维吾尔自治区七大片区“三线一单”生态环境分区管控要求》符合性分析</w:t>
      </w:r>
    </w:p>
    <w:p w14:paraId="672888E4">
      <w:pPr>
        <w:snapToGrid w:val="0"/>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本项目与《新疆维吾尔自治区七大片区“三线一单”生态环境分区管控要求》符合性分析。</w:t>
      </w:r>
    </w:p>
    <w:p w14:paraId="70206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表1.3-1与生态环境分区管控要求符合性分析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4404"/>
        <w:gridCol w:w="3064"/>
        <w:gridCol w:w="476"/>
      </w:tblGrid>
      <w:tr w14:paraId="5EF6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678D316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管控类别</w:t>
            </w:r>
          </w:p>
        </w:tc>
        <w:tc>
          <w:tcPr>
            <w:tcW w:w="2583" w:type="pct"/>
            <w:vAlign w:val="center"/>
          </w:tcPr>
          <w:p w14:paraId="5F61E28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管控要求</w:t>
            </w:r>
          </w:p>
        </w:tc>
        <w:tc>
          <w:tcPr>
            <w:tcW w:w="1797" w:type="pct"/>
            <w:vAlign w:val="center"/>
          </w:tcPr>
          <w:p w14:paraId="31334A0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w:t>
            </w:r>
          </w:p>
        </w:tc>
        <w:tc>
          <w:tcPr>
            <w:tcW w:w="279" w:type="pct"/>
            <w:vAlign w:val="center"/>
          </w:tcPr>
          <w:p w14:paraId="7704E6B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符合性</w:t>
            </w:r>
          </w:p>
        </w:tc>
      </w:tr>
      <w:tr w14:paraId="4A2D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20D753F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空间布局约束</w:t>
            </w:r>
          </w:p>
        </w:tc>
        <w:tc>
          <w:tcPr>
            <w:tcW w:w="2583" w:type="pct"/>
            <w:vAlign w:val="center"/>
          </w:tcPr>
          <w:p w14:paraId="2EAA4C04">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left"/>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严格执行国家、自治区产业政策和环境准入要求，严禁“三高”项目进新疆，坚决遏制“两高”项目盲目发展</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不得在水源涵养区、饮用水水源保护区内和河流、湖泊、水库周围建设重化工、涉重金属等工业污染项目</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推动项目集聚发展，新建、改建、扩建工业项目原则上应布置于由县级及以上人民政府批准建立、环境保护基础设施完善的产业园区、工业聚集区或规划矿区，并且符合相关规划和规划环评要求</w:t>
            </w:r>
            <w:r>
              <w:rPr>
                <w:rFonts w:hint="eastAsia" w:ascii="Times New Roman" w:hAnsi="Times New Roman" w:eastAsia="宋体"/>
                <w:strike w:val="0"/>
                <w:dstrike w:val="0"/>
                <w:color w:val="auto"/>
                <w:sz w:val="21"/>
                <w:highlight w:val="none"/>
                <w:vertAlign w:val="baseline"/>
                <w:lang w:val="en-US" w:eastAsia="zh-CN"/>
              </w:rPr>
              <w:t>。</w:t>
            </w:r>
          </w:p>
        </w:tc>
        <w:tc>
          <w:tcPr>
            <w:tcW w:w="1797" w:type="pct"/>
            <w:vAlign w:val="center"/>
          </w:tcPr>
          <w:p w14:paraId="6A45BE8A">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rPr>
              <w:t>本项目主要从事骆驼养殖，根据《产业结构调整指导目录（2024年本）》，本项目属于“第一类鼓励类—一、农林牧渔业—14.现代畜牧业及水产生态健康养殖：畜禽标准化规模养殖技术开发与应用”，</w:t>
            </w:r>
            <w:r>
              <w:rPr>
                <w:rFonts w:ascii="Times New Roman" w:hAnsi="Times New Roman" w:eastAsia="宋体" w:cs="宋体"/>
                <w:strike w:val="0"/>
                <w:dstrike w:val="0"/>
                <w:color w:val="auto"/>
                <w:sz w:val="21"/>
                <w:szCs w:val="24"/>
                <w:highlight w:val="none"/>
              </w:rPr>
              <w:t>项目不属于“三高”项目，不属于化工和涉重金属的工业项目</w:t>
            </w:r>
            <w:r>
              <w:rPr>
                <w:rFonts w:hint="eastAsia" w:ascii="Times New Roman" w:hAnsi="Times New Roman" w:eastAsia="宋体" w:cs="宋体"/>
                <w:strike w:val="0"/>
                <w:dstrike w:val="0"/>
                <w:color w:val="auto"/>
                <w:sz w:val="21"/>
                <w:szCs w:val="24"/>
                <w:highlight w:val="none"/>
                <w:lang w:eastAsia="zh-CN"/>
              </w:rPr>
              <w:t>，</w:t>
            </w:r>
            <w:r>
              <w:rPr>
                <w:rFonts w:hint="eastAsia" w:ascii="Times New Roman" w:hAnsi="Times New Roman" w:eastAsia="宋体" w:cs="宋体"/>
                <w:strike w:val="0"/>
                <w:dstrike w:val="0"/>
                <w:color w:val="auto"/>
                <w:sz w:val="21"/>
                <w:szCs w:val="24"/>
                <w:highlight w:val="none"/>
                <w:lang w:val="en-US" w:eastAsia="zh-CN"/>
              </w:rPr>
              <w:t>因此符合产业政策及环境准入要求</w:t>
            </w:r>
            <w:r>
              <w:rPr>
                <w:rFonts w:hint="eastAsia" w:ascii="Times New Roman" w:hAnsi="Times New Roman" w:eastAsia="宋体" w:cs="宋体"/>
                <w:strike w:val="0"/>
                <w:dstrike w:val="0"/>
                <w:color w:val="auto"/>
                <w:sz w:val="21"/>
                <w:szCs w:val="24"/>
                <w:highlight w:val="none"/>
                <w:lang w:eastAsia="zh-CN"/>
              </w:rPr>
              <w:t>。</w:t>
            </w:r>
          </w:p>
        </w:tc>
        <w:tc>
          <w:tcPr>
            <w:tcW w:w="279" w:type="pct"/>
            <w:vAlign w:val="center"/>
          </w:tcPr>
          <w:p w14:paraId="54321B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583E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7CBFCBD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污染物排放管控</w:t>
            </w:r>
          </w:p>
        </w:tc>
        <w:tc>
          <w:tcPr>
            <w:tcW w:w="2583" w:type="pct"/>
            <w:vAlign w:val="center"/>
          </w:tcPr>
          <w:p w14:paraId="351864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深化行业污染源头治理，深入开展火电行业减排，全力推进钢铁行业超低排放改造，有序推进石化行业“泄漏检测与修复”技术改造</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强化煤化工、石化、有机化工、表面涂装、包装印刷等重点行业挥发性有机物控制</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深入开展燃煤锅炉污染综合整治，深化工业炉窑综合治理</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加强“散乱污”企业综合整治</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优化区域交通运输结构，加快货物运输绿色转型，做好车油联合管控</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以改善流域水环境质量为核心，强化源头控制，“一河</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湖</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一策”精准施治，减少水污染物排放</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持续改善水环境质量</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强化园区</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工业集聚区</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水污染防治，不断提高工业用水重复利用率</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加快实施城镇污水处理设施提质增效，补齐生活污水收集和处理设施短板，提高再生水回用比例</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持续推进农业农村污染防治</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提升土壤环境监管能力，加强污染地块安全利用监管</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强化工矿用地管理，严格建设用地土壤环境风险管控</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加强农用地土壤污染源头控制，科学施用化肥农药，提高农膜回收率</w:t>
            </w:r>
            <w:r>
              <w:rPr>
                <w:rFonts w:hint="eastAsia" w:ascii="Times New Roman" w:hAnsi="Times New Roman" w:eastAsia="宋体" w:cs="宋体"/>
                <w:strike w:val="0"/>
                <w:dstrike w:val="0"/>
                <w:color w:val="auto"/>
                <w:sz w:val="21"/>
                <w:szCs w:val="24"/>
                <w:highlight w:val="none"/>
                <w:lang w:eastAsia="zh-CN"/>
              </w:rPr>
              <w:t>。</w:t>
            </w:r>
          </w:p>
        </w:tc>
        <w:tc>
          <w:tcPr>
            <w:tcW w:w="1797" w:type="pct"/>
            <w:vAlign w:val="center"/>
          </w:tcPr>
          <w:p w14:paraId="1E94FAC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rPr>
              <w:t>本项目主要从事骆驼养殖</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不属于火电、钢铁、石化、煤化工、有机化工、表面涂装、包装印刷等行业</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strike w:val="0"/>
                <w:dstrike w:val="0"/>
                <w:color w:val="auto"/>
                <w:sz w:val="21"/>
                <w:szCs w:val="24"/>
                <w:highlight w:val="none"/>
              </w:rPr>
              <w:t>不会影</w:t>
            </w:r>
            <w:r>
              <w:rPr>
                <w:rFonts w:ascii="Times New Roman" w:hAnsi="Times New Roman" w:eastAsia="宋体" w:cs="宋体"/>
                <w:strike w:val="0"/>
                <w:dstrike w:val="0"/>
                <w:color w:val="auto"/>
                <w:sz w:val="21"/>
                <w:szCs w:val="24"/>
                <w:highlight w:val="none"/>
              </w:rPr>
              <w:t>响区域水</w:t>
            </w:r>
            <w:r>
              <w:rPr>
                <w:rFonts w:hint="eastAsia" w:ascii="Times New Roman" w:hAnsi="Times New Roman" w:eastAsia="宋体" w:cs="宋体"/>
                <w:strike w:val="0"/>
                <w:dstrike w:val="0"/>
                <w:color w:val="auto"/>
                <w:sz w:val="21"/>
                <w:szCs w:val="24"/>
                <w:highlight w:val="none"/>
                <w:lang w:val="en-US" w:eastAsia="zh-CN"/>
              </w:rPr>
              <w:t>和土壤</w:t>
            </w:r>
            <w:r>
              <w:rPr>
                <w:rFonts w:ascii="Times New Roman" w:hAnsi="Times New Roman" w:eastAsia="宋体" w:cs="宋体"/>
                <w:strike w:val="0"/>
                <w:dstrike w:val="0"/>
                <w:color w:val="auto"/>
                <w:sz w:val="21"/>
                <w:szCs w:val="24"/>
                <w:highlight w:val="none"/>
              </w:rPr>
              <w:t>环境质量</w:t>
            </w:r>
            <w:r>
              <w:rPr>
                <w:rFonts w:hint="eastAsia" w:ascii="Times New Roman" w:hAnsi="Times New Roman" w:eastAsia="宋体" w:cs="宋体"/>
                <w:strike w:val="0"/>
                <w:dstrike w:val="0"/>
                <w:color w:val="auto"/>
                <w:sz w:val="21"/>
                <w:szCs w:val="24"/>
                <w:highlight w:val="none"/>
                <w:lang w:eastAsia="zh-CN"/>
              </w:rPr>
              <w:t>，</w:t>
            </w:r>
            <w:r>
              <w:rPr>
                <w:rFonts w:hint="eastAsia" w:ascii="Times New Roman" w:hAnsi="Times New Roman" w:eastAsia="宋体" w:cs="宋体"/>
                <w:strike w:val="0"/>
                <w:dstrike w:val="0"/>
                <w:color w:val="auto"/>
                <w:sz w:val="21"/>
                <w:szCs w:val="24"/>
                <w:highlight w:val="none"/>
                <w:lang w:val="en-US" w:eastAsia="zh-CN"/>
              </w:rPr>
              <w:t>项目冬季采用电采暖，不会产生废气污染物，影响大气环境质量，本项目固体废弃物均得到妥善处置。</w:t>
            </w:r>
          </w:p>
        </w:tc>
        <w:tc>
          <w:tcPr>
            <w:tcW w:w="279" w:type="pct"/>
            <w:vAlign w:val="center"/>
          </w:tcPr>
          <w:p w14:paraId="45934EC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774C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4E6CA840">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环境风险防控</w:t>
            </w:r>
          </w:p>
        </w:tc>
        <w:tc>
          <w:tcPr>
            <w:tcW w:w="2583" w:type="pct"/>
            <w:vAlign w:val="center"/>
          </w:tcPr>
          <w:p w14:paraId="502FB65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禁止在化工园区外新建、扩建危险化学品生产项目</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严格落实危险废物处置相关要求</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加强重点流域水环境风险管控，保障水环境安全</w:t>
            </w:r>
          </w:p>
        </w:tc>
        <w:tc>
          <w:tcPr>
            <w:tcW w:w="1797" w:type="pct"/>
            <w:vAlign w:val="center"/>
          </w:tcPr>
          <w:p w14:paraId="509A5C4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本项目</w:t>
            </w:r>
            <w:r>
              <w:rPr>
                <w:rFonts w:hint="eastAsia" w:ascii="Times New Roman" w:hAnsi="Times New Roman" w:eastAsia="宋体" w:cs="宋体"/>
                <w:strike w:val="0"/>
                <w:dstrike w:val="0"/>
                <w:color w:val="auto"/>
                <w:sz w:val="21"/>
                <w:szCs w:val="24"/>
                <w:highlight w:val="none"/>
              </w:rPr>
              <w:t>主要从事骆驼养殖</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不涉及危险化学品生产</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工程运行过程中也无危险废物产生</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工程运营期无废污水外排，不会影响区域水环境质量</w:t>
            </w:r>
            <w:r>
              <w:rPr>
                <w:rFonts w:hint="eastAsia" w:ascii="Times New Roman" w:hAnsi="Times New Roman" w:eastAsia="宋体" w:cs="宋体"/>
                <w:strike w:val="0"/>
                <w:dstrike w:val="0"/>
                <w:color w:val="auto"/>
                <w:sz w:val="21"/>
                <w:szCs w:val="24"/>
                <w:highlight w:val="none"/>
                <w:lang w:eastAsia="zh-CN"/>
              </w:rPr>
              <w:t>。</w:t>
            </w:r>
          </w:p>
        </w:tc>
        <w:tc>
          <w:tcPr>
            <w:tcW w:w="279" w:type="pct"/>
            <w:vAlign w:val="center"/>
          </w:tcPr>
          <w:p w14:paraId="7325FAAC">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21E1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9" w:type="pct"/>
            <w:vAlign w:val="center"/>
          </w:tcPr>
          <w:p w14:paraId="4C72F3A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资源利用效率</w:t>
            </w:r>
          </w:p>
        </w:tc>
        <w:tc>
          <w:tcPr>
            <w:tcW w:w="2583" w:type="pct"/>
            <w:vAlign w:val="center"/>
          </w:tcPr>
          <w:p w14:paraId="1463FA2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优化能源结构，控制煤炭等化石能源使用量，鼓励使用清洁能源，协同推进减污降碳</w:t>
            </w:r>
            <w:r>
              <w:rPr>
                <w:rFonts w:hint="eastAsia" w:ascii="Times New Roman" w:hAnsi="Times New Roman" w:eastAsia="宋体" w:cs="宋体"/>
                <w:strike w:val="0"/>
                <w:dstrike w:val="0"/>
                <w:color w:val="auto"/>
                <w:sz w:val="21"/>
                <w:szCs w:val="24"/>
                <w:highlight w:val="none"/>
                <w:lang w:eastAsia="zh-CN"/>
              </w:rPr>
              <w:t>。</w:t>
            </w:r>
            <w:r>
              <w:rPr>
                <w:rFonts w:ascii="Times New Roman" w:hAnsi="Times New Roman" w:eastAsia="宋体" w:cs="宋体"/>
                <w:strike w:val="0"/>
                <w:dstrike w:val="0"/>
                <w:color w:val="auto"/>
                <w:sz w:val="21"/>
                <w:szCs w:val="24"/>
                <w:highlight w:val="none"/>
              </w:rPr>
              <w:t>全面实施节水工程，合理开发利用水资源，提升水资源利用效率，保障生态用水，严防地下水超采</w:t>
            </w:r>
            <w:r>
              <w:rPr>
                <w:rFonts w:hint="eastAsia" w:ascii="Times New Roman" w:hAnsi="Times New Roman" w:eastAsia="宋体" w:cs="宋体"/>
                <w:strike w:val="0"/>
                <w:dstrike w:val="0"/>
                <w:color w:val="auto"/>
                <w:sz w:val="21"/>
                <w:szCs w:val="24"/>
                <w:highlight w:val="none"/>
                <w:lang w:eastAsia="zh-CN"/>
              </w:rPr>
              <w:t>。</w:t>
            </w:r>
          </w:p>
        </w:tc>
        <w:tc>
          <w:tcPr>
            <w:tcW w:w="1797" w:type="pct"/>
            <w:vAlign w:val="center"/>
          </w:tcPr>
          <w:p w14:paraId="462829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ascii="Times New Roman" w:hAnsi="Times New Roman" w:eastAsia="宋体" w:cs="宋体"/>
                <w:strike w:val="0"/>
                <w:dstrike w:val="0"/>
                <w:color w:val="auto"/>
                <w:sz w:val="21"/>
                <w:szCs w:val="24"/>
                <w:highlight w:val="none"/>
              </w:rPr>
              <w:t>项目不使用燃煤锅炉</w:t>
            </w:r>
            <w:r>
              <w:rPr>
                <w:rFonts w:hint="eastAsia" w:ascii="Times New Roman" w:hAnsi="Times New Roman" w:eastAsia="宋体" w:cs="宋体"/>
                <w:strike w:val="0"/>
                <w:dstrike w:val="0"/>
                <w:color w:val="auto"/>
                <w:sz w:val="21"/>
                <w:szCs w:val="24"/>
                <w:highlight w:val="none"/>
                <w:lang w:eastAsia="zh-CN"/>
              </w:rPr>
              <w:t>，</w:t>
            </w:r>
            <w:r>
              <w:rPr>
                <w:rFonts w:hint="eastAsia" w:ascii="Times New Roman" w:hAnsi="Times New Roman" w:eastAsia="宋体" w:cs="宋体"/>
                <w:strike w:val="0"/>
                <w:dstrike w:val="0"/>
                <w:color w:val="auto"/>
                <w:sz w:val="21"/>
                <w:szCs w:val="24"/>
                <w:highlight w:val="none"/>
                <w:lang w:val="en-US" w:eastAsia="zh-CN"/>
              </w:rPr>
              <w:t>冬季采用电采暖，</w:t>
            </w:r>
            <w:r>
              <w:rPr>
                <w:rFonts w:hint="eastAsia" w:ascii="Times New Roman" w:hAnsi="Times New Roman" w:eastAsia="宋体" w:cs="宋体"/>
                <w:strike w:val="0"/>
                <w:dstrike w:val="0"/>
                <w:color w:val="auto"/>
                <w:sz w:val="21"/>
                <w:szCs w:val="24"/>
                <w:highlight w:val="none"/>
                <w:lang w:val="en-US" w:eastAsia="zh-CN"/>
              </w:rPr>
              <w:t>项目生产废水经黑膜池发酵处理后用于项目区周边林带施肥，</w:t>
            </w:r>
            <w:r>
              <w:rPr>
                <w:rFonts w:ascii="Times New Roman" w:hAnsi="Times New Roman" w:eastAsia="宋体" w:cs="宋体"/>
                <w:strike w:val="0"/>
                <w:dstrike w:val="0"/>
                <w:color w:val="auto"/>
                <w:sz w:val="21"/>
                <w:szCs w:val="24"/>
                <w:highlight w:val="none"/>
              </w:rPr>
              <w:t>项目不涉及地下水开采</w:t>
            </w:r>
            <w:r>
              <w:rPr>
                <w:rFonts w:hint="eastAsia" w:ascii="Times New Roman" w:hAnsi="Times New Roman" w:eastAsia="宋体" w:cs="宋体"/>
                <w:strike w:val="0"/>
                <w:dstrike w:val="0"/>
                <w:color w:val="auto"/>
                <w:sz w:val="21"/>
                <w:szCs w:val="24"/>
                <w:highlight w:val="none"/>
                <w:lang w:eastAsia="zh-CN"/>
              </w:rPr>
              <w:t>。</w:t>
            </w:r>
          </w:p>
        </w:tc>
        <w:tc>
          <w:tcPr>
            <w:tcW w:w="279" w:type="pct"/>
            <w:vAlign w:val="center"/>
          </w:tcPr>
          <w:p w14:paraId="4504A2B3">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bl>
    <w:p w14:paraId="020F9233">
      <w:pPr>
        <w:keepNext w:val="0"/>
        <w:keepLines w:val="0"/>
        <w:pageBreakBefore w:val="0"/>
        <w:widowControl w:val="0"/>
        <w:suppressLineNumbers w:val="0"/>
        <w:kinsoku/>
        <w:wordWrap/>
        <w:overflowPunct/>
        <w:topLinePunct w:val="0"/>
        <w:autoSpaceDE/>
        <w:autoSpaceDN/>
        <w:bidi w:val="0"/>
        <w:adjustRightInd/>
        <w:jc w:val="left"/>
        <w:textAlignment w:val="auto"/>
        <w:rPr>
          <w:rFonts w:ascii="Times New Roman" w:hAnsi="Times New Roman" w:eastAsia="宋体"/>
          <w:b/>
          <w:bCs/>
          <w:strike w:val="0"/>
          <w:dstrike w:val="0"/>
          <w:color w:val="auto"/>
          <w:sz w:val="24"/>
        </w:rPr>
      </w:pPr>
      <w:r>
        <w:rPr>
          <w:rFonts w:hint="eastAsia" w:ascii="Times New Roman" w:hAnsi="Times New Roman" w:eastAsia="宋体" w:cs="宋体"/>
          <w:b/>
          <w:bCs/>
          <w:strike w:val="0"/>
          <w:dstrike w:val="0"/>
          <w:color w:val="auto"/>
          <w:kern w:val="0"/>
          <w:sz w:val="24"/>
          <w:szCs w:val="24"/>
          <w:lang w:val="en-US" w:eastAsia="zh-CN" w:bidi="ar"/>
        </w:rPr>
        <w:t>（</w:t>
      </w:r>
      <w:r>
        <w:rPr>
          <w:rFonts w:hint="eastAsia" w:ascii="Times New Roman" w:hAnsi="Times New Roman" w:eastAsia="宋体" w:cs="宋体"/>
          <w:b/>
          <w:bCs/>
          <w:strike w:val="0"/>
          <w:dstrike w:val="0"/>
          <w:color w:val="auto"/>
          <w:kern w:val="0"/>
          <w:sz w:val="24"/>
          <w:szCs w:val="24"/>
          <w:lang w:val="en-US" w:eastAsia="zh-CN" w:bidi="ar"/>
        </w:rPr>
        <w:t>5</w:t>
      </w:r>
      <w:r>
        <w:rPr>
          <w:rFonts w:hint="eastAsia" w:ascii="Times New Roman" w:hAnsi="Times New Roman" w:eastAsia="宋体" w:cs="宋体"/>
          <w:b/>
          <w:bCs/>
          <w:strike w:val="0"/>
          <w:dstrike w:val="0"/>
          <w:color w:val="auto"/>
          <w:kern w:val="0"/>
          <w:sz w:val="24"/>
          <w:szCs w:val="24"/>
          <w:lang w:val="en-US" w:eastAsia="zh-CN" w:bidi="ar"/>
        </w:rPr>
        <w:t>）与《国务院办公厅关于加快推进畜禽养殖废弃物资源化利用的意见》（国办发〔</w:t>
      </w:r>
      <w:r>
        <w:rPr>
          <w:rFonts w:hint="default" w:ascii="Times New Roman" w:hAnsi="Times New Roman" w:eastAsia="宋体" w:cs="Times New Roman"/>
          <w:b/>
          <w:bCs/>
          <w:strike w:val="0"/>
          <w:dstrike w:val="0"/>
          <w:color w:val="auto"/>
          <w:kern w:val="0"/>
          <w:sz w:val="24"/>
          <w:szCs w:val="24"/>
          <w:lang w:val="en-US" w:eastAsia="zh-CN" w:bidi="ar"/>
        </w:rPr>
        <w:t>2017</w:t>
      </w:r>
      <w:r>
        <w:rPr>
          <w:rFonts w:hint="eastAsia" w:ascii="Times New Roman" w:hAnsi="Times New Roman" w:eastAsia="宋体" w:cs="宋体"/>
          <w:b/>
          <w:bCs/>
          <w:strike w:val="0"/>
          <w:dstrike w:val="0"/>
          <w:color w:val="auto"/>
          <w:kern w:val="0"/>
          <w:sz w:val="24"/>
          <w:szCs w:val="24"/>
          <w:lang w:val="en-US" w:eastAsia="zh-CN" w:bidi="ar"/>
        </w:rPr>
        <w:t>〕</w:t>
      </w:r>
      <w:r>
        <w:rPr>
          <w:rFonts w:hint="default" w:ascii="Times New Roman" w:hAnsi="Times New Roman" w:eastAsia="宋体" w:cs="Times New Roman"/>
          <w:b/>
          <w:bCs/>
          <w:strike w:val="0"/>
          <w:dstrike w:val="0"/>
          <w:color w:val="auto"/>
          <w:kern w:val="0"/>
          <w:sz w:val="24"/>
          <w:szCs w:val="24"/>
          <w:lang w:val="en-US" w:eastAsia="zh-CN" w:bidi="ar"/>
        </w:rPr>
        <w:t>48</w:t>
      </w:r>
      <w:r>
        <w:rPr>
          <w:rFonts w:hint="eastAsia" w:ascii="Times New Roman" w:hAnsi="Times New Roman" w:eastAsia="宋体" w:cs="宋体"/>
          <w:b/>
          <w:bCs/>
          <w:strike w:val="0"/>
          <w:dstrike w:val="0"/>
          <w:color w:val="auto"/>
          <w:kern w:val="0"/>
          <w:sz w:val="24"/>
          <w:szCs w:val="24"/>
          <w:lang w:val="en-US" w:eastAsia="zh-CN" w:bidi="ar"/>
        </w:rPr>
        <w:t>号）相符性分析</w:t>
      </w:r>
    </w:p>
    <w:p w14:paraId="2BADDF3D">
      <w:pPr>
        <w:keepNext w:val="0"/>
        <w:keepLines w:val="0"/>
        <w:pageBreakBefore w:val="0"/>
        <w:widowControl w:val="0"/>
        <w:suppressLineNumbers w:val="0"/>
        <w:kinsoku/>
        <w:wordWrap/>
        <w:overflowPunct/>
        <w:topLinePunct w:val="0"/>
        <w:autoSpaceDE/>
        <w:autoSpaceDN/>
        <w:bidi w:val="0"/>
        <w:adjustRightInd/>
        <w:jc w:val="left"/>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文件总体要求为</w:t>
      </w:r>
      <w:r>
        <w:rPr>
          <w:rFonts w:hint="eastAsia" w:ascii="Times New Roman" w:hAnsi="Times New Roman" w:eastAsia="宋体"/>
          <w:strike w:val="0"/>
          <w:dstrike w:val="0"/>
          <w:color w:val="auto"/>
          <w:highlight w:val="none"/>
        </w:rPr>
        <w:t>坚持源头减量、过程控制、末端利用的治理路径，以畜牧大县和规模养殖场为重点，以沼气和生物天然气为主要处理方向，以农用有机肥和农村能源为主要利用方向，全面推进畜禽养殖废弃物资源化利用，加快构建种养结合、农牧循环的可持续发展新格局</w:t>
      </w:r>
      <w:r>
        <w:rPr>
          <w:rFonts w:hint="eastAsia" w:ascii="Times New Roman" w:hAnsi="Times New Roman" w:eastAsia="宋体"/>
          <w:strike w:val="0"/>
          <w:dstrike w:val="0"/>
          <w:color w:val="auto"/>
          <w:highlight w:val="none"/>
          <w:lang w:eastAsia="zh-CN"/>
        </w:rPr>
        <w:t>；根据不同区域、不同畜种、不同规模，以肥料化利用为基础，采取经济高效适用的处理模式，宜肥则肥，宜气则气，宜电则电，实现粪污就地就近利用</w:t>
      </w:r>
      <w:r>
        <w:rPr>
          <w:rFonts w:hint="eastAsia" w:ascii="Times New Roman" w:hAnsi="Times New Roman" w:eastAsia="宋体"/>
          <w:strike w:val="0"/>
          <w:dstrike w:val="0"/>
          <w:color w:val="auto"/>
          <w:highlight w:val="none"/>
          <w:lang w:eastAsia="zh-CN"/>
        </w:rPr>
        <w:t>。</w:t>
      </w:r>
    </w:p>
    <w:p w14:paraId="4EF7487C">
      <w:pPr>
        <w:keepNext w:val="0"/>
        <w:keepLines w:val="0"/>
        <w:pageBreakBefore w:val="0"/>
        <w:widowControl w:val="0"/>
        <w:suppressLineNumbers w:val="0"/>
        <w:kinsoku/>
        <w:wordWrap/>
        <w:overflowPunct/>
        <w:topLinePunct w:val="0"/>
        <w:autoSpaceDE/>
        <w:autoSpaceDN/>
        <w:bidi w:val="0"/>
        <w:adjustRightInd/>
        <w:jc w:val="left"/>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新建或改扩建畜禽规模养殖场，应突出养分综合利用，配套与养殖规模和处理工艺相适应的粪污消纳用地，配备必要的粪污收集、贮存、处理、利用设施，依法进行环境影响评价</w:t>
      </w:r>
      <w:r>
        <w:rPr>
          <w:rFonts w:hint="eastAsia" w:ascii="Times New Roman" w:hAnsi="Times New Roman" w:eastAsia="宋体" w:cs="宋体"/>
          <w:strike w:val="0"/>
          <w:dstrike w:val="0"/>
          <w:color w:val="auto"/>
          <w:kern w:val="0"/>
          <w:sz w:val="24"/>
          <w:szCs w:val="24"/>
          <w:lang w:val="en-US" w:eastAsia="zh-CN" w:bidi="ar"/>
        </w:rPr>
        <w:t>；畜禽规模养殖场要严格执行环境保护法、畜禽规模养殖污染防治条例、水污染防治行动计划、土壤污染防治行动计划等法律法规和规定，切实履行环境保护主体责任，建设污染防治配套设施并保持正常运行，或者委托第三方进行粪污处理，确保粪污资源化利用；</w:t>
      </w:r>
      <w:r>
        <w:rPr>
          <w:rFonts w:hint="eastAsia" w:ascii="Times New Roman" w:hAnsi="Times New Roman" w:eastAsia="宋体" w:cs="宋体"/>
          <w:strike w:val="0"/>
          <w:dstrike w:val="0"/>
          <w:color w:val="auto"/>
          <w:kern w:val="0"/>
          <w:sz w:val="24"/>
          <w:szCs w:val="24"/>
          <w:lang w:val="en-US" w:eastAsia="zh-CN" w:bidi="ar"/>
        </w:rPr>
        <w:t>大力发展标准化规模养殖，建设自动喂料、自动饮水、环境控制等现代化装备，推广节水、节料等清洁养殖工艺和干清粪、微生物发酵等实用技术，实现源头减量</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加强规模养殖场精细化管理，推行标准化、规范化饲养，推广散装饲料和精准配方，提高饲料转化效率</w:t>
      </w:r>
      <w:r>
        <w:rPr>
          <w:rFonts w:hint="eastAsia" w:ascii="Times New Roman" w:hAnsi="Times New Roman" w:eastAsia="宋体" w:cs="宋体"/>
          <w:strike w:val="0"/>
          <w:dstrike w:val="0"/>
          <w:color w:val="auto"/>
          <w:kern w:val="0"/>
          <w:sz w:val="24"/>
          <w:szCs w:val="24"/>
          <w:lang w:val="en-US" w:eastAsia="zh-CN" w:bidi="ar"/>
        </w:rPr>
        <w:t>。</w:t>
      </w:r>
    </w:p>
    <w:p w14:paraId="5E676528">
      <w:pPr>
        <w:keepNext w:val="0"/>
        <w:keepLines w:val="0"/>
        <w:pageBreakBefore w:val="0"/>
        <w:widowControl w:val="0"/>
        <w:suppressLineNumbers w:val="0"/>
        <w:kinsoku/>
        <w:wordWrap/>
        <w:overflowPunct/>
        <w:topLinePunct w:val="0"/>
        <w:autoSpaceDE/>
        <w:autoSpaceDN/>
        <w:bidi w:val="0"/>
        <w:adjustRightInd/>
        <w:jc w:val="left"/>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本项目</w:t>
      </w:r>
      <w:r>
        <w:rPr>
          <w:rFonts w:hint="eastAsia" w:ascii="Times New Roman" w:hAnsi="Times New Roman" w:eastAsia="宋体" w:cs="宋体"/>
          <w:strike w:val="0"/>
          <w:dstrike w:val="0"/>
          <w:color w:val="auto"/>
          <w:kern w:val="0"/>
          <w:sz w:val="24"/>
          <w:szCs w:val="24"/>
          <w:lang w:val="en-US" w:eastAsia="zh-CN" w:bidi="ar"/>
        </w:rPr>
        <w:t>配备堆肥场</w:t>
      </w:r>
      <w:r>
        <w:rPr>
          <w:rFonts w:hint="eastAsia" w:ascii="Times New Roman" w:hAnsi="Times New Roman" w:eastAsia="宋体" w:cs="宋体"/>
          <w:strike w:val="0"/>
          <w:dstrike w:val="0"/>
          <w:color w:val="auto"/>
          <w:kern w:val="0"/>
          <w:sz w:val="24"/>
          <w:szCs w:val="24"/>
          <w:lang w:val="en-US" w:eastAsia="zh-CN" w:bidi="ar"/>
        </w:rPr>
        <w:t>，骆驼粪便清运至堆肥场，经处理后外售有机肥厂</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生活污水和生产废水经排污管道排放至舍外黑膜池，厌氧发酵处理后，用于周边林带及厂区绿化</w:t>
      </w:r>
      <w:r>
        <w:rPr>
          <w:rFonts w:hint="eastAsia" w:ascii="Times New Roman" w:hAnsi="Times New Roman" w:eastAsia="宋体" w:cs="宋体"/>
          <w:strike w:val="0"/>
          <w:dstrike w:val="0"/>
          <w:color w:val="auto"/>
          <w:kern w:val="0"/>
          <w:sz w:val="24"/>
          <w:szCs w:val="24"/>
          <w:lang w:val="en-US" w:eastAsia="zh-CN" w:bidi="ar"/>
        </w:rPr>
        <w:t>施肥，本项目粪污均能得到合理处置，并确保粪污资源化利用；本项目采用人工授精、TMR饲喂、标准化管理、高效繁育技术、干清粪、卫生防疫及长眉驼保健技术等措施，实行科学饲养管理，因此本项目</w:t>
      </w:r>
      <w:r>
        <w:rPr>
          <w:rFonts w:hint="eastAsia" w:ascii="Times New Roman" w:hAnsi="Times New Roman" w:eastAsia="宋体" w:cs="宋体"/>
          <w:strike w:val="0"/>
          <w:dstrike w:val="0"/>
          <w:color w:val="auto"/>
          <w:kern w:val="0"/>
          <w:sz w:val="24"/>
          <w:szCs w:val="24"/>
          <w:lang w:val="en-US" w:eastAsia="zh-CN" w:bidi="ar"/>
        </w:rPr>
        <w:t>符合《国务院办公厅关于加快推进畜禽养殖废弃物资源化利用的意见》（国办发〔</w:t>
      </w:r>
      <w:r>
        <w:rPr>
          <w:rFonts w:hint="default" w:ascii="Times New Roman" w:hAnsi="Times New Roman" w:eastAsia="宋体" w:cs="Times New Roman"/>
          <w:strike w:val="0"/>
          <w:dstrike w:val="0"/>
          <w:color w:val="auto"/>
          <w:kern w:val="0"/>
          <w:sz w:val="24"/>
          <w:szCs w:val="24"/>
          <w:lang w:val="en-US" w:eastAsia="zh-CN" w:bidi="ar"/>
        </w:rPr>
        <w:t>2017</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48</w:t>
      </w:r>
      <w:r>
        <w:rPr>
          <w:rFonts w:hint="eastAsia" w:ascii="Times New Roman" w:hAnsi="Times New Roman" w:eastAsia="宋体" w:cs="宋体"/>
          <w:strike w:val="0"/>
          <w:dstrike w:val="0"/>
          <w:color w:val="auto"/>
          <w:kern w:val="0"/>
          <w:sz w:val="24"/>
          <w:szCs w:val="24"/>
          <w:lang w:val="en-US" w:eastAsia="zh-CN" w:bidi="ar"/>
        </w:rPr>
        <w:t>号）相关意见</w:t>
      </w:r>
      <w:r>
        <w:rPr>
          <w:rFonts w:hint="eastAsia" w:ascii="Times New Roman" w:hAnsi="Times New Roman" w:eastAsia="宋体" w:cs="宋体"/>
          <w:strike w:val="0"/>
          <w:dstrike w:val="0"/>
          <w:color w:val="auto"/>
          <w:kern w:val="0"/>
          <w:sz w:val="24"/>
          <w:szCs w:val="24"/>
          <w:lang w:val="en-US" w:eastAsia="zh-CN" w:bidi="ar"/>
        </w:rPr>
        <w:t>。</w:t>
      </w:r>
    </w:p>
    <w:p w14:paraId="02B5B22B">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b/>
          <w:bCs/>
          <w:strike w:val="0"/>
          <w:dstrike w:val="0"/>
          <w:color w:val="auto"/>
          <w:sz w:val="24"/>
          <w:highlight w:val="none"/>
          <w:lang w:val="en-US" w:eastAsia="zh-CN"/>
        </w:rPr>
      </w:pPr>
      <w:r>
        <w:rPr>
          <w:rFonts w:hint="eastAsia" w:ascii="Times New Roman" w:hAnsi="Times New Roman" w:eastAsia="宋体"/>
          <w:b/>
          <w:bCs/>
          <w:strike w:val="0"/>
          <w:dstrike w:val="0"/>
          <w:color w:val="auto"/>
          <w:sz w:val="24"/>
          <w:highlight w:val="none"/>
          <w:lang w:val="en-US" w:eastAsia="zh-CN"/>
        </w:rPr>
        <w:t>（</w:t>
      </w:r>
      <w:r>
        <w:rPr>
          <w:rFonts w:hint="eastAsia" w:ascii="Times New Roman" w:hAnsi="Times New Roman" w:eastAsia="宋体"/>
          <w:b/>
          <w:bCs/>
          <w:strike w:val="0"/>
          <w:dstrike w:val="0"/>
          <w:color w:val="auto"/>
          <w:sz w:val="24"/>
          <w:highlight w:val="none"/>
          <w:lang w:val="en-US" w:eastAsia="zh-CN"/>
        </w:rPr>
        <w:t>6</w:t>
      </w:r>
      <w:r>
        <w:rPr>
          <w:rFonts w:hint="eastAsia" w:ascii="Times New Roman" w:hAnsi="Times New Roman" w:eastAsia="宋体"/>
          <w:b/>
          <w:bCs/>
          <w:strike w:val="0"/>
          <w:dstrike w:val="0"/>
          <w:color w:val="auto"/>
          <w:sz w:val="24"/>
          <w:highlight w:val="none"/>
          <w:lang w:val="en-US" w:eastAsia="zh-CN"/>
        </w:rPr>
        <w:t>）与《新疆维吾尔自治区大气污染防治条例》符合性分析</w:t>
      </w:r>
    </w:p>
    <w:p w14:paraId="74529C06">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根据《新疆维吾尔自治区大气污染防治条例》要求：</w:t>
      </w:r>
    </w:p>
    <w:p w14:paraId="763AEBB6">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第二十四条推进城市建成区、工业园区实行集中供热，使用清洁燃料</w:t>
      </w:r>
      <w:r>
        <w:rPr>
          <w:rFonts w:hint="eastAsia" w:ascii="Times New Roman" w:hAnsi="Times New Roman" w:eastAsia="宋体"/>
          <w:strike w:val="0"/>
          <w:dstrike w:val="0"/>
          <w:color w:val="auto"/>
          <w:sz w:val="24"/>
          <w:highlight w:val="none"/>
          <w:lang w:val="en-US" w:eastAsia="zh-CN"/>
        </w:rPr>
        <w:t>。</w:t>
      </w:r>
      <w:r>
        <w:rPr>
          <w:rFonts w:hint="eastAsia" w:ascii="Times New Roman" w:hAnsi="Times New Roman" w:eastAsia="宋体"/>
          <w:strike w:val="0"/>
          <w:dstrike w:val="0"/>
          <w:color w:val="auto"/>
          <w:sz w:val="24"/>
          <w:highlight w:val="none"/>
          <w:lang w:val="en-US" w:eastAsia="zh-CN"/>
        </w:rPr>
        <w:t>在集中供热管网覆盖区域内，禁止新建、改建、扩建燃煤供热锅炉，集中供热管网覆盖前，已建成使用的燃煤供热锅炉应当限期停止使用</w:t>
      </w:r>
      <w:r>
        <w:rPr>
          <w:rFonts w:hint="eastAsia" w:ascii="Times New Roman" w:hAnsi="Times New Roman" w:eastAsia="宋体"/>
          <w:strike w:val="0"/>
          <w:dstrike w:val="0"/>
          <w:color w:val="auto"/>
          <w:sz w:val="24"/>
          <w:highlight w:val="none"/>
          <w:lang w:val="en-US" w:eastAsia="zh-CN"/>
        </w:rPr>
        <w:t>。</w:t>
      </w:r>
      <w:r>
        <w:rPr>
          <w:rFonts w:hint="eastAsia" w:ascii="Times New Roman" w:hAnsi="Times New Roman" w:eastAsia="宋体"/>
          <w:strike w:val="0"/>
          <w:dstrike w:val="0"/>
          <w:color w:val="auto"/>
          <w:sz w:val="24"/>
          <w:highlight w:val="none"/>
          <w:lang w:val="en-US" w:eastAsia="zh-CN"/>
        </w:rPr>
        <w:t>在集中供热未覆盖的区域，鼓励使用清洁能源替代，推广使用高效节能环保型锅炉</w:t>
      </w:r>
      <w:r>
        <w:rPr>
          <w:rFonts w:hint="eastAsia" w:ascii="Times New Roman" w:hAnsi="Times New Roman" w:eastAsia="宋体"/>
          <w:strike w:val="0"/>
          <w:dstrike w:val="0"/>
          <w:color w:val="auto"/>
          <w:sz w:val="24"/>
          <w:highlight w:val="none"/>
          <w:lang w:val="en-US" w:eastAsia="zh-CN"/>
        </w:rPr>
        <w:t>。</w:t>
      </w:r>
      <w:r>
        <w:rPr>
          <w:rFonts w:hint="eastAsia" w:ascii="Times New Roman" w:hAnsi="Times New Roman" w:eastAsia="宋体"/>
          <w:strike w:val="0"/>
          <w:dstrike w:val="0"/>
          <w:color w:val="auto"/>
          <w:sz w:val="24"/>
          <w:highlight w:val="none"/>
          <w:lang w:val="en-US" w:eastAsia="zh-CN"/>
        </w:rPr>
        <w:t>城市人民政府应当限期淘汰不符合国家和自治区规定规模的燃煤锅炉</w:t>
      </w:r>
      <w:r>
        <w:rPr>
          <w:rFonts w:hint="eastAsia" w:ascii="Times New Roman" w:hAnsi="Times New Roman" w:eastAsia="宋体"/>
          <w:strike w:val="0"/>
          <w:dstrike w:val="0"/>
          <w:color w:val="auto"/>
          <w:sz w:val="24"/>
          <w:highlight w:val="none"/>
          <w:lang w:val="en-US" w:eastAsia="zh-CN"/>
        </w:rPr>
        <w:t>。</w:t>
      </w:r>
    </w:p>
    <w:p w14:paraId="66364AC8">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第二十五条城市人民政府根据大气环境质量改善要求，划定并公布高污染燃料禁燃区，并逐步扩大高污染燃料禁燃区范围</w:t>
      </w:r>
      <w:r>
        <w:rPr>
          <w:rFonts w:hint="eastAsia" w:ascii="Times New Roman" w:hAnsi="Times New Roman" w:eastAsia="宋体"/>
          <w:strike w:val="0"/>
          <w:dstrike w:val="0"/>
          <w:color w:val="auto"/>
          <w:sz w:val="24"/>
          <w:highlight w:val="none"/>
          <w:lang w:val="en-US" w:eastAsia="zh-CN"/>
        </w:rPr>
        <w:t>。</w:t>
      </w:r>
      <w:r>
        <w:rPr>
          <w:rFonts w:hint="eastAsia" w:ascii="Times New Roman" w:hAnsi="Times New Roman" w:eastAsia="宋体"/>
          <w:strike w:val="0"/>
          <w:dstrike w:val="0"/>
          <w:color w:val="auto"/>
          <w:sz w:val="24"/>
          <w:highlight w:val="none"/>
          <w:lang w:val="en-US" w:eastAsia="zh-CN"/>
        </w:rPr>
        <w:t>在禁燃区内，禁止销售、燃用高污染燃料；禁止新建、扩建燃用高污染燃料的设施</w:t>
      </w:r>
      <w:r>
        <w:rPr>
          <w:rFonts w:hint="eastAsia" w:ascii="Times New Roman" w:hAnsi="Times New Roman" w:eastAsia="宋体"/>
          <w:strike w:val="0"/>
          <w:dstrike w:val="0"/>
          <w:color w:val="auto"/>
          <w:sz w:val="24"/>
          <w:highlight w:val="none"/>
          <w:lang w:val="en-US" w:eastAsia="zh-CN"/>
        </w:rPr>
        <w:t>。</w:t>
      </w:r>
      <w:r>
        <w:rPr>
          <w:rFonts w:hint="eastAsia" w:ascii="Times New Roman" w:hAnsi="Times New Roman" w:eastAsia="宋体"/>
          <w:strike w:val="0"/>
          <w:dstrike w:val="0"/>
          <w:color w:val="auto"/>
          <w:sz w:val="24"/>
          <w:highlight w:val="none"/>
          <w:lang w:val="en-US" w:eastAsia="zh-CN"/>
        </w:rPr>
        <w:t>已建成的，应当在规定期限内改用清洁能源</w:t>
      </w:r>
      <w:r>
        <w:rPr>
          <w:rFonts w:hint="eastAsia" w:ascii="Times New Roman" w:hAnsi="Times New Roman" w:eastAsia="宋体"/>
          <w:strike w:val="0"/>
          <w:dstrike w:val="0"/>
          <w:color w:val="auto"/>
          <w:sz w:val="24"/>
          <w:highlight w:val="none"/>
          <w:lang w:val="en-US" w:eastAsia="zh-CN"/>
        </w:rPr>
        <w:t>。</w:t>
      </w:r>
    </w:p>
    <w:p w14:paraId="4186FE5F">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第四十七条畜禽养殖场、养殖小区应当及时对畜禽粪便和尸体等进行收集、贮存、清运和无害化处理，根据养殖规模和污染防治需要，配套相应的净化装置和其他</w:t>
      </w:r>
      <w:r>
        <w:rPr>
          <w:rFonts w:hint="eastAsia" w:ascii="Times New Roman" w:hAnsi="Times New Roman" w:eastAsia="宋体"/>
          <w:strike w:val="0"/>
          <w:dstrike w:val="0"/>
          <w:color w:val="auto"/>
          <w:sz w:val="24"/>
          <w:highlight w:val="none"/>
          <w:lang w:val="en-US" w:eastAsia="zh-CN"/>
        </w:rPr>
        <w:t>大气污染防治</w:t>
      </w:r>
      <w:r>
        <w:rPr>
          <w:rFonts w:hint="eastAsia" w:ascii="Times New Roman" w:hAnsi="Times New Roman" w:eastAsia="宋体"/>
          <w:strike w:val="0"/>
          <w:dstrike w:val="0"/>
          <w:color w:val="auto"/>
          <w:sz w:val="24"/>
          <w:highlight w:val="none"/>
          <w:lang w:val="en-US" w:eastAsia="zh-CN"/>
        </w:rPr>
        <w:t>设施</w:t>
      </w:r>
      <w:r>
        <w:rPr>
          <w:rFonts w:hint="eastAsia" w:ascii="Times New Roman" w:hAnsi="Times New Roman" w:eastAsia="宋体"/>
          <w:strike w:val="0"/>
          <w:dstrike w:val="0"/>
          <w:color w:val="auto"/>
          <w:sz w:val="24"/>
          <w:highlight w:val="none"/>
          <w:lang w:val="en-US" w:eastAsia="zh-CN"/>
        </w:rPr>
        <w:t>。</w:t>
      </w:r>
    </w:p>
    <w:p w14:paraId="196E1015">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县（市、区）人民政府应当加强对畜禽养殖废弃物综合利用和无害化处理的宣传，建设畜禽粪便和尸体无害化集中处理设施，引导规模以下畜禽养殖者集中处置养殖废弃物，防止排放恶臭气体</w:t>
      </w:r>
      <w:r>
        <w:rPr>
          <w:rFonts w:hint="eastAsia" w:ascii="Times New Roman" w:hAnsi="Times New Roman" w:eastAsia="宋体"/>
          <w:strike w:val="0"/>
          <w:dstrike w:val="0"/>
          <w:color w:val="auto"/>
          <w:sz w:val="24"/>
          <w:highlight w:val="none"/>
          <w:lang w:val="en-US" w:eastAsia="zh-CN"/>
        </w:rPr>
        <w:t>。</w:t>
      </w:r>
    </w:p>
    <w:p w14:paraId="1B496636">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乡（镇）人民政府应当协助有关部门做好本行政区域内的畜禽养殖污染防治工作</w:t>
      </w:r>
      <w:r>
        <w:rPr>
          <w:rFonts w:hint="eastAsia" w:ascii="Times New Roman" w:hAnsi="Times New Roman" w:eastAsia="宋体"/>
          <w:strike w:val="0"/>
          <w:dstrike w:val="0"/>
          <w:color w:val="auto"/>
          <w:sz w:val="24"/>
          <w:highlight w:val="none"/>
          <w:lang w:val="en-US" w:eastAsia="zh-CN"/>
        </w:rPr>
        <w:t>。</w:t>
      </w:r>
    </w:p>
    <w:p w14:paraId="51BA4C4B">
      <w:pPr>
        <w:keepNext w:val="0"/>
        <w:keepLines w:val="0"/>
        <w:pageBreakBefore w:val="0"/>
        <w:widowControl w:val="0"/>
        <w:kinsoku/>
        <w:wordWrap/>
        <w:overflowPunct/>
        <w:topLinePunct w:val="0"/>
        <w:autoSpaceDE/>
        <w:autoSpaceDN/>
        <w:bidi w:val="0"/>
        <w:adjustRightInd/>
        <w:snapToGrid w:val="0"/>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本项目供热使用电采暖，不使用高污染燃料；病死骆驼、分娩废弃物（胎衣、死胎、胎盘附属物）委托具有合法资质的无害化处理单位进行无害化处理</w:t>
      </w:r>
      <w:r>
        <w:rPr>
          <w:rFonts w:hint="eastAsia" w:ascii="Times New Roman" w:hAnsi="Times New Roman" w:eastAsia="宋体"/>
          <w:strike w:val="0"/>
          <w:dstrike w:val="0"/>
          <w:color w:val="auto"/>
          <w:sz w:val="24"/>
          <w:highlight w:val="none"/>
          <w:lang w:val="en-US" w:eastAsia="zh-CN"/>
        </w:rPr>
        <w:t>；项目运营期产生的生产废水经黑膜池发酵处理后用于项目区周边林带施肥，骆驼粪便清运至堆肥场，经处理后外售有机肥厂；</w:t>
      </w:r>
      <w:r>
        <w:rPr>
          <w:rFonts w:hint="eastAsia" w:ascii="Times New Roman" w:hAnsi="Times New Roman" w:eastAsia="宋体"/>
          <w:strike w:val="0"/>
          <w:dstrike w:val="0"/>
          <w:color w:val="auto"/>
          <w:sz w:val="24"/>
          <w:highlight w:val="none"/>
          <w:lang w:val="en-US" w:eastAsia="zh-CN"/>
        </w:rPr>
        <w:t>根据分析，本项目符合《新疆维吾尔自治区大气污染防治条例》相关要求</w:t>
      </w:r>
      <w:r>
        <w:rPr>
          <w:rFonts w:hint="eastAsia" w:ascii="Times New Roman" w:hAnsi="Times New Roman" w:eastAsia="宋体"/>
          <w:strike w:val="0"/>
          <w:dstrike w:val="0"/>
          <w:color w:val="auto"/>
          <w:sz w:val="24"/>
          <w:highlight w:val="none"/>
          <w:lang w:val="en-US" w:eastAsia="zh-CN"/>
        </w:rPr>
        <w:t>。</w:t>
      </w:r>
    </w:p>
    <w:p w14:paraId="5426D7A5">
      <w:pPr>
        <w:keepNext w:val="0"/>
        <w:keepLines w:val="0"/>
        <w:pageBreakBefore w:val="0"/>
        <w:widowControl w:val="0"/>
        <w:numPr>
          <w:ilvl w:val="0"/>
          <w:numId w:val="0"/>
        </w:numPr>
        <w:kinsoku/>
        <w:wordWrap/>
        <w:overflowPunct/>
        <w:topLinePunct w:val="0"/>
        <w:autoSpaceDE/>
        <w:autoSpaceDN/>
        <w:bidi w:val="0"/>
        <w:adjustRightInd/>
        <w:snapToGrid w:val="0"/>
        <w:ind w:firstLine="482" w:firstLineChars="200"/>
        <w:textAlignment w:val="auto"/>
        <w:rPr>
          <w:rFonts w:hint="eastAsia" w:ascii="Times New Roman" w:hAnsi="Times New Roman" w:eastAsia="宋体"/>
          <w:b/>
          <w:bCs/>
          <w:strike w:val="0"/>
          <w:dstrike w:val="0"/>
          <w:color w:val="auto"/>
          <w:sz w:val="24"/>
          <w:highlight w:val="none"/>
          <w:lang w:val="en-US" w:eastAsia="zh-CN"/>
        </w:rPr>
      </w:pPr>
      <w:r>
        <w:rPr>
          <w:rFonts w:hint="eastAsia" w:ascii="Times New Roman" w:hAnsi="Times New Roman" w:eastAsia="宋体" w:cs="Times New Roman"/>
          <w:b/>
          <w:bCs/>
          <w:strike w:val="0"/>
          <w:dstrike w:val="0"/>
          <w:color w:val="auto"/>
          <w:sz w:val="24"/>
          <w:lang w:val="en-US" w:eastAsia="zh-CN" w:bidi="ar-SA"/>
        </w:rPr>
        <w:t>（</w:t>
      </w:r>
      <w:r>
        <w:rPr>
          <w:rFonts w:hint="eastAsia" w:ascii="Times New Roman" w:hAnsi="Times New Roman" w:eastAsia="宋体" w:cs="Times New Roman"/>
          <w:b/>
          <w:bCs/>
          <w:strike w:val="0"/>
          <w:dstrike w:val="0"/>
          <w:color w:val="auto"/>
          <w:sz w:val="24"/>
          <w:lang w:val="en-US" w:eastAsia="zh-CN" w:bidi="ar-SA"/>
        </w:rPr>
        <w:t>7</w:t>
      </w:r>
      <w:r>
        <w:rPr>
          <w:rFonts w:hint="eastAsia" w:ascii="Times New Roman" w:hAnsi="Times New Roman" w:eastAsia="宋体" w:cs="Times New Roman"/>
          <w:b/>
          <w:bCs/>
          <w:strike w:val="0"/>
          <w:dstrike w:val="0"/>
          <w:color w:val="auto"/>
          <w:sz w:val="24"/>
          <w:lang w:val="en-US" w:eastAsia="zh-CN" w:bidi="ar-SA"/>
        </w:rPr>
        <w:t>）</w:t>
      </w:r>
      <w:r>
        <w:rPr>
          <w:rFonts w:hint="eastAsia" w:ascii="Times New Roman" w:hAnsi="Times New Roman" w:eastAsia="宋体"/>
          <w:b/>
          <w:bCs/>
          <w:strike w:val="0"/>
          <w:dstrike w:val="0"/>
          <w:color w:val="auto"/>
          <w:sz w:val="24"/>
          <w:highlight w:val="none"/>
          <w:lang w:val="en-US" w:eastAsia="zh-CN"/>
        </w:rPr>
        <w:t>与《关于做好畜禽规模养殖项目环境影响评价管理工作的通知》（环办环评</w:t>
      </w:r>
      <w:r>
        <w:rPr>
          <w:rFonts w:hint="eastAsia" w:ascii="Times New Roman" w:hAnsi="Times New Roman" w:eastAsia="宋体" w:cs="宋体"/>
          <w:b/>
          <w:bCs/>
          <w:strike w:val="0"/>
          <w:dstrike w:val="0"/>
          <w:color w:val="auto"/>
          <w:kern w:val="0"/>
          <w:sz w:val="24"/>
          <w:szCs w:val="24"/>
          <w:lang w:val="en-US" w:eastAsia="zh-CN" w:bidi="ar"/>
        </w:rPr>
        <w:t>〔</w:t>
      </w:r>
      <w:r>
        <w:rPr>
          <w:rFonts w:hint="default" w:ascii="Times New Roman" w:hAnsi="Times New Roman" w:eastAsia="宋体" w:cs="Times New Roman"/>
          <w:b/>
          <w:bCs/>
          <w:strike w:val="0"/>
          <w:dstrike w:val="0"/>
          <w:color w:val="auto"/>
          <w:kern w:val="0"/>
          <w:sz w:val="24"/>
          <w:szCs w:val="24"/>
          <w:lang w:val="en-US" w:eastAsia="zh-CN" w:bidi="ar"/>
        </w:rPr>
        <w:t>201</w:t>
      </w:r>
      <w:r>
        <w:rPr>
          <w:rFonts w:hint="eastAsia" w:ascii="Times New Roman" w:hAnsi="Times New Roman" w:eastAsia="宋体" w:cs="Times New Roman"/>
          <w:b/>
          <w:bCs/>
          <w:strike w:val="0"/>
          <w:dstrike w:val="0"/>
          <w:color w:val="auto"/>
          <w:kern w:val="0"/>
          <w:sz w:val="24"/>
          <w:szCs w:val="24"/>
          <w:lang w:val="en-US" w:eastAsia="zh-CN" w:bidi="ar"/>
        </w:rPr>
        <w:t>8</w:t>
      </w:r>
      <w:r>
        <w:rPr>
          <w:rFonts w:hint="eastAsia" w:ascii="Times New Roman" w:hAnsi="Times New Roman" w:eastAsia="宋体" w:cs="宋体"/>
          <w:b/>
          <w:bCs/>
          <w:strike w:val="0"/>
          <w:dstrike w:val="0"/>
          <w:color w:val="auto"/>
          <w:kern w:val="0"/>
          <w:sz w:val="24"/>
          <w:szCs w:val="24"/>
          <w:lang w:val="en-US" w:eastAsia="zh-CN" w:bidi="ar"/>
        </w:rPr>
        <w:t>〕</w:t>
      </w:r>
      <w:r>
        <w:rPr>
          <w:rFonts w:hint="eastAsia" w:ascii="Times New Roman" w:hAnsi="Times New Roman" w:eastAsia="宋体"/>
          <w:b/>
          <w:bCs/>
          <w:strike w:val="0"/>
          <w:dstrike w:val="0"/>
          <w:color w:val="auto"/>
          <w:sz w:val="24"/>
          <w:highlight w:val="none"/>
          <w:lang w:val="en-US" w:eastAsia="zh-CN"/>
        </w:rPr>
        <w:t>31号）的符合性分析</w:t>
      </w:r>
      <w:r>
        <w:rPr>
          <w:rFonts w:hint="eastAsia" w:ascii="Times New Roman" w:hAnsi="Times New Roman" w:eastAsia="宋体"/>
          <w:b/>
          <w:bCs/>
          <w:strike w:val="0"/>
          <w:dstrike w:val="0"/>
          <w:color w:val="auto"/>
          <w:sz w:val="24"/>
          <w:highlight w:val="none"/>
          <w:lang w:val="en-US" w:eastAsia="zh-CN"/>
        </w:rPr>
        <w:t>。</w:t>
      </w:r>
    </w:p>
    <w:p w14:paraId="6C4E15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表1.3-2与《关于做好畜禽规模养殖项目环境影响评价管理工作的通知》的符合性分析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
        <w:gridCol w:w="4920"/>
        <w:gridCol w:w="2788"/>
        <w:gridCol w:w="493"/>
      </w:tblGrid>
      <w:tr w14:paraId="0FD7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114AE5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环办环评〔</w:t>
            </w:r>
            <w:r>
              <w:rPr>
                <w:rFonts w:hint="default" w:ascii="Times New Roman" w:hAnsi="Times New Roman" w:eastAsia="宋体"/>
                <w:strike w:val="0"/>
                <w:dstrike w:val="0"/>
                <w:color w:val="auto"/>
                <w:sz w:val="21"/>
                <w:highlight w:val="none"/>
                <w:vertAlign w:val="baseline"/>
                <w:lang w:val="en-US" w:eastAsia="zh-CN"/>
              </w:rPr>
              <w:t>201</w:t>
            </w:r>
            <w:r>
              <w:rPr>
                <w:rFonts w:hint="eastAsia" w:ascii="Times New Roman" w:hAnsi="Times New Roman" w:eastAsia="宋体"/>
                <w:strike w:val="0"/>
                <w:dstrike w:val="0"/>
                <w:color w:val="auto"/>
                <w:sz w:val="21"/>
                <w:highlight w:val="none"/>
                <w:vertAlign w:val="baseline"/>
                <w:lang w:val="en-US" w:eastAsia="zh-CN"/>
              </w:rPr>
              <w:t>8〕31号</w:t>
            </w:r>
          </w:p>
        </w:tc>
        <w:tc>
          <w:tcPr>
            <w:tcW w:w="1635" w:type="pct"/>
            <w:vAlign w:val="center"/>
          </w:tcPr>
          <w:p w14:paraId="281F3D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本项目情况</w:t>
            </w:r>
          </w:p>
        </w:tc>
        <w:tc>
          <w:tcPr>
            <w:tcW w:w="289" w:type="pct"/>
            <w:vAlign w:val="center"/>
          </w:tcPr>
          <w:p w14:paraId="6C8E9B9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符合性分析</w:t>
            </w:r>
          </w:p>
        </w:tc>
      </w:tr>
      <w:tr w14:paraId="134D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2DCE5B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一、优化项目选址，合理布置养殖区</w:t>
            </w:r>
          </w:p>
        </w:tc>
        <w:tc>
          <w:tcPr>
            <w:tcW w:w="1635" w:type="pct"/>
            <w:vAlign w:val="center"/>
          </w:tcPr>
          <w:p w14:paraId="073521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1165B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65BF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48A34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w:t>
            </w:r>
          </w:p>
        </w:tc>
        <w:tc>
          <w:tcPr>
            <w:tcW w:w="2886" w:type="pct"/>
            <w:vAlign w:val="center"/>
          </w:tcPr>
          <w:p w14:paraId="66197E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项目环评应充分论证选址的环境合理性，选址应避开当地划定的禁止养殖区域，并与区域主体功能区规划、环境功能区划、土地利用规划、城乡规划、畜牧业发展规划、畜禽养殖污染防治规划等规划相协调</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当地未划定禁止养殖区域的，应避开饮用水水源保护区、风景名胜区、自然保护区的核心区和缓冲区、村镇人口集中区域，以及法律、法规规定的禁止养殖区域</w:t>
            </w:r>
          </w:p>
        </w:tc>
        <w:tc>
          <w:tcPr>
            <w:tcW w:w="1635" w:type="pct"/>
            <w:vAlign w:val="center"/>
          </w:tcPr>
          <w:p w14:paraId="0BE47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本项目的选址不</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在</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当地政府划定的</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禁养区及限养区</w:t>
            </w:r>
            <w:r>
              <w:rPr>
                <w:rFonts w:hint="eastAsia" w:ascii="Times New Roman" w:hAnsi="Times New Roman" w:eastAsia="宋体"/>
                <w:strike w:val="0"/>
                <w:dstrike w:val="0"/>
                <w:color w:val="auto"/>
                <w:sz w:val="21"/>
                <w:highlight w:val="none"/>
                <w:vertAlign w:val="baseline"/>
                <w:lang w:val="en-US" w:eastAsia="zh-CN"/>
              </w:rPr>
              <w:t>，本项目与禁养区、限养区位置关系见附图1.3-2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strike w:val="0"/>
                <w:dstrike w:val="0"/>
                <w:color w:val="auto"/>
                <w:sz w:val="21"/>
                <w:highlight w:val="none"/>
                <w:vertAlign w:val="baseline"/>
                <w:lang w:val="en-US" w:eastAsia="zh-CN"/>
              </w:rPr>
              <w:t>项目选址不涉及饮用水水源保护区、风景名胜区、自然保护区的核心区、缓冲区，以及村镇人口集中区域</w:t>
            </w:r>
          </w:p>
        </w:tc>
        <w:tc>
          <w:tcPr>
            <w:tcW w:w="289" w:type="pct"/>
            <w:vAlign w:val="center"/>
          </w:tcPr>
          <w:p w14:paraId="70E9DE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4BDA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6774F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2</w:t>
            </w:r>
          </w:p>
        </w:tc>
        <w:tc>
          <w:tcPr>
            <w:tcW w:w="2886" w:type="pct"/>
            <w:vAlign w:val="center"/>
          </w:tcPr>
          <w:p w14:paraId="078E11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项目环评应结合环境保护要求优化养殖场区内部布置</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畜禽养殖区及畜禽粪污贮存、处理和畜禽尸体无害化处理等产生恶臭影响的设施，应位于养殖场区主导风向的下风向位置，并尽量远离周边环境保护目标</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参照《畜禽养殖业污染防治技术规范》，并根据恶臭污染物无组织排放源强，以及当地的环境及气象等因素，按照《环境影响评价技术导则大气环境》要求计算大气环境防护距离，作为养殖场选址以及周边规划控制的依据，减轻对周围环境保护目标的不利影响</w:t>
            </w:r>
          </w:p>
        </w:tc>
        <w:tc>
          <w:tcPr>
            <w:tcW w:w="1635" w:type="pct"/>
            <w:vAlign w:val="center"/>
          </w:tcPr>
          <w:p w14:paraId="22AE12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w:t>
            </w:r>
            <w:r>
              <w:rPr>
                <w:rFonts w:hint="eastAsia" w:ascii="Times New Roman" w:hAnsi="Times New Roman" w:eastAsia="宋体"/>
                <w:strike w:val="0"/>
                <w:dstrike w:val="0"/>
                <w:color w:val="auto"/>
                <w:sz w:val="21"/>
                <w:highlight w:val="none"/>
                <w:vertAlign w:val="baseline"/>
                <w:lang w:val="en-US" w:eastAsia="zh-CN"/>
              </w:rPr>
              <w:t>项目</w:t>
            </w:r>
            <w:r>
              <w:rPr>
                <w:rFonts w:hint="eastAsia" w:ascii="Times New Roman" w:hAnsi="Times New Roman" w:eastAsia="宋体"/>
                <w:strike w:val="0"/>
                <w:dstrike w:val="0"/>
                <w:color w:val="auto"/>
                <w:sz w:val="21"/>
                <w:highlight w:val="none"/>
                <w:vertAlign w:val="baseline"/>
                <w:lang w:val="en-US" w:eastAsia="zh-CN"/>
              </w:rPr>
              <w:t>堆肥场、黑膜池位于厂区西南侧，远离东侧乡道，</w:t>
            </w:r>
            <w:r>
              <w:rPr>
                <w:rFonts w:hint="eastAsia" w:ascii="Times New Roman" w:hAnsi="Times New Roman" w:eastAsia="宋体"/>
                <w:strike w:val="0"/>
                <w:dstrike w:val="0"/>
                <w:color w:val="auto"/>
                <w:sz w:val="21"/>
                <w:highlight w:val="none"/>
                <w:vertAlign w:val="baseline"/>
                <w:lang w:val="en-US" w:eastAsia="zh-CN"/>
              </w:rPr>
              <w:t>项目建设符合《畜禽养殖业污染防治技术规范》要求，根据《环境影响评价技术导则大气环境》要求，项目无需设置大气环境防护</w:t>
            </w:r>
            <w:r>
              <w:rPr>
                <w:rFonts w:hint="eastAsia" w:ascii="Times New Roman" w:hAnsi="Times New Roman" w:eastAsia="宋体"/>
                <w:strike w:val="0"/>
                <w:dstrike w:val="0"/>
                <w:color w:val="auto"/>
                <w:sz w:val="21"/>
                <w:highlight w:val="none"/>
                <w:vertAlign w:val="baseline"/>
                <w:lang w:val="en-US" w:eastAsia="zh-CN"/>
              </w:rPr>
              <w:t>距离。</w:t>
            </w:r>
          </w:p>
        </w:tc>
        <w:tc>
          <w:tcPr>
            <w:tcW w:w="289" w:type="pct"/>
            <w:vAlign w:val="center"/>
          </w:tcPr>
          <w:p w14:paraId="23AE81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73DF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224A3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二、加强粪污减量控制，促进畜禽养殖</w:t>
            </w:r>
            <w:r>
              <w:rPr>
                <w:rFonts w:hint="eastAsia" w:ascii="Times New Roman" w:hAnsi="Times New Roman" w:eastAsia="宋体"/>
                <w:strike w:val="0"/>
                <w:dstrike w:val="0"/>
                <w:color w:val="auto"/>
                <w:sz w:val="21"/>
                <w:highlight w:val="none"/>
                <w:vertAlign w:val="baseline"/>
                <w:lang w:val="en-US" w:eastAsia="zh-CN"/>
              </w:rPr>
              <w:t>粪污资源化</w:t>
            </w:r>
            <w:r>
              <w:rPr>
                <w:rFonts w:hint="eastAsia" w:ascii="Times New Roman" w:hAnsi="Times New Roman" w:eastAsia="宋体"/>
                <w:strike w:val="0"/>
                <w:dstrike w:val="0"/>
                <w:color w:val="auto"/>
                <w:sz w:val="21"/>
                <w:highlight w:val="none"/>
                <w:vertAlign w:val="baseline"/>
                <w:lang w:val="en-US" w:eastAsia="zh-CN"/>
              </w:rPr>
              <w:t>利用</w:t>
            </w:r>
          </w:p>
        </w:tc>
        <w:tc>
          <w:tcPr>
            <w:tcW w:w="1635" w:type="pct"/>
            <w:vAlign w:val="center"/>
          </w:tcPr>
          <w:p w14:paraId="15B52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2A5C13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246C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5AB90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w:t>
            </w:r>
          </w:p>
        </w:tc>
        <w:tc>
          <w:tcPr>
            <w:tcW w:w="2886" w:type="pct"/>
            <w:vAlign w:val="center"/>
          </w:tcPr>
          <w:p w14:paraId="15C3DC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项目环评应以农业绿色发展为导向，优化工艺，通过采取优化饲料配方、提高饲养技术等措施，从源头减少粪污的产生量</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鼓励采取干清粪方式，采取水泡类工艺的应最大限度降低用水量</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场区应采取雨污分离措施，防止雨水进入粪污收集系统</w:t>
            </w:r>
          </w:p>
        </w:tc>
        <w:tc>
          <w:tcPr>
            <w:tcW w:w="1635" w:type="pct"/>
            <w:vAlign w:val="center"/>
          </w:tcPr>
          <w:p w14:paraId="07911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本项目采用科学喂养方法，采用干清粪工艺，厂区设置雨污分流措施。</w:t>
            </w:r>
          </w:p>
        </w:tc>
        <w:tc>
          <w:tcPr>
            <w:tcW w:w="289" w:type="pct"/>
            <w:vAlign w:val="center"/>
          </w:tcPr>
          <w:p w14:paraId="6041CE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217D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589CB6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2</w:t>
            </w:r>
          </w:p>
        </w:tc>
        <w:tc>
          <w:tcPr>
            <w:tcW w:w="2886" w:type="pct"/>
            <w:vAlign w:val="center"/>
          </w:tcPr>
          <w:p w14:paraId="3E7230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结合地域、畜种、规模等特点以及地方相关部门制定的畜禽粪污综合利用目标等要求，加强畜禽养殖粪污资源化利用，因地制宜选择经济高效适用的处理利用模式，采取粪污全量收集还田利用、污水肥料化利用、粪便垫料回用、异位发酵床、</w:t>
            </w:r>
            <w:r>
              <w:rPr>
                <w:rFonts w:hint="eastAsia" w:ascii="Times New Roman" w:hAnsi="Times New Roman" w:eastAsia="宋体"/>
                <w:strike w:val="0"/>
                <w:dstrike w:val="0"/>
                <w:color w:val="auto"/>
                <w:sz w:val="21"/>
                <w:highlight w:val="none"/>
                <w:vertAlign w:val="baseline"/>
                <w:lang w:val="en-US" w:eastAsia="zh-CN"/>
              </w:rPr>
              <w:t>粪污</w:t>
            </w:r>
            <w:r>
              <w:rPr>
                <w:rFonts w:hint="eastAsia" w:ascii="Times New Roman" w:hAnsi="Times New Roman" w:eastAsia="宋体"/>
                <w:strike w:val="0"/>
                <w:dstrike w:val="0"/>
                <w:color w:val="auto"/>
                <w:sz w:val="21"/>
                <w:highlight w:val="none"/>
                <w:vertAlign w:val="baseline"/>
                <w:lang w:val="en-US" w:eastAsia="zh-CN"/>
              </w:rPr>
              <w:t>专业化能源利用等模式处理利用畜禽粪污，促进畜禽规模养殖项目“种养结合”绿色发展</w:t>
            </w:r>
            <w:r>
              <w:rPr>
                <w:rFonts w:hint="eastAsia" w:ascii="Times New Roman" w:hAnsi="Times New Roman" w:eastAsia="宋体"/>
                <w:strike w:val="0"/>
                <w:dstrike w:val="0"/>
                <w:color w:val="auto"/>
                <w:sz w:val="21"/>
                <w:highlight w:val="none"/>
                <w:vertAlign w:val="baseline"/>
                <w:lang w:val="en-US" w:eastAsia="zh-CN"/>
              </w:rPr>
              <w:t>。</w:t>
            </w:r>
          </w:p>
        </w:tc>
        <w:tc>
          <w:tcPr>
            <w:tcW w:w="1635" w:type="pct"/>
            <w:vAlign w:val="center"/>
          </w:tcPr>
          <w:p w14:paraId="142E7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strike w:val="0"/>
                <w:dstrike w:val="0"/>
                <w:color w:val="auto"/>
                <w:sz w:val="21"/>
                <w:szCs w:val="24"/>
                <w:highlight w:val="none"/>
                <w:lang w:val="en-US" w:eastAsia="zh-CN"/>
              </w:rPr>
              <w:t>。</w:t>
            </w:r>
          </w:p>
        </w:tc>
        <w:tc>
          <w:tcPr>
            <w:tcW w:w="289" w:type="pct"/>
            <w:vAlign w:val="center"/>
          </w:tcPr>
          <w:p w14:paraId="3023E7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6123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2339AC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3</w:t>
            </w:r>
          </w:p>
        </w:tc>
        <w:tc>
          <w:tcPr>
            <w:tcW w:w="2886" w:type="pct"/>
            <w:vAlign w:val="center"/>
          </w:tcPr>
          <w:p w14:paraId="10E6D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鼓励根据土地承载能力确定畜禽养殖场的适宜养殖规模，土地承载能力可采用农业农村主管部门发布的测算技术方法确定</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耕地面积大、土地消纳能力相对较高的区域，畜禽养殖场产生的粪污应力争实现全部就地就近资源化利用或委托第三方处理</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当土地消纳能力不足时，应进一步提高资源化利用能力或适当减少养殖规模</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鼓励依托符合环保要求的专业化</w:t>
            </w:r>
            <w:r>
              <w:rPr>
                <w:rFonts w:hint="eastAsia" w:ascii="Times New Roman" w:hAnsi="Times New Roman" w:eastAsia="宋体"/>
                <w:strike w:val="0"/>
                <w:dstrike w:val="0"/>
                <w:color w:val="auto"/>
                <w:sz w:val="21"/>
                <w:highlight w:val="none"/>
                <w:vertAlign w:val="baseline"/>
                <w:lang w:val="en-US" w:eastAsia="zh-CN"/>
              </w:rPr>
              <w:t>粪污</w:t>
            </w:r>
            <w:r>
              <w:rPr>
                <w:rFonts w:hint="eastAsia" w:ascii="Times New Roman" w:hAnsi="Times New Roman" w:eastAsia="宋体"/>
                <w:strike w:val="0"/>
                <w:dstrike w:val="0"/>
                <w:color w:val="auto"/>
                <w:sz w:val="21"/>
                <w:highlight w:val="none"/>
                <w:vertAlign w:val="baseline"/>
                <w:lang w:val="en-US" w:eastAsia="zh-CN"/>
              </w:rPr>
              <w:t>处理利用企业，提高畜禽养殖粪污集中收集利用能力</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环评应明确畜禽养殖粪污资源化利用的主体，严格落实利用渠道或途径，确保资源化利用有效实施</w:t>
            </w:r>
            <w:r>
              <w:rPr>
                <w:rFonts w:hint="eastAsia" w:ascii="Times New Roman" w:hAnsi="Times New Roman" w:eastAsia="宋体"/>
                <w:strike w:val="0"/>
                <w:dstrike w:val="0"/>
                <w:color w:val="auto"/>
                <w:sz w:val="21"/>
                <w:highlight w:val="none"/>
                <w:vertAlign w:val="baseline"/>
                <w:lang w:val="en-US" w:eastAsia="zh-CN"/>
              </w:rPr>
              <w:t>。</w:t>
            </w:r>
          </w:p>
        </w:tc>
        <w:tc>
          <w:tcPr>
            <w:tcW w:w="1635" w:type="pct"/>
            <w:vAlign w:val="center"/>
          </w:tcPr>
          <w:p w14:paraId="6FD82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strike w:val="0"/>
                <w:dstrike w:val="0"/>
                <w:color w:val="auto"/>
                <w:sz w:val="21"/>
                <w:szCs w:val="24"/>
                <w:highlight w:val="none"/>
                <w:lang w:val="en-US" w:eastAsia="zh-CN"/>
              </w:rPr>
              <w:t>；</w:t>
            </w:r>
            <w:r>
              <w:rPr>
                <w:rFonts w:hint="eastAsia" w:ascii="Times New Roman" w:hAnsi="Times New Roman" w:eastAsia="宋体"/>
                <w:strike w:val="0"/>
                <w:dstrike w:val="0"/>
                <w:color w:val="auto"/>
                <w:sz w:val="21"/>
                <w:highlight w:val="none"/>
                <w:vertAlign w:val="baseline"/>
                <w:lang w:val="en-US" w:eastAsia="zh-CN"/>
              </w:rPr>
              <w:t>经计算，配套消纳地面积约为55公顷（825亩），博斯坦乡总计林地面积6750亩，可完全消纳本项目产生的液肥，</w:t>
            </w:r>
            <w:r>
              <w:rPr>
                <w:rFonts w:hint="default" w:ascii="Times New Roman" w:hAnsi="Times New Roman" w:eastAsia="宋体"/>
                <w:strike w:val="0"/>
                <w:dstrike w:val="0"/>
                <w:color w:val="auto"/>
                <w:sz w:val="21"/>
                <w:highlight w:val="none"/>
                <w:vertAlign w:val="baseline"/>
                <w:lang w:val="en-US" w:eastAsia="zh-CN"/>
              </w:rPr>
              <w:t>不会超过</w:t>
            </w:r>
            <w:r>
              <w:rPr>
                <w:rFonts w:hint="eastAsia" w:ascii="Times New Roman" w:hAnsi="Times New Roman" w:eastAsia="宋体"/>
                <w:strike w:val="0"/>
                <w:dstrike w:val="0"/>
                <w:color w:val="auto"/>
                <w:sz w:val="21"/>
                <w:highlight w:val="none"/>
                <w:vertAlign w:val="baseline"/>
                <w:lang w:val="en-US" w:eastAsia="zh-CN"/>
              </w:rPr>
              <w:t>林地</w:t>
            </w:r>
            <w:r>
              <w:rPr>
                <w:rFonts w:hint="default" w:ascii="Times New Roman" w:hAnsi="Times New Roman" w:eastAsia="宋体"/>
                <w:strike w:val="0"/>
                <w:dstrike w:val="0"/>
                <w:color w:val="auto"/>
                <w:sz w:val="21"/>
                <w:highlight w:val="none"/>
                <w:vertAlign w:val="baseline"/>
                <w:lang w:val="en-US" w:eastAsia="zh-CN"/>
              </w:rPr>
              <w:t>的肥力承载力。</w:t>
            </w:r>
          </w:p>
        </w:tc>
        <w:tc>
          <w:tcPr>
            <w:tcW w:w="289" w:type="pct"/>
            <w:vAlign w:val="center"/>
          </w:tcPr>
          <w:p w14:paraId="3AF52F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584D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0358E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三、强化粪污治理措施，做好污染防治</w:t>
            </w:r>
          </w:p>
        </w:tc>
        <w:tc>
          <w:tcPr>
            <w:tcW w:w="1635" w:type="pct"/>
            <w:vAlign w:val="center"/>
          </w:tcPr>
          <w:p w14:paraId="52F550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1B2E0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6A4B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2B678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w:t>
            </w:r>
          </w:p>
        </w:tc>
        <w:tc>
          <w:tcPr>
            <w:tcW w:w="2886" w:type="pct"/>
            <w:vAlign w:val="center"/>
          </w:tcPr>
          <w:p w14:paraId="78B8B5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项目环评应强化对粪污的治理措施，加强畜禽养殖粪污资源化利用过程中的污染控制，推进粪污资源的良性利用，应对无法资源化利用的粪污采取治理措施确保达标排放</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畜禽规模养殖项目应配套建设与养殖规模相匹配的雨污分离设施，以及粪污贮存、处理和利用设施等，委托满足相关环保要求的第三方代为利用或者处理的，可不自行建设</w:t>
            </w:r>
            <w:r>
              <w:rPr>
                <w:rFonts w:hint="eastAsia" w:ascii="Times New Roman" w:hAnsi="Times New Roman" w:eastAsia="宋体"/>
                <w:strike w:val="0"/>
                <w:dstrike w:val="0"/>
                <w:color w:val="auto"/>
                <w:sz w:val="21"/>
                <w:highlight w:val="none"/>
                <w:vertAlign w:val="baseline"/>
                <w:lang w:val="en-US" w:eastAsia="zh-CN"/>
              </w:rPr>
              <w:t>粪污</w:t>
            </w:r>
            <w:r>
              <w:rPr>
                <w:rFonts w:hint="eastAsia" w:ascii="Times New Roman" w:hAnsi="Times New Roman" w:eastAsia="宋体"/>
                <w:strike w:val="0"/>
                <w:dstrike w:val="0"/>
                <w:color w:val="auto"/>
                <w:sz w:val="21"/>
                <w:highlight w:val="none"/>
                <w:vertAlign w:val="baseline"/>
                <w:lang w:val="en-US" w:eastAsia="zh-CN"/>
              </w:rPr>
              <w:t>处理或利用设施</w:t>
            </w:r>
          </w:p>
        </w:tc>
        <w:tc>
          <w:tcPr>
            <w:tcW w:w="1635" w:type="pct"/>
            <w:vAlign w:val="center"/>
          </w:tcPr>
          <w:p w14:paraId="6A97DA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strike w:val="0"/>
                <w:dstrike w:val="0"/>
                <w:color w:val="auto"/>
                <w:sz w:val="21"/>
                <w:szCs w:val="24"/>
                <w:highlight w:val="none"/>
                <w:lang w:val="en-US" w:eastAsia="zh-CN"/>
              </w:rPr>
              <w:t>；</w:t>
            </w:r>
            <w:r>
              <w:rPr>
                <w:rFonts w:hint="eastAsia" w:ascii="Times New Roman" w:hAnsi="Times New Roman" w:eastAsia="宋体"/>
                <w:strike w:val="0"/>
                <w:dstrike w:val="0"/>
                <w:color w:val="auto"/>
                <w:sz w:val="21"/>
                <w:highlight w:val="none"/>
                <w:vertAlign w:val="baseline"/>
                <w:lang w:val="en-US" w:eastAsia="zh-CN"/>
              </w:rPr>
              <w:t>厂区设置相应规模的雨污分流措施；</w:t>
            </w:r>
            <w:r>
              <w:rPr>
                <w:rFonts w:hint="eastAsia" w:ascii="Times New Roman" w:hAnsi="Times New Roman" w:eastAsia="宋体" w:cs="宋体"/>
                <w:strike w:val="0"/>
                <w:dstrike w:val="0"/>
                <w:color w:val="auto"/>
                <w:sz w:val="21"/>
                <w:szCs w:val="24"/>
                <w:highlight w:val="none"/>
                <w:lang w:val="en-US" w:eastAsia="zh-CN"/>
              </w:rPr>
              <w:t>配套建设堆肥厂和黑膜池。</w:t>
            </w:r>
          </w:p>
        </w:tc>
        <w:tc>
          <w:tcPr>
            <w:tcW w:w="289" w:type="pct"/>
            <w:vAlign w:val="center"/>
          </w:tcPr>
          <w:p w14:paraId="4893D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4879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5E694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2</w:t>
            </w:r>
          </w:p>
        </w:tc>
        <w:tc>
          <w:tcPr>
            <w:tcW w:w="2886" w:type="pct"/>
            <w:vAlign w:val="center"/>
          </w:tcPr>
          <w:p w14:paraId="1FEC99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项目环评应明确畜禽粪污贮存、处理和利用措施</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贮存池应采取有效的防雨、防渗和防溢流措施，防止畜禽</w:t>
            </w:r>
            <w:r>
              <w:rPr>
                <w:rFonts w:hint="eastAsia" w:ascii="Times New Roman" w:hAnsi="Times New Roman" w:eastAsia="宋体"/>
                <w:strike w:val="0"/>
                <w:dstrike w:val="0"/>
                <w:color w:val="auto"/>
                <w:sz w:val="21"/>
                <w:highlight w:val="none"/>
                <w:vertAlign w:val="baseline"/>
                <w:lang w:val="en-US" w:eastAsia="zh-CN"/>
              </w:rPr>
              <w:t>粪污</w:t>
            </w:r>
            <w:r>
              <w:rPr>
                <w:rFonts w:hint="eastAsia" w:ascii="Times New Roman" w:hAnsi="Times New Roman" w:eastAsia="宋体"/>
                <w:strike w:val="0"/>
                <w:dstrike w:val="0"/>
                <w:color w:val="auto"/>
                <w:sz w:val="21"/>
                <w:highlight w:val="none"/>
                <w:vertAlign w:val="baseline"/>
                <w:lang w:val="en-US" w:eastAsia="zh-CN"/>
              </w:rPr>
              <w:t>污染地下水</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贮存池总有效容积应根据贮存期确定</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进行资源化利用的畜禽粪污须处理并达到畜禽粪便还田、无害化处理等技术规范要求</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畜禽规模养殖项目配套建设沼气工程的，应充分考虑沼气制备及贮存过程中的环境风险，制定环境风险防范措施及应急预案</w:t>
            </w:r>
          </w:p>
        </w:tc>
        <w:tc>
          <w:tcPr>
            <w:tcW w:w="1635" w:type="pct"/>
            <w:vAlign w:val="center"/>
          </w:tcPr>
          <w:p w14:paraId="62D6D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strike w:val="0"/>
                <w:dstrike w:val="0"/>
                <w:color w:val="auto"/>
                <w:sz w:val="21"/>
                <w:szCs w:val="24"/>
                <w:highlight w:val="none"/>
                <w:lang w:val="en-US" w:eastAsia="zh-CN"/>
              </w:rPr>
              <w:t>；配套建设堆肥厂和黑膜池；</w:t>
            </w:r>
            <w:r>
              <w:rPr>
                <w:rFonts w:hint="eastAsia" w:ascii="Times New Roman" w:hAnsi="Times New Roman" w:eastAsia="宋体"/>
                <w:strike w:val="0"/>
                <w:dstrike w:val="0"/>
                <w:color w:val="auto"/>
                <w:sz w:val="21"/>
                <w:highlight w:val="none"/>
                <w:vertAlign w:val="baseline"/>
                <w:lang w:val="en-US" w:eastAsia="zh-CN"/>
              </w:rPr>
              <w:t>本环评要求</w:t>
            </w:r>
            <w:r>
              <w:rPr>
                <w:rFonts w:hint="eastAsia" w:ascii="Times New Roman" w:hAnsi="Times New Roman" w:eastAsia="宋体" w:cs="宋体"/>
                <w:strike w:val="0"/>
                <w:dstrike w:val="0"/>
                <w:color w:val="auto"/>
                <w:spacing w:val="0"/>
                <w:position w:val="0"/>
                <w:sz w:val="21"/>
                <w:szCs w:val="21"/>
                <w:highlight w:val="none"/>
                <w:lang w:val="en-US" w:eastAsia="zh-CN"/>
              </w:rPr>
              <w:t>对项目厂区</w:t>
            </w:r>
            <w:r>
              <w:rPr>
                <w:rFonts w:ascii="Times New Roman" w:hAnsi="Times New Roman" w:eastAsia="宋体" w:cs="宋体"/>
                <w:strike w:val="0"/>
                <w:dstrike w:val="0"/>
                <w:color w:val="auto"/>
                <w:spacing w:val="0"/>
                <w:position w:val="0"/>
                <w:sz w:val="21"/>
                <w:szCs w:val="21"/>
                <w:highlight w:val="none"/>
              </w:rPr>
              <w:t>进行分区防渗</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289" w:type="pct"/>
            <w:vAlign w:val="center"/>
          </w:tcPr>
          <w:p w14:paraId="4C41E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3728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1A083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3</w:t>
            </w:r>
          </w:p>
        </w:tc>
        <w:tc>
          <w:tcPr>
            <w:tcW w:w="2886" w:type="pct"/>
            <w:vAlign w:val="center"/>
          </w:tcPr>
          <w:p w14:paraId="46C44E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畜禽养殖粪污作为肥料还田利用的，应明确畜禽养殖场与还田利用的林地、农田之间的输送系统及环境管理措施，严格控制肥水输送沿途的弃、撒和跑冒滴漏，防止进入外部水体</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对无法采取资源化利用的畜禽养殖废水应明确处理措施及工艺，确保达标排放或消毒回用，排放去向应符合国家和地方的有关规定，不得排入敏感水域和有特殊功能的水域</w:t>
            </w:r>
          </w:p>
        </w:tc>
        <w:tc>
          <w:tcPr>
            <w:tcW w:w="1635" w:type="pct"/>
            <w:vAlign w:val="center"/>
          </w:tcPr>
          <w:p w14:paraId="684D94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s="宋体"/>
                <w:strike w:val="0"/>
                <w:dstrike w:val="0"/>
                <w:color w:val="auto"/>
                <w:sz w:val="21"/>
                <w:szCs w:val="24"/>
                <w:highlight w:val="none"/>
                <w:lang w:val="en-US" w:eastAsia="zh-CN"/>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strike w:val="0"/>
                <w:dstrike w:val="0"/>
                <w:color w:val="auto"/>
                <w:sz w:val="21"/>
                <w:szCs w:val="24"/>
                <w:highlight w:val="none"/>
                <w:lang w:val="en-US" w:eastAsia="zh-CN"/>
              </w:rPr>
              <w:t>。</w:t>
            </w:r>
          </w:p>
        </w:tc>
        <w:tc>
          <w:tcPr>
            <w:tcW w:w="289" w:type="pct"/>
            <w:vAlign w:val="center"/>
          </w:tcPr>
          <w:p w14:paraId="62FD02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1FD1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 w:type="pct"/>
            <w:vAlign w:val="center"/>
          </w:tcPr>
          <w:p w14:paraId="0F9579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4</w:t>
            </w:r>
          </w:p>
        </w:tc>
        <w:tc>
          <w:tcPr>
            <w:tcW w:w="2886" w:type="pct"/>
            <w:vAlign w:val="center"/>
          </w:tcPr>
          <w:p w14:paraId="512CC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依据相关法律法规和技术规范，制定明确的病死畜禽处理、处置方案，及时处理病死畜禽</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针对畜禽规模养殖项目的恶臭影响，可采取控制饲养密度、改善舍内通风、及时清粪、采用除臭剂、集中收集处理等措施，确保项目恶臭污染物达标排放</w:t>
            </w:r>
          </w:p>
        </w:tc>
        <w:tc>
          <w:tcPr>
            <w:tcW w:w="1635" w:type="pct"/>
            <w:vAlign w:val="center"/>
          </w:tcPr>
          <w:p w14:paraId="78F65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本环评要求病死骆驼、分娩废弃物（胎衣、死胎、胎盘附属物）按照要求委托有资质的第三方处置。</w:t>
            </w:r>
          </w:p>
        </w:tc>
        <w:tc>
          <w:tcPr>
            <w:tcW w:w="289" w:type="pct"/>
            <w:vAlign w:val="center"/>
          </w:tcPr>
          <w:p w14:paraId="6F035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7271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366DD4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四、落实环评信息公开要求，发挥公众参与的监督作用</w:t>
            </w:r>
          </w:p>
        </w:tc>
        <w:tc>
          <w:tcPr>
            <w:tcW w:w="1635" w:type="pct"/>
            <w:vAlign w:val="center"/>
          </w:tcPr>
          <w:p w14:paraId="78B3C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431EBB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4EB7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29911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建设单位在项目环评报告书报送审批前，应采取适当形式，遵循依法、有序、公开、便利的原则，公开征求意见并对</w:t>
            </w:r>
            <w:r>
              <w:rPr>
                <w:rFonts w:hint="eastAsia" w:ascii="Times New Roman" w:hAnsi="Times New Roman" w:eastAsia="宋体"/>
                <w:strike w:val="0"/>
                <w:dstrike w:val="0"/>
                <w:color w:val="auto"/>
                <w:sz w:val="21"/>
                <w:highlight w:val="none"/>
                <w:vertAlign w:val="baseline"/>
                <w:lang w:val="en-US" w:eastAsia="zh-CN"/>
              </w:rPr>
              <w:t>征求到的意见的真实性</w:t>
            </w:r>
            <w:r>
              <w:rPr>
                <w:rFonts w:hint="eastAsia" w:ascii="Times New Roman" w:hAnsi="Times New Roman" w:eastAsia="宋体"/>
                <w:strike w:val="0"/>
                <w:dstrike w:val="0"/>
                <w:color w:val="auto"/>
                <w:sz w:val="21"/>
                <w:highlight w:val="none"/>
                <w:vertAlign w:val="baseline"/>
                <w:lang w:val="en-US" w:eastAsia="zh-CN"/>
              </w:rPr>
              <w:t>和</w:t>
            </w:r>
            <w:r>
              <w:rPr>
                <w:rFonts w:hint="eastAsia" w:ascii="Times New Roman" w:hAnsi="Times New Roman" w:eastAsia="宋体"/>
                <w:strike w:val="0"/>
                <w:dstrike w:val="0"/>
                <w:color w:val="auto"/>
                <w:sz w:val="21"/>
                <w:highlight w:val="none"/>
                <w:vertAlign w:val="baseline"/>
                <w:lang w:val="en-US" w:eastAsia="zh-CN"/>
              </w:rPr>
              <w:t>处理结果负责。</w:t>
            </w:r>
          </w:p>
        </w:tc>
        <w:tc>
          <w:tcPr>
            <w:tcW w:w="1635" w:type="pct"/>
            <w:vAlign w:val="center"/>
          </w:tcPr>
          <w:p w14:paraId="0185B7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接受委托后，</w:t>
            </w:r>
            <w:r>
              <w:rPr>
                <w:rFonts w:hint="eastAsia" w:ascii="Times New Roman" w:hAnsi="Times New Roman" w:eastAsia="宋体"/>
                <w:strike w:val="0"/>
                <w:dstrike w:val="0"/>
                <w:color w:val="auto"/>
                <w:sz w:val="21"/>
                <w:highlight w:val="none"/>
                <w:vertAlign w:val="baseline"/>
                <w:lang w:val="en-US" w:eastAsia="zh-CN"/>
              </w:rPr>
              <w:t>建设单位在网上</w:t>
            </w:r>
            <w:r>
              <w:rPr>
                <w:rFonts w:hint="eastAsia" w:ascii="Times New Roman" w:hAnsi="Times New Roman" w:eastAsia="宋体"/>
                <w:strike w:val="0"/>
                <w:dstrike w:val="0"/>
                <w:color w:val="auto"/>
                <w:sz w:val="21"/>
                <w:highlight w:val="none"/>
                <w:vertAlign w:val="baseline"/>
                <w:lang w:val="en-US" w:eastAsia="zh-CN"/>
              </w:rPr>
              <w:t>进行了第一次网络平台公示，并将公众意见表一并公示</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在编制完成征求意见稿后，通过</w:t>
            </w:r>
            <w:r>
              <w:rPr>
                <w:rFonts w:hint="eastAsia" w:ascii="Times New Roman" w:hAnsi="Times New Roman" w:eastAsia="宋体"/>
                <w:strike w:val="0"/>
                <w:dstrike w:val="0"/>
                <w:color w:val="auto"/>
                <w:sz w:val="21"/>
                <w:highlight w:val="none"/>
                <w:vertAlign w:val="baseline"/>
                <w:lang w:val="en-US" w:eastAsia="zh-CN"/>
              </w:rPr>
              <w:t>网上平台进行</w:t>
            </w:r>
            <w:r>
              <w:rPr>
                <w:rFonts w:hint="eastAsia" w:ascii="Times New Roman" w:hAnsi="Times New Roman" w:eastAsia="宋体"/>
                <w:strike w:val="0"/>
                <w:dstrike w:val="0"/>
                <w:color w:val="auto"/>
                <w:sz w:val="21"/>
                <w:highlight w:val="none"/>
                <w:vertAlign w:val="baseline"/>
                <w:lang w:val="en-US" w:eastAsia="zh-CN"/>
              </w:rPr>
              <w:t>了征求意见稿公示，并将公众意见表作为附件一并公示</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在报告书征求意见稿期间，建设单位在</w:t>
            </w:r>
            <w:r>
              <w:rPr>
                <w:rFonts w:hint="eastAsia" w:ascii="Times New Roman" w:hAnsi="Times New Roman" w:eastAsia="宋体"/>
                <w:strike w:val="0"/>
                <w:dstrike w:val="0"/>
                <w:color w:val="auto"/>
                <w:sz w:val="21"/>
                <w:highlight w:val="none"/>
                <w:vertAlign w:val="baseline"/>
                <w:lang w:val="en-US" w:eastAsia="zh-CN"/>
              </w:rPr>
              <w:t>乡政府</w:t>
            </w:r>
            <w:r>
              <w:rPr>
                <w:rFonts w:hint="eastAsia" w:ascii="Times New Roman" w:hAnsi="Times New Roman" w:eastAsia="宋体"/>
                <w:strike w:val="0"/>
                <w:dstrike w:val="0"/>
                <w:color w:val="auto"/>
                <w:sz w:val="21"/>
                <w:highlight w:val="none"/>
                <w:vertAlign w:val="baseline"/>
                <w:lang w:val="en-US" w:eastAsia="zh-CN"/>
              </w:rPr>
              <w:t>以张贴公告方式进行了征求意见稿现场公示，并向相关民众和团体发放了公众意见表进行意见征询</w:t>
            </w:r>
            <w:r>
              <w:rPr>
                <w:rFonts w:hint="eastAsia" w:ascii="Times New Roman" w:hAnsi="Times New Roman" w:eastAsia="宋体"/>
                <w:strike w:val="0"/>
                <w:dstrike w:val="0"/>
                <w:color w:val="auto"/>
                <w:sz w:val="21"/>
                <w:highlight w:val="none"/>
                <w:vertAlign w:val="baseline"/>
                <w:lang w:val="en-US" w:eastAsia="zh-CN"/>
              </w:rPr>
              <w:t>，</w:t>
            </w:r>
            <w:r>
              <w:rPr>
                <w:rFonts w:hint="eastAsia" w:ascii="Times New Roman" w:hAnsi="Times New Roman" w:eastAsia="宋体"/>
                <w:strike w:val="0"/>
                <w:dstrike w:val="0"/>
                <w:color w:val="auto"/>
                <w:sz w:val="21"/>
                <w:highlight w:val="none"/>
                <w:vertAlign w:val="baseline"/>
                <w:lang w:val="en-US" w:eastAsia="zh-CN"/>
              </w:rPr>
              <w:t>开展公众参与调查活动</w:t>
            </w: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5D138A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r w14:paraId="0EB4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42488D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五、强化事中事后监管，形成长效管理机制</w:t>
            </w:r>
          </w:p>
        </w:tc>
        <w:tc>
          <w:tcPr>
            <w:tcW w:w="1635" w:type="pct"/>
            <w:vAlign w:val="center"/>
          </w:tcPr>
          <w:p w14:paraId="53C06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42279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w:t>
            </w:r>
          </w:p>
        </w:tc>
      </w:tr>
      <w:tr w14:paraId="430E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pct"/>
            <w:gridSpan w:val="2"/>
            <w:vAlign w:val="center"/>
          </w:tcPr>
          <w:p w14:paraId="0F20C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建设单位</w:t>
            </w:r>
            <w:r>
              <w:rPr>
                <w:rFonts w:hint="eastAsia" w:ascii="Times New Roman" w:hAnsi="Times New Roman" w:eastAsia="宋体"/>
                <w:strike w:val="0"/>
                <w:dstrike w:val="0"/>
                <w:color w:val="auto"/>
                <w:sz w:val="21"/>
                <w:highlight w:val="none"/>
                <w:vertAlign w:val="baseline"/>
                <w:lang w:val="en-US" w:eastAsia="zh-CN"/>
              </w:rPr>
              <w:t>应</w:t>
            </w:r>
            <w:r>
              <w:rPr>
                <w:rFonts w:hint="eastAsia" w:ascii="Times New Roman" w:hAnsi="Times New Roman" w:eastAsia="宋体"/>
                <w:strike w:val="0"/>
                <w:dstrike w:val="0"/>
                <w:color w:val="auto"/>
                <w:sz w:val="21"/>
                <w:highlight w:val="none"/>
                <w:vertAlign w:val="baseline"/>
                <w:lang w:val="en-US" w:eastAsia="zh-CN"/>
              </w:rPr>
              <w:t>严格执行环境保护“三同时”制度，落实各项生态环境保护措施，在项目建成后按照国家规定的程序和技术规范，开展建设项目竣工环境保护验收</w:t>
            </w:r>
            <w:r>
              <w:rPr>
                <w:rFonts w:hint="eastAsia" w:ascii="Times New Roman" w:hAnsi="Times New Roman" w:eastAsia="宋体"/>
                <w:strike w:val="0"/>
                <w:dstrike w:val="0"/>
                <w:color w:val="auto"/>
                <w:sz w:val="21"/>
                <w:highlight w:val="none"/>
                <w:vertAlign w:val="baseline"/>
                <w:lang w:val="en-US" w:eastAsia="zh-CN"/>
              </w:rPr>
              <w:t>。</w:t>
            </w:r>
          </w:p>
        </w:tc>
        <w:tc>
          <w:tcPr>
            <w:tcW w:w="1635" w:type="pct"/>
            <w:vAlign w:val="center"/>
          </w:tcPr>
          <w:p w14:paraId="216882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建设单位</w:t>
            </w:r>
            <w:r>
              <w:rPr>
                <w:rFonts w:hint="eastAsia" w:ascii="Times New Roman" w:hAnsi="Times New Roman" w:eastAsia="宋体"/>
                <w:strike w:val="0"/>
                <w:dstrike w:val="0"/>
                <w:color w:val="auto"/>
                <w:sz w:val="21"/>
                <w:highlight w:val="none"/>
                <w:vertAlign w:val="baseline"/>
                <w:lang w:val="en-US" w:eastAsia="zh-CN"/>
              </w:rPr>
              <w:t>应严格执行</w:t>
            </w:r>
            <w:r>
              <w:rPr>
                <w:rFonts w:hint="eastAsia" w:ascii="Times New Roman" w:hAnsi="Times New Roman" w:eastAsia="宋体"/>
                <w:strike w:val="0"/>
                <w:dstrike w:val="0"/>
                <w:color w:val="auto"/>
                <w:sz w:val="21"/>
                <w:highlight w:val="none"/>
                <w:vertAlign w:val="baseline"/>
                <w:lang w:val="en-US" w:eastAsia="zh-CN"/>
              </w:rPr>
              <w:t>环境保护“三同时”制度，落实各项生态环境保护措施，在项目建成后按照国家规定的程序和技术规范，开展建设项目竣工环境保护验收</w:t>
            </w:r>
            <w:r>
              <w:rPr>
                <w:rFonts w:hint="eastAsia" w:ascii="Times New Roman" w:hAnsi="Times New Roman" w:eastAsia="宋体"/>
                <w:strike w:val="0"/>
                <w:dstrike w:val="0"/>
                <w:color w:val="auto"/>
                <w:sz w:val="21"/>
                <w:highlight w:val="none"/>
                <w:vertAlign w:val="baseline"/>
                <w:lang w:val="en-US" w:eastAsia="zh-CN"/>
              </w:rPr>
              <w:t>。</w:t>
            </w:r>
          </w:p>
        </w:tc>
        <w:tc>
          <w:tcPr>
            <w:tcW w:w="289" w:type="pct"/>
            <w:vAlign w:val="center"/>
          </w:tcPr>
          <w:p w14:paraId="1A6724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符合</w:t>
            </w:r>
          </w:p>
        </w:tc>
      </w:tr>
    </w:tbl>
    <w:p w14:paraId="597CBE30">
      <w:pPr>
        <w:keepNext w:val="0"/>
        <w:keepLines w:val="0"/>
        <w:pageBreakBefore w:val="0"/>
        <w:widowControl w:val="0"/>
        <w:kinsoku/>
        <w:wordWrap/>
        <w:overflowPunct/>
        <w:topLinePunct w:val="0"/>
        <w:autoSpaceDE/>
        <w:autoSpaceDN/>
        <w:bidi w:val="0"/>
        <w:adjustRightInd/>
        <w:snapToGrid w:val="0"/>
        <w:ind w:leftChars="0" w:firstLine="482" w:firstLineChars="200"/>
        <w:textAlignment w:val="auto"/>
        <w:rPr>
          <w:rFonts w:hint="eastAsia" w:ascii="Times New Roman" w:hAnsi="Times New Roman" w:eastAsia="宋体"/>
          <w:b/>
          <w:bCs/>
          <w:strike w:val="0"/>
          <w:dstrike w:val="0"/>
          <w:color w:val="auto"/>
          <w:sz w:val="24"/>
          <w:highlight w:val="none"/>
          <w:lang w:val="en-US" w:eastAsia="zh-CN"/>
        </w:rPr>
      </w:pPr>
      <w:r>
        <w:rPr>
          <w:rFonts w:hint="eastAsia" w:ascii="Times New Roman" w:hAnsi="Times New Roman" w:eastAsia="宋体"/>
          <w:b/>
          <w:bCs/>
          <w:strike w:val="0"/>
          <w:dstrike w:val="0"/>
          <w:color w:val="auto"/>
          <w:sz w:val="24"/>
          <w:highlight w:val="none"/>
          <w:lang w:val="en-US" w:eastAsia="zh-CN"/>
        </w:rPr>
        <w:t>（</w:t>
      </w:r>
      <w:r>
        <w:rPr>
          <w:rFonts w:hint="eastAsia" w:ascii="Times New Roman" w:hAnsi="Times New Roman" w:eastAsia="宋体"/>
          <w:b/>
          <w:bCs/>
          <w:strike w:val="0"/>
          <w:dstrike w:val="0"/>
          <w:color w:val="auto"/>
          <w:sz w:val="24"/>
          <w:highlight w:val="none"/>
          <w:lang w:val="en-US" w:eastAsia="zh-CN"/>
        </w:rPr>
        <w:t>8</w:t>
      </w:r>
      <w:r>
        <w:rPr>
          <w:rFonts w:hint="eastAsia" w:ascii="Times New Roman" w:hAnsi="Times New Roman" w:eastAsia="宋体"/>
          <w:b/>
          <w:bCs/>
          <w:strike w:val="0"/>
          <w:dstrike w:val="0"/>
          <w:color w:val="auto"/>
          <w:sz w:val="24"/>
          <w:highlight w:val="none"/>
          <w:lang w:val="en-US" w:eastAsia="zh-CN"/>
        </w:rPr>
        <w:t>）与《畜禽场场区设计技术规范》（NY/T682-20</w:t>
      </w:r>
      <w:r>
        <w:rPr>
          <w:rFonts w:hint="eastAsia" w:ascii="Times New Roman" w:hAnsi="Times New Roman" w:eastAsia="宋体"/>
          <w:b/>
          <w:bCs/>
          <w:strike w:val="0"/>
          <w:dstrike w:val="0"/>
          <w:color w:val="auto"/>
          <w:sz w:val="24"/>
          <w:highlight w:val="none"/>
          <w:lang w:val="en-US" w:eastAsia="zh-CN"/>
        </w:rPr>
        <w:t>23</w:t>
      </w:r>
      <w:r>
        <w:rPr>
          <w:rFonts w:hint="eastAsia" w:ascii="Times New Roman" w:hAnsi="Times New Roman" w:eastAsia="宋体"/>
          <w:b/>
          <w:bCs/>
          <w:strike w:val="0"/>
          <w:dstrike w:val="0"/>
          <w:color w:val="auto"/>
          <w:sz w:val="24"/>
          <w:highlight w:val="none"/>
          <w:lang w:val="en-US" w:eastAsia="zh-CN"/>
        </w:rPr>
        <w:t>）符合性</w:t>
      </w:r>
    </w:p>
    <w:p w14:paraId="64633BBE">
      <w:pPr>
        <w:keepNext w:val="0"/>
        <w:keepLines w:val="0"/>
        <w:pageBreakBefore w:val="0"/>
        <w:widowControl w:val="0"/>
        <w:kinsoku/>
        <w:wordWrap/>
        <w:overflowPunct/>
        <w:topLinePunct w:val="0"/>
        <w:autoSpaceDE/>
        <w:autoSpaceDN/>
        <w:bidi w:val="0"/>
        <w:adjustRightInd/>
        <w:snapToGrid w:val="0"/>
        <w:ind w:leftChars="0" w:firstLine="480" w:firstLineChars="20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根据《畜禽场场区设计技术规范》（NY/T682-20</w:t>
      </w:r>
      <w:r>
        <w:rPr>
          <w:rFonts w:hint="eastAsia" w:ascii="Times New Roman" w:hAnsi="Times New Roman" w:eastAsia="宋体"/>
          <w:strike w:val="0"/>
          <w:dstrike w:val="0"/>
          <w:color w:val="auto"/>
          <w:sz w:val="24"/>
          <w:highlight w:val="none"/>
          <w:lang w:val="en-US" w:eastAsia="zh-CN"/>
        </w:rPr>
        <w:t>23</w:t>
      </w:r>
      <w:r>
        <w:rPr>
          <w:rFonts w:hint="eastAsia" w:ascii="Times New Roman" w:hAnsi="Times New Roman" w:eastAsia="宋体"/>
          <w:strike w:val="0"/>
          <w:dstrike w:val="0"/>
          <w:color w:val="auto"/>
          <w:sz w:val="24"/>
          <w:highlight w:val="none"/>
          <w:lang w:val="en-US" w:eastAsia="zh-CN"/>
        </w:rPr>
        <w:t>）中畜禽养殖场总平面布置要求，本项目场区平面布置与其符合性分析见表1.3-3</w:t>
      </w:r>
      <w:r>
        <w:rPr>
          <w:rFonts w:hint="eastAsia" w:ascii="Times New Roman" w:hAnsi="Times New Roman" w:eastAsia="宋体"/>
          <w:strike w:val="0"/>
          <w:dstrike w:val="0"/>
          <w:color w:val="auto"/>
          <w:sz w:val="24"/>
          <w:highlight w:val="none"/>
          <w:lang w:val="en-US" w:eastAsia="zh-CN"/>
        </w:rPr>
        <w:t>。</w:t>
      </w:r>
    </w:p>
    <w:p w14:paraId="32346A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表1.3-3场区布局与《畜禽场场区设计技术规范》（NY/T682-2023）符合性</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4624"/>
        <w:gridCol w:w="2897"/>
        <w:gridCol w:w="525"/>
      </w:tblGrid>
      <w:tr w14:paraId="5E2A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 w:type="pct"/>
            <w:vAlign w:val="center"/>
          </w:tcPr>
          <w:p w14:paraId="32CB82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序号</w:t>
            </w:r>
          </w:p>
        </w:tc>
        <w:tc>
          <w:tcPr>
            <w:tcW w:w="2712" w:type="pct"/>
            <w:vAlign w:val="center"/>
          </w:tcPr>
          <w:p w14:paraId="1D8EE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bCs/>
                <w:strike w:val="0"/>
                <w:dstrike w:val="0"/>
                <w:color w:val="auto"/>
                <w:sz w:val="21"/>
                <w:highlight w:val="none"/>
                <w:lang w:val="en-US" w:eastAsia="zh-CN"/>
              </w:rPr>
              <w:t>《畜禽场场区设计技术规范》有关要求</w:t>
            </w:r>
          </w:p>
        </w:tc>
        <w:tc>
          <w:tcPr>
            <w:tcW w:w="1699" w:type="pct"/>
            <w:vAlign w:val="center"/>
          </w:tcPr>
          <w:p w14:paraId="7AC910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本项目</w:t>
            </w:r>
          </w:p>
        </w:tc>
        <w:tc>
          <w:tcPr>
            <w:tcW w:w="308" w:type="pct"/>
            <w:vAlign w:val="center"/>
          </w:tcPr>
          <w:p w14:paraId="1F5AE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符合性</w:t>
            </w:r>
          </w:p>
        </w:tc>
      </w:tr>
      <w:tr w14:paraId="6463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 w:type="pct"/>
            <w:vAlign w:val="center"/>
          </w:tcPr>
          <w:p w14:paraId="1B457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1</w:t>
            </w:r>
          </w:p>
        </w:tc>
        <w:tc>
          <w:tcPr>
            <w:tcW w:w="2712" w:type="pct"/>
            <w:vAlign w:val="center"/>
          </w:tcPr>
          <w:p w14:paraId="176260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ascii="Times New Roman" w:hAnsi="Times New Roman" w:eastAsia="宋体" w:cs="宋体"/>
                <w:b w:val="0"/>
                <w:strike w:val="0"/>
                <w:dstrike w:val="0"/>
                <w:color w:val="auto"/>
                <w:sz w:val="21"/>
                <w:szCs w:val="24"/>
              </w:rPr>
              <w:t>根据畜禽场的生产工艺要求，按功能分区布置各个建（构）筑物的位置，为畜禽生产提供一个良好的生产环境</w:t>
            </w:r>
            <w:r>
              <w:rPr>
                <w:rFonts w:hint="eastAsia" w:ascii="Times New Roman" w:hAnsi="Times New Roman" w:eastAsia="宋体" w:cs="宋体"/>
                <w:b w:val="0"/>
                <w:strike w:val="0"/>
                <w:dstrike w:val="0"/>
                <w:color w:val="auto"/>
                <w:sz w:val="21"/>
                <w:szCs w:val="24"/>
                <w:lang w:eastAsia="zh-CN"/>
              </w:rPr>
              <w:t>。</w:t>
            </w:r>
            <w:r>
              <w:rPr>
                <w:rFonts w:ascii="Times New Roman" w:hAnsi="Times New Roman" w:eastAsia="宋体" w:cs="宋体"/>
                <w:b w:val="0"/>
                <w:strike w:val="0"/>
                <w:dstrike w:val="0"/>
                <w:color w:val="auto"/>
                <w:sz w:val="21"/>
                <w:szCs w:val="24"/>
              </w:rPr>
              <w:t>畜禽场一般应划分为生活管理区、辅助生产区、生产区和隔离区</w:t>
            </w:r>
          </w:p>
        </w:tc>
        <w:tc>
          <w:tcPr>
            <w:tcW w:w="1699" w:type="pct"/>
            <w:vAlign w:val="center"/>
          </w:tcPr>
          <w:p w14:paraId="76AD99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cs="宋体"/>
                <w:b w:val="0"/>
                <w:strike w:val="0"/>
                <w:dstrike w:val="0"/>
                <w:color w:val="auto"/>
                <w:sz w:val="21"/>
                <w:szCs w:val="24"/>
                <w:lang w:val="en-US" w:eastAsia="zh-CN"/>
              </w:rPr>
              <w:t>本</w:t>
            </w:r>
            <w:r>
              <w:rPr>
                <w:rFonts w:hint="eastAsia" w:ascii="Times New Roman" w:hAnsi="Times New Roman" w:eastAsia="宋体" w:cs="宋体"/>
                <w:b w:val="0"/>
                <w:strike w:val="0"/>
                <w:dstrike w:val="0"/>
                <w:color w:val="auto"/>
                <w:sz w:val="21"/>
                <w:szCs w:val="24"/>
              </w:rPr>
              <w:t>项目总平面采用分区集中、环形道路布局模式，整体划分为养殖区、</w:t>
            </w:r>
            <w:r>
              <w:rPr>
                <w:rFonts w:hint="eastAsia" w:ascii="Times New Roman" w:hAnsi="Times New Roman" w:eastAsia="宋体" w:cs="宋体"/>
                <w:b w:val="0"/>
                <w:strike w:val="0"/>
                <w:dstrike w:val="0"/>
                <w:color w:val="auto"/>
                <w:sz w:val="21"/>
                <w:szCs w:val="24"/>
                <w:lang w:val="en-US" w:eastAsia="zh-CN"/>
              </w:rPr>
              <w:t>生产区、饲料加工区、互动体验区、</w:t>
            </w:r>
            <w:r>
              <w:rPr>
                <w:rFonts w:hint="eastAsia" w:ascii="Times New Roman" w:hAnsi="Times New Roman" w:eastAsia="宋体" w:cs="宋体"/>
                <w:b w:val="0"/>
                <w:strike w:val="0"/>
                <w:dstrike w:val="0"/>
                <w:color w:val="auto"/>
                <w:sz w:val="21"/>
                <w:szCs w:val="24"/>
              </w:rPr>
              <w:t>防疫隔离区五大功能板块，布局规整、流线清晰。</w:t>
            </w:r>
          </w:p>
        </w:tc>
        <w:tc>
          <w:tcPr>
            <w:tcW w:w="308" w:type="pct"/>
            <w:vAlign w:val="center"/>
          </w:tcPr>
          <w:p w14:paraId="06990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符合</w:t>
            </w:r>
          </w:p>
        </w:tc>
      </w:tr>
      <w:tr w14:paraId="77BE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 w:type="pct"/>
            <w:vAlign w:val="center"/>
          </w:tcPr>
          <w:p w14:paraId="07D196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2</w:t>
            </w:r>
          </w:p>
        </w:tc>
        <w:tc>
          <w:tcPr>
            <w:tcW w:w="2712" w:type="pct"/>
            <w:vAlign w:val="center"/>
          </w:tcPr>
          <w:p w14:paraId="1D0B23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ascii="Times New Roman" w:hAnsi="Times New Roman" w:eastAsia="宋体" w:cs="宋体"/>
                <w:b w:val="0"/>
                <w:strike w:val="0"/>
                <w:dstrike w:val="0"/>
                <w:color w:val="auto"/>
                <w:sz w:val="21"/>
                <w:szCs w:val="24"/>
                <w:highlight w:val="none"/>
              </w:rPr>
              <w:t>生活管理区一般应位于场区全年主导风向上风向或侧风向处，并应在紧邻场区大门内侧集中布置</w:t>
            </w:r>
          </w:p>
        </w:tc>
        <w:tc>
          <w:tcPr>
            <w:tcW w:w="1699" w:type="pct"/>
            <w:vAlign w:val="center"/>
          </w:tcPr>
          <w:p w14:paraId="32EAC5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cs="宋体"/>
                <w:b w:val="0"/>
                <w:strike w:val="0"/>
                <w:dstrike w:val="0"/>
                <w:color w:val="auto"/>
                <w:sz w:val="21"/>
                <w:szCs w:val="24"/>
                <w:highlight w:val="none"/>
                <w:lang w:val="en-US" w:eastAsia="zh-CN"/>
              </w:rPr>
              <w:t>本项目</w:t>
            </w:r>
            <w:r>
              <w:rPr>
                <w:rFonts w:ascii="Times New Roman" w:hAnsi="Times New Roman" w:eastAsia="宋体" w:cs="宋体"/>
                <w:b w:val="0"/>
                <w:strike w:val="0"/>
                <w:dstrike w:val="0"/>
                <w:color w:val="auto"/>
                <w:sz w:val="21"/>
                <w:szCs w:val="24"/>
                <w:highlight w:val="none"/>
              </w:rPr>
              <w:t>生活管理区</w:t>
            </w:r>
            <w:r>
              <w:rPr>
                <w:rFonts w:hint="eastAsia" w:ascii="Times New Roman" w:hAnsi="Times New Roman" w:eastAsia="宋体" w:cs="宋体"/>
                <w:b w:val="0"/>
                <w:strike w:val="0"/>
                <w:dstrike w:val="0"/>
                <w:color w:val="auto"/>
                <w:sz w:val="21"/>
                <w:szCs w:val="24"/>
                <w:highlight w:val="none"/>
                <w:lang w:eastAsia="zh-CN"/>
              </w:rPr>
              <w:t>（</w:t>
            </w:r>
            <w:r>
              <w:rPr>
                <w:rFonts w:hint="eastAsia" w:ascii="Times New Roman" w:hAnsi="Times New Roman" w:eastAsia="宋体" w:cs="宋体"/>
                <w:b w:val="0"/>
                <w:strike w:val="0"/>
                <w:dstrike w:val="0"/>
                <w:color w:val="auto"/>
                <w:sz w:val="21"/>
                <w:szCs w:val="24"/>
                <w:highlight w:val="none"/>
                <w:lang w:val="en-US" w:eastAsia="zh-CN"/>
              </w:rPr>
              <w:t>互动体验区</w:t>
            </w:r>
            <w:r>
              <w:rPr>
                <w:rFonts w:hint="eastAsia" w:ascii="Times New Roman" w:hAnsi="Times New Roman" w:eastAsia="宋体" w:cs="宋体"/>
                <w:b w:val="0"/>
                <w:strike w:val="0"/>
                <w:dstrike w:val="0"/>
                <w:color w:val="auto"/>
                <w:sz w:val="21"/>
                <w:szCs w:val="24"/>
                <w:highlight w:val="none"/>
                <w:lang w:eastAsia="zh-CN"/>
              </w:rPr>
              <w:t>）</w:t>
            </w:r>
            <w:r>
              <w:rPr>
                <w:rFonts w:ascii="Times New Roman" w:hAnsi="Times New Roman" w:eastAsia="宋体" w:cs="宋体"/>
                <w:b w:val="0"/>
                <w:strike w:val="0"/>
                <w:dstrike w:val="0"/>
                <w:color w:val="auto"/>
                <w:sz w:val="21"/>
                <w:szCs w:val="24"/>
                <w:highlight w:val="none"/>
              </w:rPr>
              <w:t>位于场区全年主导风向的侧风向处，并靠近场区大门集中布置</w:t>
            </w:r>
          </w:p>
        </w:tc>
        <w:tc>
          <w:tcPr>
            <w:tcW w:w="308" w:type="pct"/>
            <w:vAlign w:val="center"/>
          </w:tcPr>
          <w:p w14:paraId="31A15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highlight w:val="none"/>
                <w:vertAlign w:val="baseline"/>
                <w:lang w:val="en-US" w:eastAsia="zh-CN"/>
              </w:rPr>
            </w:pPr>
            <w:r>
              <w:rPr>
                <w:rFonts w:hint="eastAsia" w:ascii="Times New Roman" w:hAnsi="Times New Roman" w:eastAsia="宋体"/>
                <w:b w:val="0"/>
                <w:strike w:val="0"/>
                <w:dstrike w:val="0"/>
                <w:color w:val="auto"/>
                <w:sz w:val="21"/>
                <w:highlight w:val="none"/>
                <w:vertAlign w:val="baseline"/>
                <w:lang w:val="en-US" w:eastAsia="zh-CN"/>
              </w:rPr>
              <w:t>符合</w:t>
            </w:r>
          </w:p>
        </w:tc>
      </w:tr>
    </w:tbl>
    <w:p w14:paraId="50429DFC">
      <w:pPr>
        <w:keepNext w:val="0"/>
        <w:keepLines w:val="0"/>
        <w:pageBreakBefore w:val="0"/>
        <w:widowControl w:val="0"/>
        <w:kinsoku/>
        <w:wordWrap/>
        <w:overflowPunct/>
        <w:topLinePunct w:val="0"/>
        <w:autoSpaceDE/>
        <w:autoSpaceDN/>
        <w:bidi w:val="0"/>
        <w:adjustRightInd/>
        <w:snapToGrid w:val="0"/>
        <w:ind w:leftChars="0" w:firstLine="482" w:firstLineChars="200"/>
        <w:textAlignment w:val="auto"/>
        <w:rPr>
          <w:rFonts w:hint="eastAsia" w:ascii="Times New Roman" w:hAnsi="Times New Roman" w:eastAsia="宋体" w:cs="Times New Roman"/>
          <w:b/>
          <w:bCs/>
          <w:strike w:val="0"/>
          <w:dstrike w:val="0"/>
          <w:color w:val="auto"/>
          <w:sz w:val="24"/>
          <w:highlight w:val="none"/>
          <w:lang w:val="en-US" w:eastAsia="zh-CN"/>
        </w:rPr>
      </w:pPr>
      <w:bookmarkStart w:id="16" w:name="_Toc106663416"/>
      <w:r>
        <w:rPr>
          <w:rFonts w:hint="eastAsia" w:ascii="Times New Roman" w:hAnsi="Times New Roman" w:eastAsia="宋体" w:cs="Times New Roman"/>
          <w:b/>
          <w:bCs/>
          <w:strike w:val="0"/>
          <w:dstrike w:val="0"/>
          <w:color w:val="auto"/>
          <w:sz w:val="24"/>
          <w:highlight w:val="none"/>
          <w:lang w:val="en-US" w:eastAsia="zh-CN"/>
        </w:rPr>
        <w:t>（10）与《畜禽养殖业污染治理工程技术规范》（HJ497-2009）符合性</w:t>
      </w:r>
    </w:p>
    <w:p w14:paraId="26B3AD22">
      <w:pPr>
        <w:snapToGrid w:val="0"/>
        <w:ind w:firstLine="480"/>
        <w:rPr>
          <w:rFonts w:ascii="Times New Roman" w:hAnsi="Times New Roman" w:eastAsia="宋体"/>
          <w:strike w:val="0"/>
          <w:dstrike w:val="0"/>
          <w:color w:val="auto"/>
        </w:rPr>
      </w:pPr>
      <w:r>
        <w:rPr>
          <w:rFonts w:hint="eastAsia" w:ascii="Times New Roman" w:hAnsi="Times New Roman" w:eastAsia="宋体"/>
          <w:strike w:val="0"/>
          <w:dstrike w:val="0"/>
          <w:color w:val="auto"/>
        </w:rPr>
        <w:t>根据《畜禽养殖业污染治理工程技术规范》（HJ497-2009）中畜禽养殖场总平面布置要求，本项目场区平面布置与其符合性分析见表1.3-4。</w:t>
      </w:r>
    </w:p>
    <w:p w14:paraId="5605A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表1.3-4场区布局与《畜禽养殖业污染治理工程技术规范》（HJ497-2009）符合性</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3932"/>
        <w:gridCol w:w="2914"/>
        <w:gridCol w:w="953"/>
      </w:tblGrid>
      <w:tr w14:paraId="0549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32578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序号</w:t>
            </w:r>
          </w:p>
        </w:tc>
        <w:tc>
          <w:tcPr>
            <w:tcW w:w="2306" w:type="pct"/>
            <w:vAlign w:val="center"/>
          </w:tcPr>
          <w:p w14:paraId="621A05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bCs/>
                <w:strike w:val="0"/>
                <w:dstrike w:val="0"/>
                <w:color w:val="auto"/>
                <w:sz w:val="21"/>
              </w:rPr>
              <w:t>《畜禽养殖业污染治理工程技术规范》（HJ497-2009）有关要求</w:t>
            </w:r>
          </w:p>
        </w:tc>
        <w:tc>
          <w:tcPr>
            <w:tcW w:w="1709" w:type="pct"/>
            <w:vAlign w:val="center"/>
          </w:tcPr>
          <w:p w14:paraId="1B5CB1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本项目</w:t>
            </w:r>
          </w:p>
        </w:tc>
        <w:tc>
          <w:tcPr>
            <w:tcW w:w="559" w:type="pct"/>
            <w:vAlign w:val="center"/>
          </w:tcPr>
          <w:p w14:paraId="4E1B38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符合性</w:t>
            </w:r>
          </w:p>
        </w:tc>
      </w:tr>
      <w:tr w14:paraId="1A5A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67082B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1</w:t>
            </w:r>
          </w:p>
        </w:tc>
        <w:tc>
          <w:tcPr>
            <w:tcW w:w="2306" w:type="pct"/>
            <w:vAlign w:val="center"/>
          </w:tcPr>
          <w:p w14:paraId="3F7DBA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平面布置应以污水处理系统、固体粪便处理系统、恶臭集中处理系统为主体，其他各项设施应按粪污处理流程合理安排，确保相关设备充分发挥功能，保证设施运行稳定、维修方便、经济合理、安全</w:t>
            </w:r>
            <w:r>
              <w:rPr>
                <w:rFonts w:hint="eastAsia" w:ascii="Times New Roman" w:hAnsi="Times New Roman" w:eastAsia="宋体"/>
                <w:strike w:val="0"/>
                <w:dstrike w:val="0"/>
                <w:color w:val="auto"/>
                <w:sz w:val="21"/>
                <w:lang w:eastAsia="zh-CN"/>
              </w:rPr>
              <w:t>卫生</w:t>
            </w:r>
          </w:p>
          <w:p w14:paraId="55683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生。</w:t>
            </w:r>
          </w:p>
        </w:tc>
        <w:tc>
          <w:tcPr>
            <w:tcW w:w="1709" w:type="pct"/>
            <w:vAlign w:val="center"/>
          </w:tcPr>
          <w:p w14:paraId="1B17CC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lang w:val="en-US" w:eastAsia="zh-CN"/>
              </w:rPr>
              <w:t>本项目</w:t>
            </w:r>
            <w:r>
              <w:rPr>
                <w:rFonts w:hint="eastAsia" w:ascii="Times New Roman" w:hAnsi="Times New Roman" w:eastAsia="宋体"/>
                <w:strike w:val="0"/>
                <w:dstrike w:val="0"/>
                <w:color w:val="auto"/>
                <w:sz w:val="21"/>
              </w:rPr>
              <w:t>堆肥场和黑膜池集中布置，布置在场区西南侧地势较低处、远离东侧道路，骆驼互动体验区位于主出入口附近，交通便捷，对外展示、接待、办公，位于堆肥场东北方向，属本项目区域常年主导风向西风的侧风向，运营期间产生恶臭对骆驼互动体验区较小；含饲料加工间、草料房、青贮窖，位于养殖生产区北侧，靠近场区次出入口，减少场内运输交叉。</w:t>
            </w:r>
          </w:p>
        </w:tc>
        <w:tc>
          <w:tcPr>
            <w:tcW w:w="559" w:type="pct"/>
            <w:vAlign w:val="center"/>
          </w:tcPr>
          <w:p w14:paraId="7B201F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rPr>
            </w:pPr>
            <w:r>
              <w:rPr>
                <w:rFonts w:hint="eastAsia" w:ascii="Times New Roman" w:hAnsi="Times New Roman" w:eastAsia="宋体"/>
                <w:strike w:val="0"/>
                <w:dstrike w:val="0"/>
                <w:color w:val="auto"/>
                <w:sz w:val="21"/>
              </w:rPr>
              <w:t>符合</w:t>
            </w:r>
          </w:p>
        </w:tc>
      </w:tr>
    </w:tbl>
    <w:p w14:paraId="510BC719">
      <w:pPr>
        <w:keepNext w:val="0"/>
        <w:keepLines w:val="0"/>
        <w:pageBreakBefore w:val="0"/>
        <w:widowControl w:val="0"/>
        <w:numPr>
          <w:ilvl w:val="0"/>
          <w:numId w:val="0"/>
        </w:numPr>
        <w:kinsoku/>
        <w:wordWrap/>
        <w:overflowPunct/>
        <w:topLinePunct w:val="0"/>
        <w:autoSpaceDE/>
        <w:autoSpaceDN/>
        <w:bidi w:val="0"/>
        <w:adjustRightInd/>
        <w:snapToGrid w:val="0"/>
        <w:ind w:left="0" w:leftChars="0" w:firstLine="482" w:firstLineChars="200"/>
        <w:textAlignment w:val="auto"/>
        <w:rPr>
          <w:rFonts w:hint="eastAsia" w:ascii="Times New Roman" w:hAnsi="Times New Roman" w:eastAsia="宋体" w:cs="Times New Roman"/>
          <w:b/>
          <w:bCs/>
          <w:strike w:val="0"/>
          <w:dstrike w:val="0"/>
          <w:color w:val="auto"/>
          <w:sz w:val="24"/>
          <w:highlight w:val="none"/>
          <w:lang w:val="en-US" w:eastAsia="zh-CN"/>
        </w:rPr>
      </w:pPr>
      <w:r>
        <w:rPr>
          <w:rFonts w:hint="eastAsia" w:ascii="Times New Roman" w:hAnsi="Times New Roman" w:eastAsia="宋体" w:cs="Times New Roman"/>
          <w:b/>
          <w:bCs/>
          <w:strike w:val="0"/>
          <w:dstrike w:val="0"/>
          <w:color w:val="auto"/>
          <w:sz w:val="24"/>
          <w:lang w:val="en-US" w:eastAsia="zh-CN" w:bidi="ar-SA"/>
        </w:rPr>
        <w:t>（11）</w:t>
      </w:r>
      <w:r>
        <w:rPr>
          <w:rFonts w:hint="eastAsia" w:ascii="Times New Roman" w:hAnsi="Times New Roman" w:eastAsia="宋体" w:cs="Times New Roman"/>
          <w:b/>
          <w:bCs/>
          <w:strike w:val="0"/>
          <w:dstrike w:val="0"/>
          <w:color w:val="auto"/>
          <w:sz w:val="24"/>
          <w:highlight w:val="none"/>
          <w:lang w:val="en-US" w:eastAsia="zh-CN"/>
        </w:rPr>
        <w:t>与</w:t>
      </w:r>
      <w:r>
        <w:rPr>
          <w:rFonts w:hint="default" w:ascii="Times New Roman" w:hAnsi="Times New Roman" w:eastAsia="宋体" w:cs="Times New Roman"/>
          <w:b/>
          <w:bCs/>
          <w:strike w:val="0"/>
          <w:dstrike w:val="0"/>
          <w:color w:val="auto"/>
          <w:sz w:val="24"/>
          <w:highlight w:val="none"/>
          <w:lang w:val="en-US" w:eastAsia="zh-CN"/>
        </w:rPr>
        <w:t>《规模化畜禽场良好生产环境第 1 部分：场地要求》（GB/T41441.1-2022）</w:t>
      </w:r>
      <w:r>
        <w:rPr>
          <w:rFonts w:hint="eastAsia" w:ascii="Times New Roman" w:hAnsi="Times New Roman" w:eastAsia="宋体" w:cs="Times New Roman"/>
          <w:b/>
          <w:bCs/>
          <w:strike w:val="0"/>
          <w:dstrike w:val="0"/>
          <w:color w:val="auto"/>
          <w:sz w:val="24"/>
          <w:highlight w:val="none"/>
          <w:lang w:val="en-US" w:eastAsia="zh-CN"/>
        </w:rPr>
        <w:t>符合性分析</w:t>
      </w:r>
    </w:p>
    <w:p w14:paraId="21D39815">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根据</w:t>
      </w:r>
      <w:r>
        <w:rPr>
          <w:rFonts w:hint="default" w:ascii="Times New Roman" w:hAnsi="Times New Roman" w:eastAsia="宋体"/>
          <w:strike w:val="0"/>
          <w:dstrike w:val="0"/>
          <w:color w:val="auto"/>
          <w:highlight w:val="none"/>
          <w:lang w:val="en-US" w:eastAsia="zh-CN"/>
        </w:rPr>
        <w:t>《规模化畜禽场良好生产环境第 1 部分：场地要求》（GB/T41441.1-2022）</w:t>
      </w:r>
      <w:r>
        <w:rPr>
          <w:rFonts w:hint="eastAsia" w:ascii="Times New Roman" w:hAnsi="Times New Roman" w:eastAsia="宋体"/>
          <w:strike w:val="0"/>
          <w:dstrike w:val="0"/>
          <w:color w:val="auto"/>
          <w:highlight w:val="none"/>
          <w:lang w:val="en-US" w:eastAsia="zh-CN"/>
        </w:rPr>
        <w:t>，本项目与其符合性分析见表1.3-5。</w:t>
      </w:r>
    </w:p>
    <w:p w14:paraId="33E5A3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表1.3-5本项目与《规模化畜禽场良好生产环境第 1 部分：场地要求》（GB/T41441.1-2022）符合性分析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23"/>
        <w:gridCol w:w="3932"/>
        <w:gridCol w:w="2914"/>
        <w:gridCol w:w="953"/>
      </w:tblGrid>
      <w:tr w14:paraId="5588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3CEB41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C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bCs/>
                <w:strike w:val="0"/>
                <w:dstrike w:val="0"/>
                <w:color w:val="auto"/>
                <w:sz w:val="21"/>
              </w:rPr>
              <w:t>《规模化畜禽场良好生产环境第 1 部分：场地要求》（GB/T41441.1-2022）</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B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本项目</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E5B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符合性</w:t>
            </w:r>
          </w:p>
        </w:tc>
      </w:tr>
      <w:tr w14:paraId="2944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C3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lang w:eastAsia="zh-CN"/>
              </w:rPr>
            </w:pPr>
            <w:r>
              <w:rPr>
                <w:rFonts w:hint="eastAsia" w:ascii="Times New Roman" w:hAnsi="Times New Roman" w:eastAsia="宋体"/>
                <w:b w:val="0"/>
                <w:strike w:val="0"/>
                <w:dstrike w:val="0"/>
                <w:color w:val="auto"/>
                <w:sz w:val="21"/>
                <w:lang w:val="en-US" w:eastAsia="zh-CN"/>
              </w:rPr>
              <w:t>基本要求</w:t>
            </w: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C36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4.1.1</w:t>
            </w:r>
            <w:r>
              <w:rPr>
                <w:rFonts w:hint="eastAsia" w:ascii="Times New Roman" w:hAnsi="Times New Roman" w:eastAsia="宋体"/>
                <w:b w:val="0"/>
                <w:strike w:val="0"/>
                <w:dstrike w:val="0"/>
                <w:color w:val="auto"/>
                <w:sz w:val="21"/>
              </w:rPr>
              <w:t>应符合当地土地利用总体规划、城乡发展规划和环境保护规划</w:t>
            </w:r>
          </w:p>
          <w:p w14:paraId="1597A34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4.1.2</w:t>
            </w:r>
            <w:r>
              <w:rPr>
                <w:rFonts w:hint="eastAsia" w:ascii="Times New Roman" w:hAnsi="Times New Roman" w:eastAsia="宋体"/>
                <w:b w:val="0"/>
                <w:strike w:val="0"/>
                <w:dstrike w:val="0"/>
                <w:color w:val="auto"/>
                <w:sz w:val="21"/>
              </w:rPr>
              <w:t>应符合当地畜牧业发展规划。</w:t>
            </w:r>
          </w:p>
          <w:p w14:paraId="4171BE8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4.1.3</w:t>
            </w:r>
            <w:r>
              <w:rPr>
                <w:rFonts w:hint="eastAsia" w:ascii="Times New Roman" w:hAnsi="Times New Roman" w:eastAsia="宋体"/>
                <w:b w:val="0"/>
                <w:strike w:val="0"/>
                <w:dstrike w:val="0"/>
                <w:color w:val="auto"/>
                <w:sz w:val="21"/>
              </w:rPr>
              <w:t>不应占用基本农田。</w:t>
            </w:r>
          </w:p>
          <w:p w14:paraId="6D28542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4.1.4</w:t>
            </w:r>
            <w:r>
              <w:rPr>
                <w:rFonts w:hint="eastAsia" w:ascii="Times New Roman" w:hAnsi="Times New Roman" w:eastAsia="宋体"/>
                <w:b w:val="0"/>
                <w:strike w:val="0"/>
                <w:dstrike w:val="0"/>
                <w:color w:val="auto"/>
                <w:sz w:val="21"/>
              </w:rPr>
              <w:t>应与种植业结合，对畜禽粪便进行资源利用。</w:t>
            </w:r>
          </w:p>
          <w:p w14:paraId="3B940EC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4.1.5</w:t>
            </w:r>
            <w:r>
              <w:rPr>
                <w:rFonts w:hint="eastAsia" w:ascii="Times New Roman" w:hAnsi="Times New Roman" w:eastAsia="宋体"/>
                <w:b w:val="0"/>
                <w:strike w:val="0"/>
                <w:dstrike w:val="0"/>
                <w:color w:val="auto"/>
                <w:sz w:val="21"/>
              </w:rPr>
              <w:t>不应在下列区域内建设畜禽养殖场:</w:t>
            </w:r>
          </w:p>
          <w:p w14:paraId="4A0DE0B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a) 生活饮用水的水源保护区、风景名胜区以及自然保护区的核心区和缓冲区;</w:t>
            </w:r>
          </w:p>
          <w:p w14:paraId="5FD3285E">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b) 城镇居民区、文化教育科学研究区等人口集中区域。</w:t>
            </w:r>
          </w:p>
          <w:p w14:paraId="77389CF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lang w:val="en-US" w:eastAsia="zh-CN"/>
              </w:rPr>
              <w:t>4.1.6</w:t>
            </w:r>
            <w:r>
              <w:rPr>
                <w:rFonts w:hint="eastAsia" w:ascii="Times New Roman" w:hAnsi="Times New Roman" w:eastAsia="宋体"/>
                <w:b w:val="0"/>
                <w:strike w:val="0"/>
                <w:dstrike w:val="0"/>
                <w:color w:val="auto"/>
                <w:sz w:val="21"/>
              </w:rPr>
              <w:t>应距离铁路、高速公路、主要交通干线500m以上，与其他养殖场、养殖小区的距离在500m以上，距离功能地表水体400m以上。</w:t>
            </w:r>
          </w:p>
          <w:p w14:paraId="7A449E7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4.1.7 在4.1.5规定区域外建设的畜禽养殖场.应建在该区域常年主导风向的下风向或侧风向处，畜禽养殖的场界与4.1.5规定区域边界的距离应不小于500m(见HJ/T81)。</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CB6F3">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本项目用地性质为设施农用地，不占用基本农田，符合土地利用总体规划，产生的骆驼粪便定期清运至堆肥场，经过处理后作为有机肥外售，生活污水和生产废水经地下排污管道自流至舍外黑膜池，发酵处理后用于项目区周边林带施肥；</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本项目所在地不涉及</w:t>
            </w:r>
            <w:r>
              <w:rPr>
                <w:rFonts w:hint="eastAsia" w:ascii="Times New Roman" w:hAnsi="Times New Roman" w:eastAsia="宋体"/>
                <w:b w:val="0"/>
                <w:strike w:val="0"/>
                <w:dstrike w:val="0"/>
                <w:color w:val="auto"/>
                <w:sz w:val="21"/>
              </w:rPr>
              <w:t>生活饮用水的水源保护区、风景名胜区以及自然保护区的核心区和缓冲区</w:t>
            </w:r>
            <w:r>
              <w:rPr>
                <w:rFonts w:hint="eastAsia" w:ascii="Times New Roman" w:hAnsi="Times New Roman" w:eastAsia="宋体"/>
                <w:b w:val="0"/>
                <w:strike w:val="0"/>
                <w:dstrike w:val="0"/>
                <w:color w:val="auto"/>
                <w:sz w:val="21"/>
                <w:lang w:eastAsia="zh-CN"/>
              </w:rPr>
              <w:t>；</w:t>
            </w:r>
            <w:r>
              <w:rPr>
                <w:rFonts w:hint="eastAsia" w:ascii="Times New Roman" w:hAnsi="Times New Roman" w:eastAsia="宋体"/>
                <w:b w:val="0"/>
                <w:strike w:val="0"/>
                <w:dstrike w:val="0"/>
                <w:color w:val="auto"/>
                <w:sz w:val="21"/>
              </w:rPr>
              <w:t>城镇居民区、文化教育科学研究区等人口集中区域</w:t>
            </w:r>
            <w:r>
              <w:rPr>
                <w:rFonts w:hint="eastAsia" w:ascii="Times New Roman" w:hAnsi="Times New Roman" w:eastAsia="宋体"/>
                <w:b w:val="0"/>
                <w:strike w:val="0"/>
                <w:dstrike w:val="0"/>
                <w:color w:val="auto"/>
                <w:sz w:val="21"/>
                <w:lang w:eastAsia="zh-CN"/>
              </w:rPr>
              <w:t>；</w:t>
            </w:r>
            <w:r>
              <w:rPr>
                <w:rFonts w:hint="eastAsia" w:ascii="Times New Roman" w:hAnsi="Times New Roman" w:eastAsia="宋体"/>
                <w:b w:val="0"/>
                <w:strike w:val="0"/>
                <w:dstrike w:val="0"/>
                <w:color w:val="auto"/>
                <w:sz w:val="21"/>
                <w:lang w:val="en-US" w:eastAsia="zh-CN"/>
              </w:rPr>
              <w:t>本项目距离北侧省道550m，本项目不涉及</w:t>
            </w:r>
            <w:r>
              <w:rPr>
                <w:rFonts w:hint="eastAsia" w:ascii="Times New Roman" w:hAnsi="Times New Roman" w:eastAsia="宋体"/>
                <w:b w:val="0"/>
                <w:strike w:val="0"/>
                <w:dstrike w:val="0"/>
                <w:color w:val="auto"/>
                <w:sz w:val="21"/>
              </w:rPr>
              <w:t>能地表水体</w:t>
            </w:r>
            <w:r>
              <w:rPr>
                <w:rFonts w:hint="eastAsia" w:ascii="Times New Roman" w:hAnsi="Times New Roman" w:eastAsia="宋体"/>
                <w:b w:val="0"/>
                <w:strike w:val="0"/>
                <w:dstrike w:val="0"/>
                <w:color w:val="auto"/>
                <w:sz w:val="21"/>
                <w:lang w:eastAsia="zh-CN"/>
              </w:rPr>
              <w:t>；</w:t>
            </w:r>
            <w:r>
              <w:rPr>
                <w:rFonts w:hint="eastAsia" w:ascii="Times New Roman" w:hAnsi="Times New Roman" w:eastAsia="宋体"/>
                <w:b w:val="0"/>
                <w:strike w:val="0"/>
                <w:dstrike w:val="0"/>
                <w:color w:val="auto"/>
                <w:sz w:val="21"/>
                <w:lang w:val="en-US" w:eastAsia="zh-CN"/>
              </w:rPr>
              <w:t>本项目所在区域常年主导风向为西风，项目区主导风向下风向无居民区。</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DB0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符合</w:t>
            </w:r>
          </w:p>
        </w:tc>
      </w:tr>
      <w:tr w14:paraId="7751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DA5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场地要求</w:t>
            </w: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D22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4.2.1宜平坦开阔，山区场地应为稍平缓坡，总坡度宜小于20%。建筑区坡度以1%~3%为宜。</w:t>
            </w:r>
          </w:p>
          <w:p w14:paraId="1AD9AB3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4.2.2给水充足，水质应符合NY5027的规定。</w:t>
            </w:r>
          </w:p>
          <w:p w14:paraId="0D9D33C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4.2.3宜有二级供电电源，如果仅有三级供电电源则应自备发电机。</w:t>
            </w:r>
          </w:p>
          <w:p w14:paraId="1B95748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4.2.4场区应实施雨污分流，对场区已接触或可能接触废弃物的径流雨水进行导流，应视其为污水进行处理，对场区周围的地表径流进行导流，未接触废弃物的径流雨水应净水处理。</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E115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宋体"/>
                <w:b w:val="0"/>
                <w:strike w:val="0"/>
                <w:dstrike w:val="0"/>
                <w:color w:val="auto"/>
                <w:sz w:val="21"/>
                <w:szCs w:val="24"/>
                <w:lang w:val="en-US" w:eastAsia="zh-CN"/>
              </w:rPr>
            </w:pPr>
            <w:r>
              <w:rPr>
                <w:rFonts w:hint="eastAsia" w:ascii="Times New Roman" w:hAnsi="Times New Roman" w:eastAsia="宋体" w:cs="宋体"/>
                <w:b w:val="0"/>
                <w:strike w:val="0"/>
                <w:dstrike w:val="0"/>
                <w:color w:val="auto"/>
                <w:sz w:val="21"/>
                <w:szCs w:val="24"/>
                <w:lang w:val="en-US" w:eastAsia="zh-CN"/>
              </w:rPr>
              <w:t>本项目地势平坦，生产、生活用水水源来自村庄管网接入，由厂区东侧接入；供电由项目区外电网接入，场区内设变配电室，供电采用树干式与放射式相结合供电方式；项目区堆肥场四周设置截洪沟，实现雨污分流。</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D23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符合</w:t>
            </w:r>
          </w:p>
        </w:tc>
      </w:tr>
      <w:tr w14:paraId="208F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0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场区布局</w:t>
            </w:r>
          </w:p>
        </w:tc>
        <w:tc>
          <w:tcPr>
            <w:tcW w:w="2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07D8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5.1 结合当地气候条件和地形地势，合理组织场内、外的人流和物流，因地制宜进行功能分区。场区布局应按照NY/T682、NY/T1167的规定执行。</w:t>
            </w:r>
          </w:p>
          <w:p w14:paraId="1E04A35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5.2 生活管理区和辅助生产区应位于场区常年主导风向的上风处和地势较高处，隔离区位于常年主导风向的下风处和地势较低处，生产区位于辅助生产区和隔离区之间，生产区与废弃物管理区分开。</w:t>
            </w:r>
          </w:p>
          <w:p w14:paraId="540B05F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5.3 畜禽舍建筑之间的防火间距应不小于10m，并配备防火设施。</w:t>
            </w:r>
          </w:p>
          <w:p w14:paraId="4F590D2F">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b w:val="0"/>
                <w:strike w:val="0"/>
                <w:dstrike w:val="0"/>
                <w:color w:val="auto"/>
                <w:sz w:val="21"/>
              </w:rPr>
            </w:pPr>
            <w:r>
              <w:rPr>
                <w:rFonts w:hint="eastAsia" w:ascii="Times New Roman" w:hAnsi="Times New Roman" w:eastAsia="宋体"/>
                <w:b w:val="0"/>
                <w:strike w:val="0"/>
                <w:dstrike w:val="0"/>
                <w:color w:val="auto"/>
                <w:sz w:val="21"/>
              </w:rPr>
              <w:t>5.4 各功能区设施应按照NY/T682和NY/T1167执行。</w:t>
            </w:r>
          </w:p>
        </w:tc>
        <w:tc>
          <w:tcPr>
            <w:tcW w:w="1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8DDF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cs="宋体"/>
                <w:b w:val="0"/>
                <w:strike w:val="0"/>
                <w:dstrike w:val="0"/>
                <w:color w:val="auto"/>
                <w:sz w:val="21"/>
                <w:szCs w:val="24"/>
                <w:lang w:val="en-US" w:eastAsia="zh-CN"/>
              </w:rPr>
            </w:pPr>
            <w:r>
              <w:rPr>
                <w:rFonts w:hint="eastAsia" w:ascii="Times New Roman" w:hAnsi="Times New Roman" w:eastAsia="宋体" w:cs="宋体"/>
                <w:b w:val="0"/>
                <w:strike w:val="0"/>
                <w:dstrike w:val="0"/>
                <w:color w:val="auto"/>
                <w:sz w:val="21"/>
                <w:szCs w:val="24"/>
                <w:lang w:val="en-US" w:eastAsia="zh-CN"/>
              </w:rPr>
              <w:t>本项目堆肥场和黑膜池集中布置，布置在场区西南侧地势较低处、远离东侧道路，骆驼互动体验区位于主出入口附近，交通便捷，对外展示、接待、办公，位于堆肥场东北方向，属本项目区域常年主导风向西风的侧风向，运营期间产生恶臭对骆驼互动体验区较小；含饲料加工间、草料房、青贮窖，位于养殖生产区北侧，靠近场区次出入口，减少场内运输交叉。</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14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val="0"/>
                <w:strike w:val="0"/>
                <w:dstrike w:val="0"/>
                <w:color w:val="auto"/>
                <w:sz w:val="21"/>
                <w:lang w:val="en-US" w:eastAsia="zh-CN"/>
              </w:rPr>
            </w:pPr>
            <w:r>
              <w:rPr>
                <w:rFonts w:hint="eastAsia" w:ascii="Times New Roman" w:hAnsi="Times New Roman" w:eastAsia="宋体"/>
                <w:b w:val="0"/>
                <w:strike w:val="0"/>
                <w:dstrike w:val="0"/>
                <w:color w:val="auto"/>
                <w:sz w:val="21"/>
                <w:lang w:val="en-US" w:eastAsia="zh-CN"/>
              </w:rPr>
              <w:t>符合</w:t>
            </w:r>
          </w:p>
        </w:tc>
      </w:tr>
    </w:tbl>
    <w:p w14:paraId="59ADC474">
      <w:pPr>
        <w:pStyle w:val="4"/>
        <w:numPr>
          <w:ilvl w:val="0"/>
          <w:numId w:val="0"/>
        </w:numPr>
        <w:rPr>
          <w:rFonts w:ascii="Times New Roman" w:hAnsi="Times New Roman" w:eastAsia="宋体"/>
          <w:strike w:val="0"/>
          <w:dstrike w:val="0"/>
          <w:color w:val="auto"/>
          <w:highlight w:val="none"/>
        </w:rPr>
      </w:pPr>
      <w:bookmarkStart w:id="17" w:name="_Toc22764"/>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val="en-US" w:eastAsia="zh-CN"/>
        </w:rPr>
        <w:t>3 生态环境分区管控要求</w:t>
      </w:r>
      <w:r>
        <w:rPr>
          <w:rFonts w:hint="eastAsia" w:ascii="Times New Roman" w:hAnsi="Times New Roman" w:eastAsia="宋体"/>
          <w:strike w:val="0"/>
          <w:dstrike w:val="0"/>
          <w:color w:val="auto"/>
          <w:highlight w:val="none"/>
        </w:rPr>
        <w:t>符合性</w:t>
      </w:r>
      <w:bookmarkEnd w:id="16"/>
      <w:bookmarkEnd w:id="17"/>
    </w:p>
    <w:p w14:paraId="2A712A1D">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.1与《关于印发</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新疆维吾尔自治区生态环境分区管控动态更新成果</w:t>
      </w:r>
      <w:r>
        <w:rPr>
          <w:rFonts w:hint="eastAsia" w:ascii="Times New Roman" w:hAnsi="Times New Roman" w:eastAsia="宋体"/>
          <w:strike w:val="0"/>
          <w:dstrike w:val="0"/>
          <w:color w:val="auto"/>
          <w:highlight w:val="none"/>
          <w:lang w:eastAsia="zh-CN"/>
        </w:rPr>
        <w:t>〉的通知》</w:t>
      </w:r>
      <w:r>
        <w:rPr>
          <w:rFonts w:hint="eastAsia" w:ascii="Times New Roman" w:hAnsi="Times New Roman" w:eastAsia="宋体"/>
          <w:strike w:val="0"/>
          <w:dstrike w:val="0"/>
          <w:color w:val="auto"/>
          <w:highlight w:val="none"/>
        </w:rPr>
        <w:t>（新环环评发〔2024〕157号）的符合性分析</w:t>
      </w:r>
    </w:p>
    <w:p w14:paraId="034E6E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根据《关于印发</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新疆维吾尔自治区生态环境分区管控动态更新成果</w:t>
      </w:r>
      <w:r>
        <w:rPr>
          <w:rFonts w:hint="eastAsia" w:ascii="Times New Roman" w:hAnsi="Times New Roman" w:eastAsia="宋体"/>
          <w:strike w:val="0"/>
          <w:dstrike w:val="0"/>
          <w:color w:val="auto"/>
          <w:highlight w:val="none"/>
          <w:lang w:eastAsia="zh-CN"/>
        </w:rPr>
        <w:t>〉的通知》</w:t>
      </w:r>
      <w:r>
        <w:rPr>
          <w:rFonts w:hint="eastAsia" w:ascii="Times New Roman" w:hAnsi="Times New Roman" w:eastAsia="宋体"/>
          <w:strike w:val="0"/>
          <w:dstrike w:val="0"/>
          <w:color w:val="auto"/>
          <w:highlight w:val="none"/>
        </w:rPr>
        <w:t>（新环环评发〔2024〕157号），</w:t>
      </w:r>
      <w:r>
        <w:rPr>
          <w:rFonts w:hint="eastAsia" w:ascii="Times New Roman" w:hAnsi="Times New Roman" w:eastAsia="宋体"/>
          <w:strike w:val="0"/>
          <w:dstrike w:val="0"/>
          <w:color w:val="auto"/>
          <w:highlight w:val="none"/>
          <w:lang w:val="en-US" w:eastAsia="zh-CN"/>
        </w:rPr>
        <w:t>本项目符合性分析见表1.3-5。</w:t>
      </w:r>
    </w:p>
    <w:p w14:paraId="31404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default" w:ascii="Times New Roman" w:hAnsi="Times New Roman" w:eastAsia="宋体"/>
          <w:b/>
          <w:bCs/>
          <w:strike w:val="0"/>
          <w:dstrike w:val="0"/>
          <w:color w:val="auto"/>
          <w:highlight w:val="none"/>
          <w:lang w:val="en-US" w:eastAsia="zh-CN"/>
        </w:rPr>
        <w:t>表1</w:t>
      </w:r>
      <w:r>
        <w:rPr>
          <w:rFonts w:hint="eastAsia" w:ascii="Times New Roman" w:hAnsi="Times New Roman" w:eastAsia="宋体"/>
          <w:b/>
          <w:bCs/>
          <w:strike w:val="0"/>
          <w:dstrike w:val="0"/>
          <w:color w:val="auto"/>
          <w:highlight w:val="none"/>
          <w:lang w:val="en-US" w:eastAsia="zh-CN"/>
        </w:rPr>
        <w:t>.3-5 本</w:t>
      </w:r>
      <w:r>
        <w:rPr>
          <w:rFonts w:hint="default" w:ascii="Times New Roman" w:hAnsi="Times New Roman" w:eastAsia="宋体"/>
          <w:b/>
          <w:bCs/>
          <w:strike w:val="0"/>
          <w:dstrike w:val="0"/>
          <w:color w:val="auto"/>
          <w:highlight w:val="none"/>
          <w:lang w:val="en-US" w:eastAsia="zh-CN"/>
        </w:rPr>
        <w:t>项目与《新疆维吾尔自治区生态环境分区管控动态更新成果》的通知（新环环评发</w:t>
      </w:r>
      <w:r>
        <w:rPr>
          <w:rFonts w:hint="eastAsia" w:ascii="Times New Roman" w:hAnsi="Times New Roman" w:eastAsia="宋体"/>
          <w:b/>
          <w:bCs/>
          <w:strike w:val="0"/>
          <w:dstrike w:val="0"/>
          <w:color w:val="auto"/>
          <w:highlight w:val="none"/>
          <w:lang w:val="en-US" w:eastAsia="zh-CN"/>
        </w:rPr>
        <w:t>〔2024〕157号</w:t>
      </w:r>
      <w:r>
        <w:rPr>
          <w:rFonts w:hint="default" w:ascii="Times New Roman" w:hAnsi="Times New Roman" w:eastAsia="宋体"/>
          <w:b/>
          <w:bCs/>
          <w:strike w:val="0"/>
          <w:dstrike w:val="0"/>
          <w:color w:val="auto"/>
          <w:highlight w:val="none"/>
          <w:lang w:val="en-US" w:eastAsia="zh-CN"/>
        </w:rPr>
        <w:t>）符合性分析表</w:t>
      </w:r>
    </w:p>
    <w:tbl>
      <w:tblPr>
        <w:tblStyle w:val="39"/>
        <w:tblW w:w="4998" w:type="pct"/>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2"/>
        <w:gridCol w:w="2993"/>
        <w:gridCol w:w="694"/>
      </w:tblGrid>
      <w:tr w14:paraId="58885A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bottom w:val="single" w:color="000000" w:sz="4" w:space="0"/>
              <w:right w:val="single" w:color="000000" w:sz="4" w:space="0"/>
              <w:tl2br w:val="nil"/>
            </w:tcBorders>
            <w:shd w:val="clear" w:color="auto" w:fill="auto"/>
            <w:noWrap w:val="0"/>
            <w:vAlign w:val="center"/>
          </w:tcPr>
          <w:p w14:paraId="2D135D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bCs w:val="0"/>
                <w:i w:val="0"/>
                <w:iCs w:val="0"/>
                <w:strike w:val="0"/>
                <w:dstrike w:val="0"/>
                <w:color w:val="auto"/>
                <w:sz w:val="21"/>
                <w:szCs w:val="34"/>
                <w:highlight w:val="none"/>
                <w:u w:val="none"/>
              </w:rPr>
            </w:pPr>
            <w:r>
              <w:rPr>
                <w:rFonts w:hint="eastAsia" w:ascii="Times New Roman" w:hAnsi="Times New Roman" w:eastAsia="宋体" w:cs="宋体"/>
                <w:b w:val="0"/>
                <w:bCs w:val="0"/>
                <w:i w:val="0"/>
                <w:iCs w:val="0"/>
                <w:strike w:val="0"/>
                <w:dstrike w:val="0"/>
                <w:color w:val="auto"/>
                <w:kern w:val="0"/>
                <w:sz w:val="21"/>
                <w:szCs w:val="34"/>
                <w:highlight w:val="none"/>
                <w:u w:val="none"/>
                <w:lang w:val="en-US" w:eastAsia="zh-CN" w:bidi="ar"/>
              </w:rPr>
              <w:t>生态环境分区管控</w:t>
            </w:r>
            <w:r>
              <w:rPr>
                <w:rFonts w:ascii="Times New Roman" w:hAnsi="Times New Roman" w:eastAsia="宋体" w:cs="宋体"/>
                <w:b w:val="0"/>
                <w:bCs w:val="0"/>
                <w:i w:val="0"/>
                <w:iCs w:val="0"/>
                <w:strike w:val="0"/>
                <w:dstrike w:val="0"/>
                <w:color w:val="auto"/>
                <w:kern w:val="0"/>
                <w:sz w:val="21"/>
                <w:szCs w:val="34"/>
                <w:highlight w:val="none"/>
                <w:u w:val="none"/>
                <w:lang w:val="en-US" w:eastAsia="zh-CN" w:bidi="ar"/>
              </w:rPr>
              <w:t>要求</w:t>
            </w:r>
          </w:p>
        </w:tc>
        <w:tc>
          <w:tcPr>
            <w:tcW w:w="1756" w:type="pct"/>
            <w:tcBorders>
              <w:left w:val="single" w:color="000000" w:sz="4" w:space="0"/>
              <w:bottom w:val="single" w:color="000000" w:sz="4" w:space="0"/>
              <w:right w:val="single" w:color="000000" w:sz="4" w:space="0"/>
            </w:tcBorders>
            <w:shd w:val="clear" w:color="auto" w:fill="auto"/>
            <w:noWrap w:val="0"/>
            <w:vAlign w:val="center"/>
          </w:tcPr>
          <w:p w14:paraId="5393C3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bCs w:val="0"/>
                <w:i w:val="0"/>
                <w:iCs w:val="0"/>
                <w:strike w:val="0"/>
                <w:dstrike w:val="0"/>
                <w:color w:val="auto"/>
                <w:sz w:val="21"/>
                <w:szCs w:val="34"/>
                <w:highlight w:val="none"/>
                <w:u w:val="none"/>
              </w:rPr>
            </w:pPr>
            <w:r>
              <w:rPr>
                <w:rFonts w:ascii="Times New Roman" w:hAnsi="Times New Roman" w:eastAsia="宋体" w:cs="宋体"/>
                <w:b w:val="0"/>
                <w:bCs w:val="0"/>
                <w:i w:val="0"/>
                <w:iCs w:val="0"/>
                <w:strike w:val="0"/>
                <w:dstrike w:val="0"/>
                <w:color w:val="auto"/>
                <w:kern w:val="0"/>
                <w:sz w:val="21"/>
                <w:szCs w:val="34"/>
                <w:highlight w:val="none"/>
                <w:u w:val="none"/>
                <w:lang w:val="en-US" w:eastAsia="zh-CN" w:bidi="ar"/>
              </w:rPr>
              <w:t>项目情况</w:t>
            </w:r>
          </w:p>
        </w:tc>
        <w:tc>
          <w:tcPr>
            <w:tcW w:w="407" w:type="pct"/>
            <w:tcBorders>
              <w:left w:val="single" w:color="000000" w:sz="4" w:space="0"/>
              <w:bottom w:val="single" w:color="000000" w:sz="4" w:space="0"/>
            </w:tcBorders>
            <w:shd w:val="clear" w:color="auto" w:fill="auto"/>
            <w:noWrap w:val="0"/>
            <w:vAlign w:val="center"/>
          </w:tcPr>
          <w:p w14:paraId="51D380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bCs w:val="0"/>
                <w:i w:val="0"/>
                <w:iCs w:val="0"/>
                <w:strike w:val="0"/>
                <w:dstrike w:val="0"/>
                <w:color w:val="auto"/>
                <w:sz w:val="21"/>
                <w:szCs w:val="34"/>
                <w:highlight w:val="none"/>
                <w:u w:val="none"/>
              </w:rPr>
            </w:pPr>
            <w:r>
              <w:rPr>
                <w:rFonts w:ascii="Times New Roman" w:hAnsi="Times New Roman" w:eastAsia="宋体" w:cs="宋体"/>
                <w:b w:val="0"/>
                <w:bCs w:val="0"/>
                <w:i w:val="0"/>
                <w:iCs w:val="0"/>
                <w:strike w:val="0"/>
                <w:dstrike w:val="0"/>
                <w:color w:val="auto"/>
                <w:kern w:val="0"/>
                <w:sz w:val="21"/>
                <w:szCs w:val="34"/>
                <w:highlight w:val="none"/>
                <w:u w:val="none"/>
                <w:lang w:val="en-US" w:eastAsia="zh-CN" w:bidi="ar"/>
              </w:rPr>
              <w:t>符合性</w:t>
            </w:r>
          </w:p>
        </w:tc>
      </w:tr>
      <w:tr w14:paraId="52A721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bottom w:val="single" w:color="000000" w:sz="4" w:space="0"/>
              <w:right w:val="single" w:color="000000" w:sz="4" w:space="0"/>
            </w:tcBorders>
            <w:shd w:val="clear" w:color="auto" w:fill="auto"/>
            <w:noWrap w:val="0"/>
            <w:vAlign w:val="center"/>
          </w:tcPr>
          <w:p w14:paraId="03E46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生态保护红线：按照“生态功能不降低、面积不减少、性质不改变”的基本要求，对划定的生态保护红线实施严格管控，保障和维护国家生态安全的底线和生命线。</w:t>
            </w: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E75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本项目位于</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博斯坦乡阿克卓勒村，本项目所在地不涉及自然保护区、风景名胜区等各类保护地边界、江河、湖库以及海岸等向陆域延伸一定距离的边界、地理国情普查、全国土地调查、森林草原湿地荒漠等，因此判定项目建设不涉及生态红线保护区域，符合生态保护红线要求。</w:t>
            </w:r>
          </w:p>
        </w:tc>
        <w:tc>
          <w:tcPr>
            <w:tcW w:w="407" w:type="pct"/>
            <w:tcBorders>
              <w:top w:val="single" w:color="000000" w:sz="4" w:space="0"/>
              <w:left w:val="single" w:color="000000" w:sz="4" w:space="0"/>
              <w:bottom w:val="single" w:color="000000" w:sz="4" w:space="0"/>
            </w:tcBorders>
            <w:shd w:val="clear" w:color="auto" w:fill="auto"/>
            <w:noWrap w:val="0"/>
            <w:vAlign w:val="center"/>
          </w:tcPr>
          <w:p w14:paraId="4D8828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3F198D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bottom w:val="single" w:color="000000" w:sz="4" w:space="0"/>
              <w:right w:val="single" w:color="000000" w:sz="4" w:space="0"/>
            </w:tcBorders>
            <w:shd w:val="clear" w:color="auto" w:fill="auto"/>
            <w:noWrap w:val="0"/>
            <w:vAlign w:val="center"/>
          </w:tcPr>
          <w:p w14:paraId="72041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质量底线：全区水环境质量持续改善，受污染地表水体得到有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4AA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w:t>
            </w:r>
            <w:r>
              <w:rPr>
                <w:rFonts w:ascii="Times New Roman" w:hAnsi="Times New Roman" w:eastAsia="宋体" w:cs="宋体"/>
                <w:strike w:val="0"/>
                <w:dstrike w:val="0"/>
                <w:color w:val="auto"/>
                <w:sz w:val="21"/>
                <w:szCs w:val="24"/>
                <w:highlight w:val="none"/>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不会影响区域水和土壤环境质量，项目冬季采用电采暖，不会产生废气污染物，影响大气环境质量，本项目固体废弃物均得到妥善处置</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，项目</w:t>
            </w:r>
            <w:r>
              <w:rPr>
                <w:rFonts w:ascii="Times New Roman" w:hAnsi="Times New Roman" w:eastAsia="宋体" w:cs="宋体"/>
                <w:b w:val="0"/>
                <w:i w:val="0"/>
                <w:iCs w:val="0"/>
                <w:strike w:val="0"/>
                <w:dstrike w:val="0"/>
                <w:color w:val="auto"/>
                <w:kern w:val="0"/>
                <w:sz w:val="21"/>
                <w:szCs w:val="34"/>
                <w:highlight w:val="none"/>
                <w:u w:val="none"/>
                <w:lang w:val="en-US" w:eastAsia="zh-CN" w:bidi="ar"/>
              </w:rPr>
              <w:t>产生的废气、废水、固废等污染物均采取了严格的治理和处置措施，污染物能达标排放，采取相应措施后能够满足相关标准要求，符合环境质量底线的要求，不会对环境质量底线产生冲击。</w:t>
            </w:r>
          </w:p>
        </w:tc>
        <w:tc>
          <w:tcPr>
            <w:tcW w:w="407" w:type="pct"/>
            <w:tcBorders>
              <w:top w:val="single" w:color="000000" w:sz="4" w:space="0"/>
              <w:left w:val="single" w:color="000000" w:sz="4" w:space="0"/>
              <w:bottom w:val="single" w:color="000000" w:sz="4" w:space="0"/>
            </w:tcBorders>
            <w:shd w:val="clear" w:color="auto" w:fill="auto"/>
            <w:noWrap w:val="0"/>
            <w:vAlign w:val="center"/>
          </w:tcPr>
          <w:p w14:paraId="0BB707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2E375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bottom w:val="single" w:color="000000" w:sz="4" w:space="0"/>
              <w:right w:val="single" w:color="000000" w:sz="4" w:space="0"/>
            </w:tcBorders>
            <w:shd w:val="clear" w:color="auto" w:fill="auto"/>
            <w:noWrap w:val="0"/>
            <w:vAlign w:val="center"/>
          </w:tcPr>
          <w:p w14:paraId="0F8144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资源利用上线：强化节约集约利用，持续提升资源能源利用效率，水资源、土地资源、能源消耗等达到国家、自治区下达的总量和强度控制目标。加快区域低碳发展，积极推动乌鲁木齐市、昌吉市、伊宁市、和田市等4个国家级低碳试点城市发挥低碳试点示范和引领作用。</w:t>
            </w:r>
          </w:p>
        </w:tc>
        <w:tc>
          <w:tcPr>
            <w:tcW w:w="1756"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8E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sz w:val="21"/>
                <w:szCs w:val="34"/>
                <w:highlight w:val="none"/>
                <w:u w:val="none"/>
              </w:rPr>
            </w:pPr>
            <w:r>
              <w:rPr>
                <w:rFonts w:hint="eastAsia" w:ascii="Times New Roman" w:hAnsi="Times New Roman" w:eastAsia="宋体" w:cs="宋体"/>
                <w:b w:val="0"/>
                <w:i w:val="0"/>
                <w:iCs w:val="0"/>
                <w:strike w:val="0"/>
                <w:dstrike w:val="0"/>
                <w:color w:val="auto"/>
                <w:sz w:val="21"/>
                <w:szCs w:val="34"/>
                <w:highlight w:val="none"/>
                <w:u w:val="none"/>
              </w:rPr>
              <w:t>本项目属于骆驼养殖项目，主要利用当地土地资源、电能、水资源，项目区占地类型为设施农业用地，不涉及基本农田等占地，项目用水由农村供水管网供给，用电来自当地供电网，本项目的用水、用电不会对供水和供电单位产生负担。本项目选址位于木垒县</w:t>
            </w:r>
            <w:r>
              <w:rPr>
                <w:rFonts w:hint="eastAsia" w:ascii="Times New Roman" w:hAnsi="Times New Roman" w:eastAsia="宋体" w:cs="宋体"/>
                <w:b w:val="0"/>
                <w:i w:val="0"/>
                <w:iCs w:val="0"/>
                <w:strike w:val="0"/>
                <w:dstrike w:val="0"/>
                <w:color w:val="auto"/>
                <w:sz w:val="21"/>
                <w:szCs w:val="34"/>
                <w:highlight w:val="none"/>
                <w:u w:val="none"/>
                <w:lang w:val="en-US" w:eastAsia="zh-CN"/>
              </w:rPr>
              <w:t>博斯坦乡阿克卓勒村</w:t>
            </w:r>
            <w:r>
              <w:rPr>
                <w:rFonts w:hint="eastAsia" w:ascii="Times New Roman" w:hAnsi="Times New Roman" w:eastAsia="宋体" w:cs="宋体"/>
                <w:b w:val="0"/>
                <w:i w:val="0"/>
                <w:iCs w:val="0"/>
                <w:strike w:val="0"/>
                <w:dstrike w:val="0"/>
                <w:color w:val="auto"/>
                <w:sz w:val="21"/>
                <w:szCs w:val="34"/>
                <w:highlight w:val="none"/>
                <w:u w:val="none"/>
              </w:rPr>
              <w:t>，符合用地规划。因此本项目不会超出资源利用上线，符合资源利用上线要求。</w:t>
            </w:r>
          </w:p>
        </w:tc>
        <w:tc>
          <w:tcPr>
            <w:tcW w:w="407" w:type="pct"/>
            <w:tcBorders>
              <w:top w:val="single" w:color="000000" w:sz="4" w:space="0"/>
              <w:left w:val="single" w:color="000000" w:sz="4" w:space="0"/>
              <w:bottom w:val="single" w:color="000000" w:sz="4" w:space="0"/>
            </w:tcBorders>
            <w:shd w:val="clear" w:color="auto" w:fill="auto"/>
            <w:noWrap w:val="0"/>
            <w:vAlign w:val="center"/>
          </w:tcPr>
          <w:p w14:paraId="21129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2C252A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835" w:type="pct"/>
            <w:tcBorders>
              <w:top w:val="single" w:color="000000" w:sz="4" w:space="0"/>
              <w:right w:val="single" w:color="000000" w:sz="4" w:space="0"/>
            </w:tcBorders>
            <w:shd w:val="clear" w:color="auto" w:fill="auto"/>
            <w:noWrap w:val="0"/>
            <w:vAlign w:val="center"/>
          </w:tcPr>
          <w:p w14:paraId="11DD74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生态环境准入清单：指基于环境管控单元，统筹考虑生态保护红线、环境质量底线、资源利用上线的管控要求，提出的空间布局、污染物排放、环境风险、资源开发利用等方面禁止和限制的环境准入要求。</w:t>
            </w:r>
          </w:p>
        </w:tc>
        <w:tc>
          <w:tcPr>
            <w:tcW w:w="1756" w:type="pct"/>
            <w:tcBorders>
              <w:top w:val="single" w:color="000000" w:sz="4" w:space="0"/>
              <w:left w:val="single" w:color="000000" w:sz="4" w:space="0"/>
              <w:right w:val="single" w:color="000000" w:sz="4" w:space="0"/>
            </w:tcBorders>
            <w:shd w:val="clear" w:color="auto" w:fill="auto"/>
            <w:noWrap w:val="0"/>
            <w:vAlign w:val="center"/>
          </w:tcPr>
          <w:p w14:paraId="1C5541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本项目位于</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木垒县博斯坦乡阿克卓勒村</w:t>
            </w:r>
            <w:r>
              <w:rPr>
                <w:rFonts w:ascii="Times New Roman" w:hAnsi="Times New Roman" w:eastAsia="宋体" w:cs="宋体"/>
                <w:b w:val="0"/>
                <w:i w:val="0"/>
                <w:iCs w:val="0"/>
                <w:strike w:val="0"/>
                <w:dstrike w:val="0"/>
                <w:color w:val="auto"/>
                <w:kern w:val="0"/>
                <w:sz w:val="21"/>
                <w:szCs w:val="34"/>
                <w:highlight w:val="none"/>
                <w:u w:val="none"/>
                <w:lang w:val="en-US" w:eastAsia="zh-CN" w:bidi="ar"/>
              </w:rPr>
              <w:t>，对照国家发展改革委和商务部发布的《市场准入负面清单</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202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5</w:t>
            </w:r>
            <w:r>
              <w:rPr>
                <w:rFonts w:ascii="Times New Roman" w:hAnsi="Times New Roman" w:eastAsia="宋体" w:cs="宋体"/>
                <w:b w:val="0"/>
                <w:i w:val="0"/>
                <w:iCs w:val="0"/>
                <w:strike w:val="0"/>
                <w:dstrike w:val="0"/>
                <w:color w:val="auto"/>
                <w:kern w:val="0"/>
                <w:sz w:val="21"/>
                <w:szCs w:val="34"/>
                <w:highlight w:val="none"/>
                <w:u w:val="none"/>
                <w:lang w:val="en-US" w:eastAsia="zh-CN" w:bidi="ar"/>
              </w:rPr>
              <w:t>年版</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属于许可准入类。</w:t>
            </w:r>
          </w:p>
        </w:tc>
        <w:tc>
          <w:tcPr>
            <w:tcW w:w="407" w:type="pct"/>
            <w:tcBorders>
              <w:top w:val="single" w:color="000000" w:sz="4" w:space="0"/>
              <w:left w:val="single" w:color="000000" w:sz="4" w:space="0"/>
            </w:tcBorders>
            <w:shd w:val="clear" w:color="auto" w:fill="auto"/>
            <w:noWrap w:val="0"/>
            <w:vAlign w:val="center"/>
          </w:tcPr>
          <w:p w14:paraId="3F2857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Times New Roman" w:hAnsi="Times New Roman" w:eastAsia="宋体" w:cs="宋体"/>
                <w:b w:val="0"/>
                <w:i w:val="0"/>
                <w:iCs w:val="0"/>
                <w:strike w:val="0"/>
                <w:dstrike w:val="0"/>
                <w:color w:val="auto"/>
                <w:sz w:val="21"/>
                <w:szCs w:val="34"/>
                <w:highlight w:val="none"/>
                <w:u w:val="none"/>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bl>
    <w:p w14:paraId="48952FF3">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.2与《关于发布昌吉回族自治州生态环境分区管控动态更新成果的公告》的符合性分析</w:t>
      </w:r>
    </w:p>
    <w:p w14:paraId="08CC25E0">
      <w:pPr>
        <w:ind w:firstLine="480"/>
        <w:jc w:val="left"/>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本项目位于木垒县博斯坦乡阿克卓勒村</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根据《关于发布昌吉回族自治州生态环境分区管控动态更新成果的公告》</w:t>
      </w:r>
      <w:r>
        <w:rPr>
          <w:rFonts w:hint="eastAsia" w:ascii="Times New Roman" w:hAnsi="Times New Roman" w:eastAsia="宋体"/>
          <w:strike w:val="0"/>
          <w:dstrike w:val="0"/>
          <w:color w:val="auto"/>
          <w:highlight w:val="none"/>
          <w:lang w:val="en-US" w:eastAsia="zh-CN"/>
        </w:rPr>
        <w:t>昌吉回族自治州生态环境准入清单</w:t>
      </w:r>
      <w:r>
        <w:rPr>
          <w:rFonts w:hint="eastAsia" w:ascii="Times New Roman" w:hAnsi="Times New Roman" w:eastAsia="宋体"/>
          <w:strike w:val="0"/>
          <w:dstrike w:val="0"/>
          <w:color w:val="auto"/>
          <w:highlight w:val="none"/>
        </w:rPr>
        <w:t>，</w:t>
      </w:r>
    </w:p>
    <w:p w14:paraId="31E3AC99">
      <w:pPr>
        <w:bidi w:val="0"/>
        <w:rPr>
          <w:rFonts w:hint="default" w:ascii="Times New Roman" w:hAnsi="Times New Roman" w:eastAsia="宋体"/>
          <w:color w:val="auto"/>
          <w:lang w:val="en-US" w:eastAsia="zh-CN"/>
        </w:rPr>
      </w:pPr>
      <w:r>
        <w:rPr>
          <w:rFonts w:hint="eastAsia" w:ascii="Times New Roman" w:hAnsi="Times New Roman" w:eastAsia="宋体"/>
          <w:color w:val="auto"/>
        </w:rPr>
        <w:t>本项目位于木垒哈萨克自治县一般管控单元，管控单元编码：ZH65232830001</w:t>
      </w:r>
      <w:r>
        <w:rPr>
          <w:rFonts w:hint="eastAsia" w:ascii="Times New Roman" w:hAnsi="Times New Roman" w:eastAsia="宋体"/>
          <w:color w:val="auto"/>
          <w:lang w:eastAsia="zh-CN"/>
        </w:rPr>
        <w:t>；</w:t>
      </w:r>
      <w:r>
        <w:rPr>
          <w:rFonts w:ascii="Times New Roman" w:hAnsi="Times New Roman" w:eastAsia="宋体"/>
          <w:color w:val="auto"/>
        </w:rPr>
        <w:t>本项目与其符合情况见表</w:t>
      </w:r>
      <w:r>
        <w:rPr>
          <w:rFonts w:hint="eastAsia" w:ascii="Times New Roman" w:hAnsi="Times New Roman" w:eastAsia="宋体"/>
          <w:color w:val="auto"/>
          <w:lang w:val="en-US" w:eastAsia="zh-CN"/>
        </w:rPr>
        <w:t>1.3-6</w:t>
      </w:r>
      <w:r>
        <w:rPr>
          <w:rFonts w:ascii="Times New Roman" w:hAnsi="Times New Roman" w:eastAsia="宋体"/>
          <w:color w:val="auto"/>
        </w:rPr>
        <w:t>。</w:t>
      </w:r>
      <w:r>
        <w:rPr>
          <w:rFonts w:hint="eastAsia" w:ascii="Times New Roman" w:hAnsi="Times New Roman" w:eastAsia="宋体"/>
          <w:color w:val="auto"/>
        </w:rPr>
        <w:t>项目在</w:t>
      </w:r>
      <w:r>
        <w:rPr>
          <w:rFonts w:hint="eastAsia" w:ascii="Times New Roman" w:hAnsi="Times New Roman" w:eastAsia="宋体"/>
          <w:color w:val="auto"/>
          <w:lang w:val="en-US" w:eastAsia="zh-CN"/>
        </w:rPr>
        <w:t>昌吉州</w:t>
      </w:r>
      <w:r>
        <w:rPr>
          <w:rFonts w:ascii="Times New Roman" w:hAnsi="Times New Roman" w:eastAsia="宋体"/>
          <w:color w:val="auto"/>
        </w:rPr>
        <w:t>环境管控单元</w:t>
      </w:r>
      <w:r>
        <w:rPr>
          <w:rFonts w:hint="eastAsia" w:ascii="Times New Roman" w:hAnsi="Times New Roman" w:eastAsia="宋体"/>
          <w:color w:val="auto"/>
        </w:rPr>
        <w:t>中的位置见附图</w:t>
      </w:r>
      <w:r>
        <w:rPr>
          <w:rFonts w:ascii="Times New Roman" w:hAnsi="Times New Roman" w:eastAsia="宋体"/>
          <w:color w:val="auto"/>
        </w:rPr>
        <w:t>1</w:t>
      </w:r>
      <w:r>
        <w:rPr>
          <w:rFonts w:hint="eastAsia" w:ascii="Times New Roman" w:hAnsi="Times New Roman" w:eastAsia="宋体"/>
          <w:color w:val="auto"/>
        </w:rPr>
        <w:t>.</w:t>
      </w:r>
      <w:r>
        <w:rPr>
          <w:rFonts w:ascii="Times New Roman" w:hAnsi="Times New Roman" w:eastAsia="宋体"/>
          <w:color w:val="auto"/>
        </w:rPr>
        <w:t>3</w:t>
      </w:r>
      <w:r>
        <w:rPr>
          <w:rFonts w:hint="eastAsia" w:ascii="Times New Roman" w:hAnsi="Times New Roman" w:eastAsia="宋体"/>
          <w:color w:val="auto"/>
        </w:rPr>
        <w:t>-</w:t>
      </w:r>
      <w:r>
        <w:rPr>
          <w:rFonts w:hint="eastAsia" w:ascii="Times New Roman" w:hAnsi="Times New Roman" w:eastAsia="宋体"/>
          <w:color w:val="auto"/>
          <w:lang w:val="en-US" w:eastAsia="zh-CN"/>
        </w:rPr>
        <w:t>1</w:t>
      </w:r>
      <w:r>
        <w:rPr>
          <w:rFonts w:ascii="Times New Roman" w:hAnsi="Times New Roman" w:eastAsia="宋体"/>
          <w:color w:val="auto"/>
        </w:rPr>
        <w:t>。</w:t>
      </w:r>
    </w:p>
    <w:p w14:paraId="3F4AA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表1.3-6与木垒哈萨克自治县环境管控单元生态环境准入清单（一般管控单元）符合性分析表</w:t>
      </w:r>
    </w:p>
    <w:tbl>
      <w:tblPr>
        <w:tblStyle w:val="4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50"/>
        <w:gridCol w:w="663"/>
        <w:gridCol w:w="2687"/>
        <w:gridCol w:w="2594"/>
        <w:gridCol w:w="1120"/>
      </w:tblGrid>
      <w:tr w14:paraId="646A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Align w:val="center"/>
          </w:tcPr>
          <w:p w14:paraId="0DF0B3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环境管控单元编码</w:t>
            </w:r>
          </w:p>
        </w:tc>
        <w:tc>
          <w:tcPr>
            <w:tcW w:w="381" w:type="pct"/>
            <w:vAlign w:val="center"/>
          </w:tcPr>
          <w:p w14:paraId="6C8D2D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环境管控单元名称</w:t>
            </w:r>
          </w:p>
        </w:tc>
        <w:tc>
          <w:tcPr>
            <w:tcW w:w="389" w:type="pct"/>
            <w:vAlign w:val="center"/>
          </w:tcPr>
          <w:p w14:paraId="416E69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环境管控单元类别</w:t>
            </w:r>
          </w:p>
        </w:tc>
        <w:tc>
          <w:tcPr>
            <w:tcW w:w="1577" w:type="pct"/>
            <w:vAlign w:val="center"/>
          </w:tcPr>
          <w:p w14:paraId="4D2EF9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管控要求</w:t>
            </w:r>
          </w:p>
        </w:tc>
        <w:tc>
          <w:tcPr>
            <w:tcW w:w="1522" w:type="pct"/>
            <w:vAlign w:val="center"/>
          </w:tcPr>
          <w:p w14:paraId="40D502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本项目基本情况</w:t>
            </w:r>
          </w:p>
        </w:tc>
        <w:tc>
          <w:tcPr>
            <w:tcW w:w="657" w:type="pct"/>
            <w:vAlign w:val="center"/>
          </w:tcPr>
          <w:p w14:paraId="25AEAE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符合性</w:t>
            </w:r>
          </w:p>
        </w:tc>
      </w:tr>
      <w:tr w14:paraId="4007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restart"/>
            <w:vAlign w:val="center"/>
          </w:tcPr>
          <w:p w14:paraId="404C40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ZH65232830001</w:t>
            </w:r>
          </w:p>
        </w:tc>
        <w:tc>
          <w:tcPr>
            <w:tcW w:w="381" w:type="pct"/>
            <w:vMerge w:val="restart"/>
            <w:vAlign w:val="center"/>
          </w:tcPr>
          <w:p w14:paraId="2BF039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木垒哈萨 克自治县 一般管控 单元</w:t>
            </w:r>
          </w:p>
        </w:tc>
        <w:tc>
          <w:tcPr>
            <w:tcW w:w="389" w:type="pct"/>
            <w:vMerge w:val="restart"/>
            <w:vAlign w:val="center"/>
          </w:tcPr>
          <w:p w14:paraId="5F3C4F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一般管控 单元</w:t>
            </w:r>
          </w:p>
        </w:tc>
        <w:tc>
          <w:tcPr>
            <w:tcW w:w="1577" w:type="pct"/>
            <w:vAlign w:val="center"/>
          </w:tcPr>
          <w:p w14:paraId="1F5FDC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1、污染物排放执行国家和地方相关标准中普适性要求。</w:t>
            </w:r>
          </w:p>
          <w:p w14:paraId="784B60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2、加强农业面源污染治理，科学合理使用化肥农药，逐步削减农业面源污染物排放量。</w:t>
            </w:r>
          </w:p>
          <w:p w14:paraId="0FD178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3、施工工地全面落实“六个百分之百”（施工工地周边围挡、物料堆放覆盖、出入车辆冲洗、施工现场地面硬化、拆迁工地湿法作业、渣土车辆密闭运输）。</w:t>
            </w:r>
          </w:p>
        </w:tc>
        <w:tc>
          <w:tcPr>
            <w:tcW w:w="1522" w:type="pct"/>
            <w:vAlign w:val="center"/>
          </w:tcPr>
          <w:p w14:paraId="29B815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项目</w:t>
            </w:r>
            <w:r>
              <w:rPr>
                <w:rFonts w:hint="eastAsia" w:ascii="Times New Roman" w:hAnsi="Times New Roman" w:eastAsia="宋体" w:cs="宋体"/>
                <w:strike w:val="0"/>
                <w:dstrike w:val="0"/>
                <w:color w:val="auto"/>
                <w:sz w:val="21"/>
                <w:szCs w:val="24"/>
                <w:highlight w:val="none"/>
                <w:lang w:val="en-US" w:eastAsia="zh-CN"/>
              </w:rPr>
              <w:t>运营期产生的生产废水经黑膜池发酵处理后用于项目区周边林带施肥，</w:t>
            </w:r>
            <w:r>
              <w:rPr>
                <w:rFonts w:hint="eastAsia" w:ascii="Times New Roman" w:hAnsi="Times New Roman" w:eastAsia="宋体" w:cs="宋体"/>
                <w:strike w:val="0"/>
                <w:dstrike w:val="0"/>
                <w:color w:val="auto"/>
                <w:sz w:val="21"/>
                <w:szCs w:val="24"/>
                <w:highlight w:val="none"/>
                <w:lang w:val="en-US" w:eastAsia="zh-CN"/>
              </w:rPr>
              <w:t>骆驼粪便清运至堆肥场，经处理后外售有机肥厂</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，不会影响区域水和土壤环境质量，项目冬季采用电采暖，不会产生废气污染物，影响大气环境质量，固体废弃物均得到妥善处置</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项目产生的废气、废水、固废等污染物均采取了严格的治理和处置措施，污染物能达标排放，采取相应措施后能够满足相关标准要求，本环评要求项目施工全面落实“六个百分之百”，施工工地周边围挡、物料堆放覆盖、出入车辆冲洗、施工现场地面硬化、拆迁工地湿法作业、渣土车辆密闭运输。</w:t>
            </w:r>
          </w:p>
        </w:tc>
        <w:tc>
          <w:tcPr>
            <w:tcW w:w="657" w:type="pct"/>
            <w:vAlign w:val="center"/>
          </w:tcPr>
          <w:p w14:paraId="2645F1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0CBB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vAlign w:val="center"/>
          </w:tcPr>
          <w:p w14:paraId="1A2AE6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1" w:type="pct"/>
            <w:vMerge w:val="continue"/>
            <w:vAlign w:val="center"/>
          </w:tcPr>
          <w:p w14:paraId="08E6CF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9" w:type="pct"/>
            <w:vMerge w:val="continue"/>
            <w:vAlign w:val="center"/>
          </w:tcPr>
          <w:p w14:paraId="5BCB8B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1577" w:type="pct"/>
            <w:vAlign w:val="center"/>
          </w:tcPr>
          <w:p w14:paraId="0A7ABD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1、应符合国土空间规划要求。</w:t>
            </w:r>
          </w:p>
          <w:p w14:paraId="3C7615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2、应符合《产业结构调整指导目录（2024年本）》《市场准入负面清单（2022年版）》。</w:t>
            </w:r>
          </w:p>
        </w:tc>
        <w:tc>
          <w:tcPr>
            <w:tcW w:w="1522" w:type="pct"/>
            <w:vAlign w:val="center"/>
          </w:tcPr>
          <w:p w14:paraId="7D3C9B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ascii="Times New Roman" w:hAnsi="Times New Roman" w:eastAsia="宋体" w:cs="宋体"/>
                <w:b w:val="0"/>
                <w:i w:val="0"/>
                <w:iCs w:val="0"/>
                <w:strike w:val="0"/>
                <w:dstrike w:val="0"/>
                <w:color w:val="auto"/>
                <w:kern w:val="0"/>
                <w:sz w:val="21"/>
                <w:szCs w:val="34"/>
                <w:highlight w:val="none"/>
                <w:u w:val="none"/>
                <w:lang w:val="en-US" w:eastAsia="zh-CN" w:bidi="ar"/>
              </w:rPr>
              <w:t>本项目位于</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木垒县博斯坦乡阿克卓勒村</w:t>
            </w:r>
            <w:r>
              <w:rPr>
                <w:rFonts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b w:val="0"/>
                <w:strike w:val="0"/>
                <w:dstrike w:val="0"/>
                <w:color w:val="auto"/>
                <w:sz w:val="21"/>
                <w:lang w:val="en-US" w:eastAsia="zh-CN"/>
              </w:rPr>
              <w:t>用地性质为设施农用地，</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符合国土空间规划，</w:t>
            </w:r>
            <w:r>
              <w:rPr>
                <w:rFonts w:ascii="Times New Roman" w:hAnsi="Times New Roman" w:eastAsia="宋体" w:cs="宋体"/>
                <w:b w:val="0"/>
                <w:i w:val="0"/>
                <w:iCs w:val="0"/>
                <w:strike w:val="0"/>
                <w:dstrike w:val="0"/>
                <w:color w:val="auto"/>
                <w:kern w:val="0"/>
                <w:sz w:val="21"/>
                <w:szCs w:val="34"/>
                <w:highlight w:val="none"/>
                <w:u w:val="none"/>
                <w:lang w:val="en-US" w:eastAsia="zh-CN" w:bidi="ar"/>
              </w:rPr>
              <w:t>对照国家发展改革委和商务部发布的《市场准入负面清单</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202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5</w:t>
            </w:r>
            <w:r>
              <w:rPr>
                <w:rFonts w:ascii="Times New Roman" w:hAnsi="Times New Roman" w:eastAsia="宋体" w:cs="宋体"/>
                <w:b w:val="0"/>
                <w:i w:val="0"/>
                <w:iCs w:val="0"/>
                <w:strike w:val="0"/>
                <w:dstrike w:val="0"/>
                <w:color w:val="auto"/>
                <w:kern w:val="0"/>
                <w:sz w:val="21"/>
                <w:szCs w:val="34"/>
                <w:highlight w:val="none"/>
                <w:u w:val="none"/>
                <w:lang w:val="en-US" w:eastAsia="zh-CN" w:bidi="ar"/>
              </w:rPr>
              <w:t>年版</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ascii="Times New Roman" w:hAnsi="Times New Roman" w:eastAsia="宋体" w:cs="宋体"/>
                <w:b w:val="0"/>
                <w:i w:val="0"/>
                <w:iCs w:val="0"/>
                <w:strike w:val="0"/>
                <w:dstrike w:val="0"/>
                <w:color w:val="auto"/>
                <w:kern w:val="0"/>
                <w:sz w:val="21"/>
                <w:szCs w:val="34"/>
                <w:highlight w:val="none"/>
                <w:u w:val="none"/>
                <w:lang w:val="en-US" w:eastAsia="zh-CN" w:bidi="ar"/>
              </w:rPr>
              <w:t>属于许可准入类</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，符合《产业结构调整指导目录（2024年本）</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p>
        </w:tc>
        <w:tc>
          <w:tcPr>
            <w:tcW w:w="657" w:type="pct"/>
            <w:vAlign w:val="center"/>
          </w:tcPr>
          <w:p w14:paraId="71471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37AC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vAlign w:val="center"/>
          </w:tcPr>
          <w:p w14:paraId="07FF49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1" w:type="pct"/>
            <w:vMerge w:val="continue"/>
            <w:vAlign w:val="center"/>
          </w:tcPr>
          <w:p w14:paraId="1DC771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9" w:type="pct"/>
            <w:vMerge w:val="continue"/>
            <w:vAlign w:val="center"/>
          </w:tcPr>
          <w:p w14:paraId="27EA5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1577" w:type="pct"/>
            <w:vAlign w:val="center"/>
          </w:tcPr>
          <w:p w14:paraId="4E3802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1、执行区域生态环境保护的基本要求。</w:t>
            </w:r>
          </w:p>
          <w:p w14:paraId="7CE437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2、执行昌吉州总体准入清单中的要求。</w:t>
            </w:r>
          </w:p>
        </w:tc>
        <w:tc>
          <w:tcPr>
            <w:tcW w:w="1522" w:type="pct"/>
            <w:vAlign w:val="center"/>
          </w:tcPr>
          <w:p w14:paraId="18E1F7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所在地不涉及自然保护区、风景名胜区等各类保护地边界、江河、湖库以及海岸等向陆域延伸一定距离的边界、地理国情普查、全国土地调查、森林草原湿地荒漠等，项目运营期产生的粪污均外售，不会影响区域水和土壤环境质量，项目冬季采用电采暖，不会产生废气污染物，影响大气环境质量，本项目固体废弃物均得到妥善处置。</w:t>
            </w:r>
          </w:p>
        </w:tc>
        <w:tc>
          <w:tcPr>
            <w:tcW w:w="657" w:type="pct"/>
            <w:vAlign w:val="center"/>
          </w:tcPr>
          <w:p w14:paraId="7193E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15F5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2" w:type="pct"/>
            <w:vMerge w:val="continue"/>
            <w:vAlign w:val="center"/>
          </w:tcPr>
          <w:p w14:paraId="38BDFB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1" w:type="pct"/>
            <w:vMerge w:val="continue"/>
            <w:vAlign w:val="center"/>
          </w:tcPr>
          <w:p w14:paraId="46CF7E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389" w:type="pct"/>
            <w:vMerge w:val="continue"/>
            <w:vAlign w:val="center"/>
          </w:tcPr>
          <w:p w14:paraId="1BA266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p>
        </w:tc>
        <w:tc>
          <w:tcPr>
            <w:tcW w:w="1577" w:type="pct"/>
            <w:vAlign w:val="center"/>
          </w:tcPr>
          <w:p w14:paraId="0BA508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1、执行区域资源能源利用的基本要求。</w:t>
            </w:r>
          </w:p>
          <w:p w14:paraId="4876D7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2、执行昌吉州总体准入清单中的要求。</w:t>
            </w:r>
          </w:p>
        </w:tc>
        <w:tc>
          <w:tcPr>
            <w:tcW w:w="1522" w:type="pct"/>
            <w:vAlign w:val="center"/>
          </w:tcPr>
          <w:p w14:paraId="33272F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sz w:val="21"/>
                <w:szCs w:val="34"/>
                <w:highlight w:val="none"/>
                <w:u w:val="none"/>
              </w:rPr>
              <w:t>本项目属于骆驼养殖项目，主要利用当地土地资源、电能、水资源，项目区占地类型为设施农业用地，不涉及基本农田等占地，项目用水由农村供水管网供给，用电来自当地供电网，本项目的用水、用电不会对供水和供电单位产生负担。</w:t>
            </w:r>
          </w:p>
        </w:tc>
        <w:tc>
          <w:tcPr>
            <w:tcW w:w="657" w:type="pct"/>
            <w:vAlign w:val="center"/>
          </w:tcPr>
          <w:p w14:paraId="629F81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bl>
    <w:p w14:paraId="40E7958F">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综上，</w:t>
      </w:r>
      <w:r>
        <w:rPr>
          <w:rFonts w:hint="eastAsia" w:ascii="Times New Roman" w:hAnsi="Times New Roman" w:eastAsia="宋体"/>
          <w:strike w:val="0"/>
          <w:dstrike w:val="0"/>
          <w:color w:val="auto"/>
          <w:highlight w:val="none"/>
        </w:rPr>
        <w:t>本项目的建设符合《关于印发&lt;新疆维吾尔自治区生态环境分区管控动态更新成果&gt;的通知》（新环环评发〔2024〕157号）</w:t>
      </w:r>
      <w:r>
        <w:rPr>
          <w:rFonts w:hint="eastAsia" w:ascii="Times New Roman" w:hAnsi="Times New Roman" w:eastAsia="宋体"/>
          <w:strike w:val="0"/>
          <w:dstrike w:val="0"/>
          <w:color w:val="auto"/>
          <w:highlight w:val="none"/>
          <w:lang w:eastAsia="zh-CN"/>
        </w:rPr>
        <w:t>、《关于发布昌吉回族自治州生态环境分区管控动态更新成果的公告》</w:t>
      </w:r>
      <w:r>
        <w:rPr>
          <w:rFonts w:hint="eastAsia" w:ascii="Times New Roman" w:hAnsi="Times New Roman" w:eastAsia="宋体"/>
          <w:strike w:val="0"/>
          <w:dstrike w:val="0"/>
          <w:color w:val="auto"/>
          <w:highlight w:val="none"/>
          <w:lang w:val="en-US" w:eastAsia="zh-CN"/>
        </w:rPr>
        <w:t>和《关于发布昌吉回族自治州生态环境分区管控动态更新成果的公告》相关要求。</w:t>
      </w:r>
      <w:bookmarkStart w:id="18" w:name="_Toc106663417"/>
    </w:p>
    <w:p w14:paraId="263B4474">
      <w:pPr>
        <w:pStyle w:val="4"/>
        <w:rPr>
          <w:rFonts w:hint="eastAsia" w:ascii="Times New Roman" w:hAnsi="Times New Roman" w:eastAsia="宋体" w:cs="Times New Roman"/>
          <w:strike w:val="0"/>
          <w:dstrike w:val="0"/>
          <w:color w:val="auto"/>
          <w:highlight w:val="none"/>
        </w:rPr>
      </w:pPr>
      <w:bookmarkStart w:id="19" w:name="_Toc28838"/>
      <w:r>
        <w:rPr>
          <w:rFonts w:hint="eastAsia" w:ascii="Times New Roman" w:hAnsi="Times New Roman" w:eastAsia="宋体" w:cs="Times New Roman"/>
          <w:strike w:val="0"/>
          <w:dstrike w:val="0"/>
          <w:color w:val="auto"/>
          <w:highlight w:val="none"/>
        </w:rPr>
        <w:t>1.3.</w:t>
      </w:r>
      <w:r>
        <w:rPr>
          <w:rFonts w:hint="eastAsia" w:ascii="Times New Roman" w:hAnsi="Times New Roman" w:eastAsia="宋体" w:cs="Times New Roman"/>
          <w:strike w:val="0"/>
          <w:dstrike w:val="0"/>
          <w:color w:val="auto"/>
          <w:highlight w:val="none"/>
          <w:lang w:val="en-US" w:eastAsia="zh-CN"/>
        </w:rPr>
        <w:t>4</w:t>
      </w:r>
      <w:r>
        <w:rPr>
          <w:rFonts w:hint="eastAsia" w:ascii="Times New Roman" w:hAnsi="Times New Roman" w:eastAsia="宋体" w:cs="Times New Roman"/>
          <w:strike w:val="0"/>
          <w:dstrike w:val="0"/>
          <w:color w:val="auto"/>
          <w:highlight w:val="none"/>
        </w:rPr>
        <w:t>选址合理性</w:t>
      </w:r>
      <w:bookmarkEnd w:id="18"/>
      <w:bookmarkEnd w:id="19"/>
    </w:p>
    <w:p w14:paraId="7673666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.1与《畜禽规模养殖污染防治条例》（国务院令第643号）、《畜禽养殖业污染防治技术规范》（HJ/T81-2001）、《畜禽养殖业污染防治技术政策》（环发</w:t>
      </w:r>
      <w:r>
        <w:rPr>
          <w:rFonts w:hint="eastAsia" w:ascii="Times New Roman" w:hAnsi="Times New Roman" w:eastAsia="宋体"/>
          <w:strike w:val="0"/>
          <w:dstrike w:val="0"/>
          <w:color w:val="auto"/>
          <w:highlight w:val="none"/>
          <w:lang w:eastAsia="zh-CN"/>
        </w:rPr>
        <w:t>〔2010〕151号</w:t>
      </w:r>
      <w:r>
        <w:rPr>
          <w:rFonts w:hint="eastAsia" w:ascii="Times New Roman" w:hAnsi="Times New Roman" w:eastAsia="宋体"/>
          <w:strike w:val="0"/>
          <w:dstrike w:val="0"/>
          <w:color w:val="auto"/>
          <w:highlight w:val="none"/>
        </w:rPr>
        <w:t>）的符合性分析</w:t>
      </w:r>
    </w:p>
    <w:p w14:paraId="2A5A81D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本项目与《畜禽规模养殖污染防治条例》（国务院令第643号）、《畜禽养殖业污染防治技术规范》（HJ/T81-2001）、《畜禽养殖业污染防治技术政策》（环发</w:t>
      </w:r>
      <w:r>
        <w:rPr>
          <w:rFonts w:hint="eastAsia" w:ascii="Times New Roman" w:hAnsi="Times New Roman" w:eastAsia="宋体"/>
          <w:strike w:val="0"/>
          <w:dstrike w:val="0"/>
          <w:color w:val="auto"/>
          <w:highlight w:val="none"/>
          <w:lang w:eastAsia="zh-CN"/>
        </w:rPr>
        <w:t>〔2010〕151号</w:t>
      </w:r>
      <w:r>
        <w:rPr>
          <w:rFonts w:hint="eastAsia" w:ascii="Times New Roman" w:hAnsi="Times New Roman" w:eastAsia="宋体"/>
          <w:strike w:val="0"/>
          <w:dstrike w:val="0"/>
          <w:color w:val="auto"/>
          <w:highlight w:val="none"/>
        </w:rPr>
        <w:t>）的符合性分析见表1.3-</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325353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表1.3-7选址合理性分析</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3344"/>
        <w:gridCol w:w="2597"/>
        <w:gridCol w:w="825"/>
      </w:tblGrid>
      <w:tr w14:paraId="3808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74926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项目</w:t>
            </w:r>
          </w:p>
        </w:tc>
        <w:tc>
          <w:tcPr>
            <w:tcW w:w="2007" w:type="pct"/>
            <w:vAlign w:val="center"/>
          </w:tcPr>
          <w:p w14:paraId="6151AE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要求</w:t>
            </w:r>
          </w:p>
        </w:tc>
        <w:tc>
          <w:tcPr>
            <w:tcW w:w="1569" w:type="pct"/>
            <w:vAlign w:val="center"/>
          </w:tcPr>
          <w:p w14:paraId="2D6C55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符合性分析</w:t>
            </w:r>
          </w:p>
        </w:tc>
        <w:tc>
          <w:tcPr>
            <w:tcW w:w="529" w:type="pct"/>
            <w:vAlign w:val="center"/>
          </w:tcPr>
          <w:p w14:paraId="2DE9CF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符合性</w:t>
            </w:r>
          </w:p>
        </w:tc>
      </w:tr>
      <w:tr w14:paraId="23F2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227DD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《畜禽规模养殖污染防治条例》（国务院令第643号）第二章第十一条</w:t>
            </w:r>
          </w:p>
        </w:tc>
        <w:tc>
          <w:tcPr>
            <w:tcW w:w="2007" w:type="pct"/>
            <w:vAlign w:val="center"/>
          </w:tcPr>
          <w:p w14:paraId="5F1BCA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禁止在下列区域内建设畜禽养殖场、养殖小区：</w:t>
            </w:r>
          </w:p>
          <w:p w14:paraId="1389B8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①饮用水水源保护区，风景名胜区；</w:t>
            </w:r>
          </w:p>
          <w:p w14:paraId="634BD0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②自然保护区的核心区和缓冲区；</w:t>
            </w:r>
          </w:p>
          <w:p w14:paraId="7BFF38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③城镇居民区、文化教育科学研究区等人口集中区域；</w:t>
            </w:r>
          </w:p>
          <w:p w14:paraId="028F4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④法律、法规规定的其他禁止养殖区域。</w:t>
            </w:r>
          </w:p>
        </w:tc>
        <w:tc>
          <w:tcPr>
            <w:tcW w:w="1569" w:type="pct"/>
            <w:vAlign w:val="center"/>
          </w:tcPr>
          <w:p w14:paraId="791226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red"/>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本项目的选址不</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在</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当地政府划定的</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禁养区及限养区</w:t>
            </w:r>
            <w:r>
              <w:rPr>
                <w:rFonts w:hint="eastAsia" w:ascii="Times New Roman" w:hAnsi="Times New Roman" w:eastAsia="宋体"/>
                <w:strike w:val="0"/>
                <w:dstrike w:val="0"/>
                <w:color w:val="auto"/>
                <w:sz w:val="21"/>
                <w:highlight w:val="none"/>
                <w:vertAlign w:val="baseline"/>
                <w:lang w:val="en-US" w:eastAsia="zh-CN"/>
              </w:rPr>
              <w:t>，本项目与禁养区、限养区位置关系见附图1.3-2</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不涉饮用水水源保护区</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风景名胜区</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、自然保护区；项目位于昌吉木垒县博斯坦乡阿克卓勒村，不涉及</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城镇居民区、文化教育科学研究区等人口集中区域</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p>
        </w:tc>
        <w:tc>
          <w:tcPr>
            <w:tcW w:w="529" w:type="pct"/>
            <w:vAlign w:val="center"/>
          </w:tcPr>
          <w:p w14:paraId="40C5DF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7C31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A77DF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《畜禽养殖业污染防治技术规范》（HJ/T81-2001）</w:t>
            </w:r>
          </w:p>
        </w:tc>
        <w:tc>
          <w:tcPr>
            <w:tcW w:w="2007" w:type="pct"/>
            <w:vAlign w:val="center"/>
          </w:tcPr>
          <w:p w14:paraId="038708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止在下列区域内建设畜禽养殖场：a.生活饮用水水源保护区，风景名胜区、自然保护区的核心区和缓冲区；b.城市和城镇居民区，包括文教科研区、医疗区、商业区、工业区、游览区等人口集中地区；c.县级人民政府依法划定的禁养区域；d.国家或地方法律、法规规定需特殊保护的其他区域。</w:t>
            </w:r>
          </w:p>
          <w:p w14:paraId="64B259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新建改建、扩建的畜禽养殖场选址应避开以上禁建区域。在禁建区域附近建设的，应设在禁建区域常年主导风向的下风向或侧风向处，场界与禁建区域边界的最小距离不得小于500m。</w:t>
            </w:r>
          </w:p>
        </w:tc>
        <w:tc>
          <w:tcPr>
            <w:tcW w:w="1569" w:type="pct"/>
            <w:vAlign w:val="center"/>
          </w:tcPr>
          <w:p w14:paraId="0E730A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不涉饮用水水源保护区</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风景名胜区</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、自然保护区；项目位于昌吉木垒县博斯坦乡阿克卓勒村，不涉及</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城镇居民区、文化教育科学研究区等人口集中区域</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；本项目的选址不在当地政府划定的禁养区及限养区，本项目与禁养区、限养区位置关系见附图1.3-2，项目区常年主导风向为西风，项目区主导风向下风向无居民区</w:t>
            </w:r>
          </w:p>
        </w:tc>
        <w:tc>
          <w:tcPr>
            <w:tcW w:w="529" w:type="pct"/>
            <w:vAlign w:val="center"/>
          </w:tcPr>
          <w:p w14:paraId="2221AE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r w14:paraId="0E15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60202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《畜禽养殖业污染防治技术政策》（环发</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〔2010〕151号</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p>
        </w:tc>
        <w:tc>
          <w:tcPr>
            <w:tcW w:w="2007" w:type="pct"/>
            <w:vAlign w:val="center"/>
          </w:tcPr>
          <w:p w14:paraId="626B02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畜禽养殖污染防治应遵循以下技术原则：</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全面规划、合理布局，贯彻执行当地人民政府颁布的畜禽养殖区划，严格遵守</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‘禁养区’</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和</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‘限养区’</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的规定，已有的畜禽养殖场（小区）应限期搬迁；结合当地城乡总体规划、环境保护规划和畜牧业发展规划，做好畜禽养殖污染防治规划，优化规模化畜禽养殖场（小区）及其污染防治设施的布局，避开饮用水水源地等环境敏感区域</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w:t>
            </w:r>
          </w:p>
        </w:tc>
        <w:tc>
          <w:tcPr>
            <w:tcW w:w="1569" w:type="pct"/>
            <w:vAlign w:val="center"/>
          </w:tcPr>
          <w:p w14:paraId="4215EB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本项目的建设布局在设计阶段进行了合理规划和布局，处于最近的保护目标常年主导风向的侧风向</w:t>
            </w: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；本项目与禁养区、限养区位置关系见附图1.3-2；本项目不涉及饮水水源地等环境敏感区域；</w:t>
            </w:r>
          </w:p>
        </w:tc>
        <w:tc>
          <w:tcPr>
            <w:tcW w:w="529" w:type="pct"/>
            <w:vAlign w:val="center"/>
          </w:tcPr>
          <w:p w14:paraId="684A3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pPr>
            <w:r>
              <w:rPr>
                <w:rFonts w:hint="eastAsia" w:ascii="Times New Roman" w:hAnsi="Times New Roman" w:eastAsia="宋体" w:cs="宋体"/>
                <w:b w:val="0"/>
                <w:i w:val="0"/>
                <w:iCs w:val="0"/>
                <w:strike w:val="0"/>
                <w:dstrike w:val="0"/>
                <w:color w:val="auto"/>
                <w:kern w:val="0"/>
                <w:sz w:val="21"/>
                <w:szCs w:val="34"/>
                <w:highlight w:val="none"/>
                <w:u w:val="none"/>
                <w:lang w:val="en-US" w:eastAsia="zh-CN" w:bidi="ar"/>
              </w:rPr>
              <w:t>符合</w:t>
            </w:r>
          </w:p>
        </w:tc>
      </w:tr>
    </w:tbl>
    <w:p w14:paraId="5B4B5225">
      <w:pPr>
        <w:pStyle w:val="3"/>
        <w:rPr>
          <w:rFonts w:ascii="Times New Roman" w:hAnsi="Times New Roman" w:eastAsia="宋体"/>
          <w:strike w:val="0"/>
          <w:dstrike w:val="0"/>
          <w:color w:val="auto"/>
          <w:highlight w:val="none"/>
        </w:rPr>
      </w:pPr>
      <w:bookmarkStart w:id="20" w:name="_Toc89619321"/>
      <w:bookmarkStart w:id="21" w:name="_Toc15337"/>
      <w:r>
        <w:rPr>
          <w:rFonts w:hint="eastAsia" w:ascii="Times New Roman" w:hAnsi="Times New Roman" w:eastAsia="宋体"/>
          <w:strike w:val="0"/>
          <w:dstrike w:val="0"/>
          <w:color w:val="auto"/>
          <w:highlight w:val="none"/>
        </w:rPr>
        <w:t>1.4关注的主要环境问题</w:t>
      </w:r>
      <w:bookmarkEnd w:id="20"/>
      <w:bookmarkEnd w:id="21"/>
    </w:p>
    <w:p w14:paraId="0600979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本项目为养殖类项目，本次评价主要关注的环境问题是建设项目投入营运后主要污染物的产生、控制和对周边环境的影响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本项目关注的环境问题是：</w:t>
      </w:r>
    </w:p>
    <w:p w14:paraId="7990DD9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大气：本项目运营期大气环境影响主要为</w:t>
      </w:r>
      <w:r>
        <w:rPr>
          <w:rFonts w:hint="eastAsia" w:ascii="Times New Roman" w:hAnsi="Times New Roman" w:eastAsia="宋体"/>
          <w:strike w:val="0"/>
          <w:dstrike w:val="0"/>
          <w:color w:val="auto"/>
          <w:highlight w:val="none"/>
          <w:lang w:val="en-US" w:eastAsia="zh-CN"/>
        </w:rPr>
        <w:t>骆驼</w:t>
      </w:r>
      <w:r>
        <w:rPr>
          <w:rFonts w:ascii="Times New Roman" w:hAnsi="Times New Roman" w:eastAsia="宋体"/>
          <w:strike w:val="0"/>
          <w:dstrike w:val="0"/>
          <w:color w:val="auto"/>
          <w:highlight w:val="none"/>
        </w:rPr>
        <w:t>圈舍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堆肥厂、黑膜池</w:t>
      </w:r>
      <w:r>
        <w:rPr>
          <w:rFonts w:ascii="Times New Roman" w:hAnsi="Times New Roman" w:eastAsia="宋体"/>
          <w:strike w:val="0"/>
          <w:dstrike w:val="0"/>
          <w:color w:val="auto"/>
          <w:highlight w:val="none"/>
        </w:rPr>
        <w:t>产生的臭气对周围环境的影响，主要特征污染物有NH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S，环评中重点关注运营期养殖圈舍产生的NH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S的排放情况，分析本项目建成后，运营期对项目区的影响程度</w:t>
      </w:r>
      <w:r>
        <w:rPr>
          <w:rFonts w:hint="eastAsia" w:ascii="Times New Roman" w:hAnsi="Times New Roman" w:eastAsia="宋体"/>
          <w:strike w:val="0"/>
          <w:dstrike w:val="0"/>
          <w:color w:val="auto"/>
          <w:highlight w:val="none"/>
          <w:lang w:eastAsia="zh-CN"/>
        </w:rPr>
        <w:t>。</w:t>
      </w:r>
    </w:p>
    <w:p w14:paraId="4344135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水环境：运营期污水排放去向及对周边水环境的影响；</w:t>
      </w:r>
    </w:p>
    <w:p w14:paraId="3D20FA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（3）</w:t>
      </w:r>
      <w:r>
        <w:rPr>
          <w:rFonts w:ascii="Times New Roman" w:hAnsi="Times New Roman" w:eastAsia="宋体"/>
          <w:strike w:val="0"/>
          <w:dstrike w:val="0"/>
          <w:color w:val="auto"/>
          <w:highlight w:val="none"/>
        </w:rPr>
        <w:t>固体废物：运营期粪污、病死</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分娩废弃物（胎衣、死胎、胎盘附属物）、废弃包装物、生活垃圾、医疗废物</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黑膜池污泥</w:t>
      </w:r>
      <w:r>
        <w:rPr>
          <w:rFonts w:ascii="Times New Roman" w:hAnsi="Times New Roman" w:eastAsia="宋体"/>
          <w:strike w:val="0"/>
          <w:dstrike w:val="0"/>
          <w:color w:val="auto"/>
          <w:highlight w:val="none"/>
        </w:rPr>
        <w:t>等固体废弃物的处置合理性及其对周边环境的影响</w:t>
      </w:r>
      <w:r>
        <w:rPr>
          <w:rFonts w:hint="eastAsia" w:ascii="Times New Roman" w:hAnsi="Times New Roman" w:eastAsia="宋体"/>
          <w:strike w:val="0"/>
          <w:dstrike w:val="0"/>
          <w:color w:val="auto"/>
          <w:highlight w:val="none"/>
          <w:lang w:eastAsia="zh-CN"/>
        </w:rPr>
        <w:t>。</w:t>
      </w:r>
    </w:p>
    <w:p w14:paraId="4B5DC4EA">
      <w:pPr>
        <w:pStyle w:val="3"/>
        <w:rPr>
          <w:rFonts w:ascii="Times New Roman" w:hAnsi="Times New Roman" w:eastAsia="宋体"/>
          <w:strike w:val="0"/>
          <w:dstrike w:val="0"/>
          <w:color w:val="auto"/>
          <w:highlight w:val="none"/>
        </w:rPr>
      </w:pPr>
      <w:bookmarkStart w:id="22" w:name="_Toc18623"/>
      <w:bookmarkStart w:id="23" w:name="_Toc89619322"/>
      <w:r>
        <w:rPr>
          <w:rFonts w:hint="eastAsia" w:ascii="Times New Roman" w:hAnsi="Times New Roman" w:eastAsia="宋体"/>
          <w:strike w:val="0"/>
          <w:dstrike w:val="0"/>
          <w:color w:val="auto"/>
          <w:highlight w:val="none"/>
        </w:rPr>
        <w:t>1.5环评报告书的主要结论</w:t>
      </w:r>
      <w:bookmarkEnd w:id="22"/>
      <w:bookmarkEnd w:id="23"/>
    </w:p>
    <w:p w14:paraId="677BC80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本项目为养殖类项目，属于《</w:t>
      </w:r>
      <w:r>
        <w:rPr>
          <w:rFonts w:hint="eastAsia" w:ascii="Times New Roman" w:hAnsi="Times New Roman" w:eastAsia="宋体"/>
          <w:strike w:val="0"/>
          <w:dstrike w:val="0"/>
          <w:color w:val="auto"/>
          <w:highlight w:val="none"/>
          <w:lang w:eastAsia="zh-CN"/>
        </w:rPr>
        <w:t>产业结构调整指导目录（2024年本）</w:t>
      </w:r>
      <w:r>
        <w:rPr>
          <w:rFonts w:ascii="Times New Roman" w:hAnsi="Times New Roman" w:eastAsia="宋体"/>
          <w:strike w:val="0"/>
          <w:dstrike w:val="0"/>
          <w:color w:val="auto"/>
          <w:highlight w:val="none"/>
        </w:rPr>
        <w:t>》中的鼓励类项目，符合国家产业政策要求</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本工程建成投产后，</w:t>
      </w:r>
      <w:r>
        <w:rPr>
          <w:rFonts w:hint="eastAsia" w:ascii="Times New Roman" w:hAnsi="Times New Roman" w:eastAsia="宋体"/>
          <w:strike w:val="0"/>
          <w:dstrike w:val="0"/>
          <w:color w:val="auto"/>
          <w:highlight w:val="none"/>
          <w:lang w:val="en-US" w:eastAsia="zh-CN"/>
        </w:rPr>
        <w:t>生活污水和生产废水经地下排污管道自流至舍外黑膜池，发酵处理后用于项目区周边林带施肥</w:t>
      </w:r>
      <w:r>
        <w:rPr>
          <w:rFonts w:ascii="Times New Roman" w:hAnsi="Times New Roman" w:eastAsia="宋体"/>
          <w:strike w:val="0"/>
          <w:dstrike w:val="0"/>
          <w:color w:val="auto"/>
          <w:highlight w:val="none"/>
        </w:rPr>
        <w:t>、固废合理处置，</w:t>
      </w:r>
      <w:r>
        <w:rPr>
          <w:rFonts w:hint="eastAsia" w:ascii="Times New Roman" w:hAnsi="Times New Roman" w:eastAsia="宋体"/>
          <w:strike w:val="0"/>
          <w:dstrike w:val="0"/>
          <w:color w:val="auto"/>
          <w:highlight w:val="none"/>
          <w:lang w:val="en-US" w:eastAsia="zh-CN"/>
        </w:rPr>
        <w:t>骆驼粪便定期清运至堆肥场，经过处理后作为有机肥外售</w:t>
      </w:r>
      <w:r>
        <w:rPr>
          <w:rFonts w:ascii="Times New Roman" w:hAnsi="Times New Roman" w:eastAsia="宋体"/>
          <w:strike w:val="0"/>
          <w:dstrike w:val="0"/>
          <w:color w:val="auto"/>
          <w:highlight w:val="none"/>
        </w:rPr>
        <w:t>，把污染物转变为经济优势和产品优势，有利于</w:t>
      </w:r>
      <w:r>
        <w:rPr>
          <w:rFonts w:hint="eastAsia" w:ascii="Times New Roman" w:hAnsi="Times New Roman" w:eastAsia="宋体"/>
          <w:strike w:val="0"/>
          <w:dstrike w:val="0"/>
          <w:color w:val="auto"/>
          <w:highlight w:val="none"/>
          <w:lang w:eastAsia="zh-CN"/>
        </w:rPr>
        <w:t>木垒县</w:t>
      </w:r>
      <w:r>
        <w:rPr>
          <w:rFonts w:ascii="Times New Roman" w:hAnsi="Times New Roman" w:eastAsia="宋体"/>
          <w:strike w:val="0"/>
          <w:dstrike w:val="0"/>
          <w:color w:val="auto"/>
          <w:highlight w:val="none"/>
        </w:rPr>
        <w:t>发展经济的同时，还促进了地方养殖业的蓬勃发展，为社会稳定和解决</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问题做出良好贡献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工程具有很好的环境效益和社会效益，场区布置合理，工程主要采取的环境保护措施较为可行，污染物能够实现达标排放，饲养工艺先进，总体清洁水平良好，通过采取报告书中提出的各项环境保护措施，项目对环境的影响可降低到当地环境能够容许的程度，不会对周围环境产生明显影响和环境质量功能的改变</w:t>
      </w:r>
      <w:r>
        <w:rPr>
          <w:rFonts w:hint="eastAsia" w:ascii="Times New Roman" w:hAnsi="Times New Roman" w:eastAsia="宋体"/>
          <w:strike w:val="0"/>
          <w:dstrike w:val="0"/>
          <w:color w:val="auto"/>
          <w:highlight w:val="none"/>
          <w:lang w:eastAsia="zh-CN"/>
        </w:rPr>
        <w:t>。</w:t>
      </w:r>
    </w:p>
    <w:p w14:paraId="5D3F835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综上所述，本项目符合国家的产业政策导向，选址合理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只要有效实施本环评报告所提出的有关防治措施，保证废弃物资源化利用，对周围环境影响较小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因此，从环保角度来讲，本建设项目实施是可行的</w:t>
      </w:r>
      <w:r>
        <w:rPr>
          <w:rFonts w:hint="eastAsia" w:ascii="Times New Roman" w:hAnsi="Times New Roman" w:eastAsia="宋体"/>
          <w:strike w:val="0"/>
          <w:dstrike w:val="0"/>
          <w:color w:val="auto"/>
          <w:highlight w:val="none"/>
          <w:lang w:eastAsia="zh-CN"/>
        </w:rPr>
        <w:t>。</w:t>
      </w:r>
    </w:p>
    <w:p w14:paraId="573FDADF">
      <w:pPr>
        <w:ind w:firstLine="480"/>
        <w:rPr>
          <w:rFonts w:ascii="Times New Roman" w:hAnsi="Times New Roman" w:eastAsia="宋体"/>
          <w:strike w:val="0"/>
          <w:dstrike w:val="0"/>
          <w:color w:val="auto"/>
          <w:highlight w:val="none"/>
        </w:rPr>
      </w:pPr>
    </w:p>
    <w:p w14:paraId="6EC6BA48">
      <w:pPr>
        <w:ind w:firstLine="480"/>
        <w:rPr>
          <w:rFonts w:ascii="Times New Roman" w:hAnsi="Times New Roman" w:eastAsia="宋体"/>
          <w:strike w:val="0"/>
          <w:dstrike w:val="0"/>
          <w:color w:val="auto"/>
          <w:highlight w:val="none"/>
        </w:rPr>
        <w:sectPr>
          <w:footerReference r:id="rId13" w:type="first"/>
          <w:footerReference r:id="rId11" w:type="default"/>
          <w:footerReference r:id="rId12" w:type="even"/>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titlePg/>
          <w:docGrid w:type="lines" w:linePitch="326" w:charSpace="0"/>
        </w:sectPr>
      </w:pPr>
    </w:p>
    <w:p w14:paraId="41523284">
      <w:pPr>
        <w:pStyle w:val="2"/>
        <w:rPr>
          <w:rFonts w:ascii="Times New Roman" w:hAnsi="Times New Roman" w:eastAsia="宋体"/>
          <w:strike w:val="0"/>
          <w:dstrike w:val="0"/>
          <w:color w:val="auto"/>
          <w:highlight w:val="none"/>
        </w:rPr>
      </w:pPr>
      <w:bookmarkStart w:id="24" w:name="_Toc89619323"/>
      <w:bookmarkStart w:id="25" w:name="_Toc71394703"/>
      <w:bookmarkStart w:id="26" w:name="_Toc9363"/>
      <w:r>
        <w:rPr>
          <w:rFonts w:hint="eastAsia" w:ascii="Times New Roman" w:hAnsi="Times New Roman" w:eastAsia="宋体"/>
          <w:strike w:val="0"/>
          <w:dstrike w:val="0"/>
          <w:color w:val="auto"/>
          <w:highlight w:val="none"/>
        </w:rPr>
        <w:t>2、总论</w:t>
      </w:r>
      <w:bookmarkEnd w:id="24"/>
      <w:bookmarkEnd w:id="25"/>
      <w:bookmarkEnd w:id="26"/>
    </w:p>
    <w:p w14:paraId="29D92BB1">
      <w:pPr>
        <w:pStyle w:val="3"/>
        <w:rPr>
          <w:rFonts w:ascii="Times New Roman" w:hAnsi="Times New Roman" w:eastAsia="宋体"/>
          <w:strike w:val="0"/>
          <w:dstrike w:val="0"/>
          <w:color w:val="auto"/>
          <w:highlight w:val="none"/>
        </w:rPr>
      </w:pPr>
      <w:bookmarkStart w:id="27" w:name="_Toc89619324"/>
      <w:bookmarkStart w:id="28" w:name="_Toc24450"/>
      <w:bookmarkStart w:id="29" w:name="_Toc71394704"/>
      <w:r>
        <w:rPr>
          <w:rFonts w:hint="eastAsia" w:ascii="Times New Roman" w:hAnsi="Times New Roman" w:eastAsia="宋体"/>
          <w:strike w:val="0"/>
          <w:dstrike w:val="0"/>
          <w:color w:val="auto"/>
          <w:highlight w:val="none"/>
        </w:rPr>
        <w:t>2.1编制依据</w:t>
      </w:r>
      <w:bookmarkEnd w:id="27"/>
      <w:bookmarkEnd w:id="28"/>
      <w:bookmarkEnd w:id="29"/>
    </w:p>
    <w:p w14:paraId="54B68098">
      <w:pPr>
        <w:pStyle w:val="4"/>
        <w:rPr>
          <w:rFonts w:ascii="Times New Roman" w:hAnsi="Times New Roman" w:eastAsia="宋体"/>
          <w:strike w:val="0"/>
          <w:dstrike w:val="0"/>
          <w:color w:val="auto"/>
          <w:highlight w:val="none"/>
        </w:rPr>
      </w:pPr>
      <w:bookmarkStart w:id="30" w:name="_Toc801"/>
      <w:bookmarkStart w:id="31" w:name="_Toc106663422"/>
      <w:r>
        <w:rPr>
          <w:rFonts w:hint="eastAsia" w:ascii="Times New Roman" w:hAnsi="Times New Roman" w:eastAsia="宋体"/>
          <w:strike w:val="0"/>
          <w:dstrike w:val="0"/>
          <w:color w:val="auto"/>
          <w:highlight w:val="none"/>
        </w:rPr>
        <w:t>2.1.1国家法律、法规</w:t>
      </w:r>
      <w:bookmarkEnd w:id="30"/>
      <w:bookmarkEnd w:id="31"/>
    </w:p>
    <w:p w14:paraId="3F24561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（1）《中华人民共和国环境保护法》（2015.01.01）；</w:t>
      </w:r>
    </w:p>
    <w:p w14:paraId="574CAB1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（2）《中华人民共和国环境影响评价法》（2018.12.29）；</w:t>
      </w:r>
    </w:p>
    <w:p w14:paraId="6C54B63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（3）《中华人民共和国大气污染防治法》（2018.12.29修正）；</w:t>
      </w:r>
    </w:p>
    <w:p w14:paraId="47BD211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（4）《中华人民共和国水污染防治法》（2018.01.01）；</w:t>
      </w:r>
    </w:p>
    <w:p w14:paraId="0D5530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（5）《中华人民共和国环境噪声污染防治法》（202</w:t>
      </w:r>
      <w:r>
        <w:rPr>
          <w:rFonts w:hint="eastAsia" w:ascii="Times New Roman" w:hAnsi="Times New Roman" w:eastAsia="宋体"/>
          <w:strike w:val="0"/>
          <w:dstrike w:val="0"/>
          <w:color w:val="auto"/>
          <w:highlight w:val="none"/>
          <w:lang w:val="en-US" w:eastAsia="zh-CN"/>
        </w:rPr>
        <w:t>2.6.5</w:t>
      </w:r>
      <w:r>
        <w:rPr>
          <w:rFonts w:hint="eastAsia" w:ascii="Times New Roman" w:hAnsi="Times New Roman" w:eastAsia="宋体"/>
          <w:strike w:val="0"/>
          <w:dstrike w:val="0"/>
          <w:color w:val="auto"/>
          <w:highlight w:val="none"/>
        </w:rPr>
        <w:t>）；</w:t>
      </w:r>
    </w:p>
    <w:p w14:paraId="6197D45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（6）《中华人民共和国固体废物污染环境防治法》（2020.4.29）；</w:t>
      </w:r>
    </w:p>
    <w:p w14:paraId="5ABEB1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（7）《中华人民共和国土壤污染防治法》（2019.01.01）；</w:t>
      </w:r>
    </w:p>
    <w:p w14:paraId="1BE4DF4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（8）《中华人民共和国水法（2016年修订）》（2016.09.01）；</w:t>
      </w:r>
    </w:p>
    <w:p w14:paraId="5080F24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（9）《中华人民共和国水土保持法（2010年修订）》（2011.03.01）；</w:t>
      </w:r>
    </w:p>
    <w:p w14:paraId="0754F89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（10）《中华人民共和国清洁生产促进法》（2012.07.01）；</w:t>
      </w:r>
    </w:p>
    <w:p w14:paraId="0BB8E17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（11）《中华人民共和国节约能源法》（2018年10月修订）；</w:t>
      </w:r>
    </w:p>
    <w:p w14:paraId="66B4D1C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（12）《中华人民共和国循环经济促进法》（2018年10月修订）；</w:t>
      </w:r>
    </w:p>
    <w:p w14:paraId="06EF738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（13）《建设项目环境保护管理条例》（国务院令第682号，2017.10.1）；</w:t>
      </w:r>
    </w:p>
    <w:p w14:paraId="6C975B6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（14）《中华人民共和国畜牧法（修订）》（20</w:t>
      </w:r>
      <w:r>
        <w:rPr>
          <w:rFonts w:hint="eastAsia" w:ascii="Times New Roman" w:hAnsi="Times New Roman" w:eastAsia="宋体"/>
          <w:strike w:val="0"/>
          <w:dstrike w:val="0"/>
          <w:color w:val="auto"/>
          <w:highlight w:val="none"/>
          <w:lang w:val="en-US" w:eastAsia="zh-CN"/>
        </w:rPr>
        <w:t>23</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日）；</w:t>
      </w:r>
    </w:p>
    <w:p w14:paraId="5C7547E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（15）《中华人民共和国动物防疫法（修订）》（20</w:t>
      </w:r>
      <w:r>
        <w:rPr>
          <w:rFonts w:hint="eastAsia" w:ascii="Times New Roman" w:hAnsi="Times New Roman" w:eastAsia="宋体"/>
          <w:strike w:val="0"/>
          <w:dstrike w:val="0"/>
          <w:color w:val="auto"/>
          <w:highlight w:val="none"/>
          <w:lang w:val="en-US" w:eastAsia="zh-CN"/>
        </w:rPr>
        <w:t>21</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22</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修订</w:t>
      </w:r>
      <w:r>
        <w:rPr>
          <w:rFonts w:hint="eastAsia" w:ascii="Times New Roman" w:hAnsi="Times New Roman" w:eastAsia="宋体"/>
          <w:strike w:val="0"/>
          <w:dstrike w:val="0"/>
          <w:color w:val="auto"/>
          <w:highlight w:val="none"/>
        </w:rPr>
        <w:t>）；</w:t>
      </w:r>
    </w:p>
    <w:p w14:paraId="79A3226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（16）《畜禽规模养殖污染防治条例》（20</w:t>
      </w:r>
      <w:r>
        <w:rPr>
          <w:rFonts w:hint="eastAsia" w:ascii="Times New Roman" w:hAnsi="Times New Roman" w:eastAsia="宋体"/>
          <w:strike w:val="0"/>
          <w:dstrike w:val="0"/>
          <w:color w:val="auto"/>
          <w:highlight w:val="none"/>
          <w:lang w:val="en-US" w:eastAsia="zh-CN"/>
        </w:rPr>
        <w:t>14</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p>
    <w:p w14:paraId="788687DE">
      <w:pPr>
        <w:pStyle w:val="4"/>
        <w:rPr>
          <w:rFonts w:ascii="Times New Roman" w:hAnsi="Times New Roman" w:eastAsia="宋体"/>
          <w:strike w:val="0"/>
          <w:dstrike w:val="0"/>
          <w:color w:val="auto"/>
          <w:highlight w:val="none"/>
        </w:rPr>
      </w:pPr>
      <w:bookmarkStart w:id="32" w:name="_Toc7153"/>
      <w:bookmarkStart w:id="33" w:name="_Toc106663423"/>
      <w:r>
        <w:rPr>
          <w:rFonts w:hint="eastAsia" w:ascii="Times New Roman" w:hAnsi="Times New Roman" w:eastAsia="宋体"/>
          <w:strike w:val="0"/>
          <w:dstrike w:val="0"/>
          <w:color w:val="auto"/>
          <w:highlight w:val="none"/>
        </w:rPr>
        <w:t>2.1.2部门规章</w:t>
      </w:r>
      <w:bookmarkEnd w:id="32"/>
      <w:bookmarkEnd w:id="33"/>
    </w:p>
    <w:p w14:paraId="5D50583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（1）《建设项目环境影响评价分类管理名录》（2021年版）；</w:t>
      </w:r>
    </w:p>
    <w:p w14:paraId="1D3358D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）关于印发《企业事业单位突发环境事件应急预案备案管理办法（试行）》的通知（环发〔2015〕4号，2015.1.8）；</w:t>
      </w:r>
    </w:p>
    <w:p w14:paraId="7DCDF0D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）《资源综合利用企业所得税优惠目录（2024年版）》；</w:t>
      </w:r>
    </w:p>
    <w:p w14:paraId="510E30B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产业结构调整指导目录（</w:t>
      </w:r>
      <w:r>
        <w:rPr>
          <w:rFonts w:hint="eastAsia" w:ascii="Times New Roman" w:hAnsi="Times New Roman" w:eastAsia="宋体"/>
          <w:strike w:val="0"/>
          <w:dstrike w:val="0"/>
          <w:color w:val="auto"/>
          <w:highlight w:val="none"/>
          <w:lang w:val="en-US" w:eastAsia="zh-CN"/>
        </w:rPr>
        <w:t>2024</w:t>
      </w:r>
      <w:r>
        <w:rPr>
          <w:rFonts w:hint="eastAsia" w:ascii="Times New Roman" w:hAnsi="Times New Roman" w:eastAsia="宋体"/>
          <w:strike w:val="0"/>
          <w:dstrike w:val="0"/>
          <w:color w:val="auto"/>
          <w:highlight w:val="none"/>
          <w:lang w:eastAsia="zh-CN"/>
        </w:rPr>
        <w:t>年本）</w:t>
      </w:r>
      <w:r>
        <w:rPr>
          <w:rFonts w:hint="eastAsia" w:ascii="Times New Roman" w:hAnsi="Times New Roman" w:eastAsia="宋体"/>
          <w:strike w:val="0"/>
          <w:dstrike w:val="0"/>
          <w:color w:val="auto"/>
          <w:highlight w:val="none"/>
        </w:rPr>
        <w:t>》；</w:t>
      </w:r>
    </w:p>
    <w:p w14:paraId="40134CA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）《自然资源要素支撑产业高质量发展指导目录（2024 年本）》；</w:t>
      </w:r>
    </w:p>
    <w:p w14:paraId="53B13E3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）《关于进一步加强环境影响评价管理防范环境风险的通知》（环发〔2012〕77号，2012.07.03）；</w:t>
      </w:r>
    </w:p>
    <w:p w14:paraId="099A340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）《关于切实加强风险防范严格环境影响评价管理的通知》（环发〔2012〕98号，2012.08.07）；</w:t>
      </w:r>
    </w:p>
    <w:p w14:paraId="2FDA30D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）《国务院关于印发大气污染防治行动计划的通知》（国发〔2013〕37号，2013.09.10）；</w:t>
      </w:r>
    </w:p>
    <w:p w14:paraId="4FF4458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）《环境保护公众参与办法》（环境保护部第35号令，2015.09.01）；</w:t>
      </w:r>
    </w:p>
    <w:p w14:paraId="490C640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0</w:t>
      </w:r>
      <w:r>
        <w:rPr>
          <w:rFonts w:hint="eastAsia" w:ascii="Times New Roman" w:hAnsi="Times New Roman" w:eastAsia="宋体"/>
          <w:strike w:val="0"/>
          <w:dstrike w:val="0"/>
          <w:color w:val="auto"/>
          <w:highlight w:val="none"/>
        </w:rPr>
        <w:t>）《关于加强西部地区环境影响评价工作的通知》（环发〔2011〕150号，2011.12.29）；</w:t>
      </w:r>
    </w:p>
    <w:p w14:paraId="7E01625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）《国务院关于印发水污染防治行动计划的通知》（国发〔2015〕17号，2015.04.02）；</w:t>
      </w:r>
    </w:p>
    <w:p w14:paraId="40F47E2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）《国务院办公厅关于加快推进畜禽养殖废弃物资源化利用的意见》（2017年6月）；</w:t>
      </w:r>
    </w:p>
    <w:p w14:paraId="12C54B2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）《关于在畜禽养殖废弃物资源化利用过程中加强环境监管的通知》（2017年9月6日）；</w:t>
      </w:r>
    </w:p>
    <w:p w14:paraId="5C4F1C8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）《畜禽养殖禁养区划定技术指南》（2016年10月）；</w:t>
      </w:r>
    </w:p>
    <w:p w14:paraId="2B3876A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）《关于落实大气污染防治行动计划严格环境影响评价准入的通知》（环办〔2014〕30号，2014.03.25）；</w:t>
      </w:r>
    </w:p>
    <w:p w14:paraId="010169C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）《国务院关于印发土壤污染防治行动计划的通知》（国发〔2016〕31号，2016.5.28）；</w:t>
      </w:r>
    </w:p>
    <w:p w14:paraId="417B714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）《关于做好畜禽规模养殖项目环境影响评价管理工作的通知》（环办环评</w:t>
      </w:r>
      <w:r>
        <w:rPr>
          <w:rFonts w:hint="eastAsia" w:ascii="Times New Roman" w:hAnsi="Times New Roman" w:eastAsia="宋体"/>
          <w:strike w:val="0"/>
          <w:dstrike w:val="0"/>
          <w:color w:val="auto"/>
          <w:highlight w:val="none"/>
          <w:lang w:eastAsia="zh-CN"/>
        </w:rPr>
        <w:t>〔2018〕31号，</w:t>
      </w:r>
      <w:r>
        <w:rPr>
          <w:rFonts w:hint="eastAsia" w:ascii="Times New Roman" w:hAnsi="Times New Roman" w:eastAsia="宋体"/>
          <w:strike w:val="0"/>
          <w:dstrike w:val="0"/>
          <w:color w:val="auto"/>
          <w:highlight w:val="none"/>
        </w:rPr>
        <w:t>2018年10月12日）；</w:t>
      </w:r>
    </w:p>
    <w:p w14:paraId="4870ED0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）《国家突发事件总体应急预案》（2025.2.25）；</w:t>
      </w:r>
    </w:p>
    <w:p w14:paraId="51CC9B5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19</w:t>
      </w:r>
      <w:r>
        <w:rPr>
          <w:rFonts w:hint="eastAsia" w:ascii="Times New Roman" w:hAnsi="Times New Roman" w:eastAsia="宋体"/>
          <w:strike w:val="0"/>
          <w:dstrike w:val="0"/>
          <w:color w:val="auto"/>
          <w:highlight w:val="none"/>
        </w:rPr>
        <w:t>）《关于病害动物无害化处理有关意见的复函》（环办函</w:t>
      </w:r>
      <w:r>
        <w:rPr>
          <w:rFonts w:hint="eastAsia" w:ascii="Times New Roman" w:hAnsi="Times New Roman" w:eastAsia="宋体"/>
          <w:strike w:val="0"/>
          <w:dstrike w:val="0"/>
          <w:color w:val="auto"/>
          <w:highlight w:val="none"/>
          <w:lang w:eastAsia="zh-CN"/>
        </w:rPr>
        <w:t>〔2014〕</w:t>
      </w:r>
      <w:r>
        <w:rPr>
          <w:rFonts w:hint="eastAsia" w:ascii="Times New Roman" w:hAnsi="Times New Roman" w:eastAsia="宋体"/>
          <w:strike w:val="0"/>
          <w:dstrike w:val="0"/>
          <w:color w:val="auto"/>
          <w:highlight w:val="none"/>
        </w:rPr>
        <w:t>789</w:t>
      </w:r>
    </w:p>
    <w:p w14:paraId="648B3C0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号）（2014年6月）；</w:t>
      </w:r>
    </w:p>
    <w:p w14:paraId="2D49182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20</w:t>
      </w:r>
      <w:r>
        <w:rPr>
          <w:rFonts w:hint="eastAsia" w:ascii="Times New Roman" w:hAnsi="Times New Roman" w:eastAsia="宋体"/>
          <w:strike w:val="0"/>
          <w:dstrike w:val="0"/>
          <w:color w:val="auto"/>
          <w:highlight w:val="none"/>
        </w:rPr>
        <w:t>）《关于病死及病害动物无害化处理技术规范》（农医发</w:t>
      </w:r>
      <w:r>
        <w:rPr>
          <w:rFonts w:hint="eastAsia" w:ascii="Times New Roman" w:hAnsi="Times New Roman" w:eastAsia="宋体"/>
          <w:strike w:val="0"/>
          <w:dstrike w:val="0"/>
          <w:color w:val="auto"/>
          <w:highlight w:val="none"/>
          <w:lang w:eastAsia="zh-CN"/>
        </w:rPr>
        <w:t>〔2017〕</w:t>
      </w:r>
      <w:r>
        <w:rPr>
          <w:rFonts w:hint="eastAsia" w:ascii="Times New Roman" w:hAnsi="Times New Roman" w:eastAsia="宋体"/>
          <w:strike w:val="0"/>
          <w:dstrike w:val="0"/>
          <w:color w:val="auto"/>
          <w:highlight w:val="none"/>
        </w:rPr>
        <w:t>25</w:t>
      </w:r>
    </w:p>
    <w:p w14:paraId="780F808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号）（2017年7月3日）；</w:t>
      </w:r>
    </w:p>
    <w:p w14:paraId="6CF9862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）《国家危险废物名录》（202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年版）；</w:t>
      </w:r>
    </w:p>
    <w:p w14:paraId="243AF81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）《关于印发&lt;关于强化畜禽养殖废弃物综合治理的指导意见&gt;的通知》，（新畜牧字</w:t>
      </w:r>
      <w:r>
        <w:rPr>
          <w:rFonts w:hint="eastAsia" w:ascii="Times New Roman" w:hAnsi="Times New Roman" w:eastAsia="宋体"/>
          <w:strike w:val="0"/>
          <w:dstrike w:val="0"/>
          <w:color w:val="auto"/>
          <w:highlight w:val="none"/>
          <w:lang w:eastAsia="zh-CN"/>
        </w:rPr>
        <w:t>〔2016〕</w:t>
      </w:r>
      <w:r>
        <w:rPr>
          <w:rFonts w:hint="eastAsia" w:ascii="Times New Roman" w:hAnsi="Times New Roman" w:eastAsia="宋体"/>
          <w:strike w:val="0"/>
          <w:dstrike w:val="0"/>
          <w:color w:val="auto"/>
          <w:highlight w:val="none"/>
        </w:rPr>
        <w:t>50号）；</w:t>
      </w:r>
    </w:p>
    <w:p w14:paraId="4B8763A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）《建设项目环境影响评价信息公开机制方案》（环发〔2015〕162号）；</w:t>
      </w:r>
    </w:p>
    <w:p w14:paraId="0BA9375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）《控制污染物排放许可制实施方案》（国办发〔2016〕81号，2016.11.10）；</w:t>
      </w:r>
    </w:p>
    <w:p w14:paraId="20E9D12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r>
        <w:rPr>
          <w:rFonts w:ascii="Times New Roman" w:hAnsi="Times New Roman" w:eastAsia="宋体"/>
          <w:color w:val="auto"/>
        </w:rPr>
        <w:t>《排污许可管理办法（试行）》</w:t>
      </w:r>
      <w:r>
        <w:rPr>
          <w:rFonts w:hint="eastAsia" w:ascii="Times New Roman" w:hAnsi="Times New Roman" w:eastAsia="宋体"/>
          <w:color w:val="auto"/>
          <w:lang w:eastAsia="zh-CN"/>
        </w:rPr>
        <w:t>（</w:t>
      </w:r>
      <w:r>
        <w:rPr>
          <w:rFonts w:hint="eastAsia" w:ascii="Times New Roman" w:hAnsi="Times New Roman" w:eastAsia="宋体"/>
          <w:color w:val="auto"/>
        </w:rPr>
        <w:t xml:space="preserve">部令第 </w:t>
      </w:r>
      <w:r>
        <w:rPr>
          <w:rFonts w:hint="eastAsia" w:ascii="Times New Roman" w:hAnsi="Times New Roman" w:eastAsia="宋体"/>
          <w:color w:val="auto"/>
          <w:lang w:val="en-US" w:eastAsia="zh-CN"/>
        </w:rPr>
        <w:t>32</w:t>
      </w:r>
      <w:r>
        <w:rPr>
          <w:rFonts w:hint="eastAsia" w:ascii="Times New Roman" w:hAnsi="Times New Roman" w:eastAsia="宋体"/>
          <w:color w:val="auto"/>
        </w:rPr>
        <w:t xml:space="preserve"> 号，20</w:t>
      </w:r>
      <w:r>
        <w:rPr>
          <w:rFonts w:hint="eastAsia" w:ascii="Times New Roman" w:hAnsi="Times New Roman" w:eastAsia="宋体"/>
          <w:color w:val="auto"/>
          <w:lang w:val="en-US" w:eastAsia="zh-CN"/>
        </w:rPr>
        <w:t>24</w:t>
      </w:r>
      <w:r>
        <w:rPr>
          <w:rFonts w:hint="eastAsia" w:ascii="Times New Roman" w:hAnsi="Times New Roman" w:eastAsia="宋体"/>
          <w:color w:val="auto"/>
        </w:rPr>
        <w:t xml:space="preserve"> 年</w:t>
      </w:r>
      <w:r>
        <w:rPr>
          <w:rFonts w:hint="eastAsia" w:ascii="Times New Roman" w:hAnsi="Times New Roman" w:eastAsia="宋体"/>
          <w:color w:val="auto"/>
          <w:lang w:eastAsia="zh-CN"/>
        </w:rPr>
        <w:t>）</w:t>
      </w:r>
      <w:r>
        <w:rPr>
          <w:rFonts w:hint="eastAsia" w:ascii="Times New Roman" w:hAnsi="Times New Roman" w:eastAsia="宋体"/>
          <w:strike w:val="0"/>
          <w:dstrike w:val="0"/>
          <w:color w:val="auto"/>
          <w:highlight w:val="none"/>
        </w:rPr>
        <w:t>；</w:t>
      </w:r>
    </w:p>
    <w:p w14:paraId="7B70B33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）《危险废物转移管理办法》部令第 23 号，2022-01-01</w:t>
      </w:r>
      <w:r>
        <w:rPr>
          <w:rFonts w:hint="eastAsia" w:ascii="Times New Roman" w:hAnsi="Times New Roman" w:eastAsia="宋体"/>
          <w:strike w:val="0"/>
          <w:dstrike w:val="0"/>
          <w:color w:val="auto"/>
          <w:highlight w:val="none"/>
          <w:lang w:eastAsia="zh-CN"/>
        </w:rPr>
        <w:t>。</w:t>
      </w:r>
    </w:p>
    <w:p w14:paraId="3265911C">
      <w:pPr>
        <w:pStyle w:val="4"/>
        <w:rPr>
          <w:rFonts w:ascii="Times New Roman" w:hAnsi="Times New Roman" w:eastAsia="宋体"/>
          <w:strike w:val="0"/>
          <w:dstrike w:val="0"/>
          <w:color w:val="auto"/>
          <w:highlight w:val="none"/>
        </w:rPr>
      </w:pPr>
      <w:bookmarkStart w:id="34" w:name="_Toc936"/>
      <w:bookmarkStart w:id="35" w:name="_Toc106663424"/>
      <w:r>
        <w:rPr>
          <w:rFonts w:hint="eastAsia" w:ascii="Times New Roman" w:hAnsi="Times New Roman" w:eastAsia="宋体"/>
          <w:strike w:val="0"/>
          <w:dstrike w:val="0"/>
          <w:color w:val="auto"/>
          <w:highlight w:val="none"/>
        </w:rPr>
        <w:t>2.1.3地方法规及政策</w:t>
      </w:r>
      <w:bookmarkEnd w:id="34"/>
      <w:bookmarkEnd w:id="35"/>
    </w:p>
    <w:p w14:paraId="31D2B0E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（1）《新疆维吾尔自治区环境保护条例》（2019.01.01）；</w:t>
      </w:r>
    </w:p>
    <w:p w14:paraId="52A70D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（2）《新疆维吾尔自治区危险废物污染环境防治办法》（第11届人大第9次会议，2010.05.01）；</w:t>
      </w:r>
    </w:p>
    <w:p w14:paraId="25C957E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（3）《认真贯彻落实国务院关于做好建设节约型社会近期重点工作通知的实施意见》（新政发〔2005〕87号，2005.10.20）；</w:t>
      </w:r>
    </w:p>
    <w:p w14:paraId="32C152B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（4）转发贯彻落实《全国生态环境保护纲要》实施意见的通知（自治区人民政府办公厅，2009.09.30）；</w:t>
      </w:r>
    </w:p>
    <w:p w14:paraId="6CF7D73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（5）《关于印发新疆维吾尔自治区工业和生活用水定额的通知》（新政办发〔2007〕105号，2007.06.06）；</w:t>
      </w:r>
    </w:p>
    <w:p w14:paraId="73A840E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（6）《新疆维吾尔自治区畜禽养殖场、养殖小区备案管理办法》，新政办发〔2011〕55号，2011年4月29日；</w:t>
      </w:r>
    </w:p>
    <w:p w14:paraId="234E3F1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（7）《关于印发新疆维吾尔自治区水污染防治工作方案的通知》（新政发〔2016〕21号，2016.2.4）；</w:t>
      </w:r>
    </w:p>
    <w:p w14:paraId="0BD11A8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（8）《关于印发新疆维吾尔自治区土壤污染防治工作方案的通知》（新政发〔2017〕25号，2017.3.1）；</w:t>
      </w:r>
    </w:p>
    <w:p w14:paraId="25B7838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（9）《新疆维吾尔自治区人民政府关于全疆水土流失重点预防保护区、重点监督区、重点治理区划分的公告》（2000年10月31）；</w:t>
      </w:r>
    </w:p>
    <w:p w14:paraId="1E333D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（10）《新疆维吾尔自治区重点行业</w:t>
      </w:r>
      <w:r>
        <w:rPr>
          <w:rFonts w:hint="eastAsia" w:ascii="Times New Roman" w:hAnsi="Times New Roman" w:eastAsia="宋体"/>
          <w:strike w:val="0"/>
          <w:dstrike w:val="0"/>
          <w:color w:val="auto"/>
          <w:highlight w:val="none"/>
          <w:lang w:val="en-US" w:eastAsia="zh-CN"/>
        </w:rPr>
        <w:t>生态</w:t>
      </w:r>
      <w:r>
        <w:rPr>
          <w:rFonts w:hint="eastAsia" w:ascii="Times New Roman" w:hAnsi="Times New Roman" w:eastAsia="宋体"/>
          <w:strike w:val="0"/>
          <w:dstrike w:val="0"/>
          <w:color w:val="auto"/>
          <w:highlight w:val="none"/>
        </w:rPr>
        <w:t>环境准入条件》（</w:t>
      </w:r>
      <w:r>
        <w:rPr>
          <w:rFonts w:hint="eastAsia" w:ascii="Times New Roman" w:hAnsi="Times New Roman" w:eastAsia="宋体"/>
          <w:strike w:val="0"/>
          <w:dstrike w:val="0"/>
          <w:color w:val="auto"/>
          <w:highlight w:val="none"/>
          <w:lang w:val="en-US" w:eastAsia="zh-CN"/>
        </w:rPr>
        <w:t>2024年6月13日</w:t>
      </w:r>
      <w:r>
        <w:rPr>
          <w:rFonts w:hint="eastAsia" w:ascii="Times New Roman" w:hAnsi="Times New Roman" w:eastAsia="宋体"/>
          <w:strike w:val="0"/>
          <w:dstrike w:val="0"/>
          <w:color w:val="auto"/>
          <w:highlight w:val="none"/>
        </w:rPr>
        <w:t>）；</w:t>
      </w:r>
    </w:p>
    <w:p w14:paraId="711A09C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（11）《关于重点区域执行大气污染物特别排放限值的公告》（新疆环保厅公告2016年第45号）</w:t>
      </w:r>
      <w:r>
        <w:rPr>
          <w:rFonts w:hint="eastAsia" w:ascii="Times New Roman" w:hAnsi="Times New Roman" w:eastAsia="宋体"/>
          <w:strike w:val="0"/>
          <w:dstrike w:val="0"/>
          <w:color w:val="auto"/>
          <w:highlight w:val="none"/>
          <w:lang w:eastAsia="zh-CN"/>
        </w:rPr>
        <w:t>；</w:t>
      </w:r>
    </w:p>
    <w:p w14:paraId="085C66A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（12）《新疆维吾尔自治区突发环境事件应急预案编制导则（试行）》（新环发〔2014〕234号，2014.6.12）；</w:t>
      </w:r>
    </w:p>
    <w:p w14:paraId="4737509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（13）《关于印发自治区&lt;建设项目主要污染物总量指标确认办法（试行）&gt;的通知》（新疆环保厅，新环总量发〔2011〕86号，2011.3.8）；</w:t>
      </w:r>
    </w:p>
    <w:p w14:paraId="3FB642A5">
      <w:pPr>
        <w:pStyle w:val="4"/>
        <w:rPr>
          <w:rFonts w:ascii="Times New Roman" w:hAnsi="Times New Roman" w:eastAsia="宋体"/>
          <w:strike w:val="0"/>
          <w:dstrike w:val="0"/>
          <w:color w:val="auto"/>
          <w:highlight w:val="none"/>
        </w:rPr>
      </w:pPr>
      <w:bookmarkStart w:id="36" w:name="_Toc106663425"/>
      <w:bookmarkStart w:id="37" w:name="_Toc15998"/>
      <w:r>
        <w:rPr>
          <w:rFonts w:hint="eastAsia" w:ascii="Times New Roman" w:hAnsi="Times New Roman" w:eastAsia="宋体"/>
          <w:strike w:val="0"/>
          <w:dstrike w:val="0"/>
          <w:color w:val="auto"/>
          <w:highlight w:val="none"/>
        </w:rPr>
        <w:t>2.1.4相关规划</w:t>
      </w:r>
      <w:bookmarkEnd w:id="36"/>
      <w:bookmarkEnd w:id="37"/>
    </w:p>
    <w:p w14:paraId="2820BEF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）《新疆环境功能区划》；</w:t>
      </w:r>
    </w:p>
    <w:p w14:paraId="1C4C485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）《新疆生态功能区划》；</w:t>
      </w:r>
    </w:p>
    <w:p w14:paraId="6120CA0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）《新疆水环境功能区划》；</w:t>
      </w:r>
    </w:p>
    <w:p w14:paraId="2D2D5A9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）《新疆维吾尔自治区环境保护</w:t>
      </w:r>
      <w:r>
        <w:rPr>
          <w:rFonts w:hint="eastAsia" w:ascii="Times New Roman" w:hAnsi="Times New Roman" w:eastAsia="宋体"/>
          <w:strike w:val="0"/>
          <w:dstrike w:val="0"/>
          <w:color w:val="auto"/>
          <w:highlight w:val="none"/>
          <w:lang w:eastAsia="zh-CN"/>
        </w:rPr>
        <w:t>”十四五”</w:t>
      </w:r>
      <w:r>
        <w:rPr>
          <w:rFonts w:hint="eastAsia" w:ascii="Times New Roman" w:hAnsi="Times New Roman" w:eastAsia="宋体"/>
          <w:strike w:val="0"/>
          <w:dstrike w:val="0"/>
          <w:color w:val="auto"/>
          <w:highlight w:val="none"/>
        </w:rPr>
        <w:t>规划》；</w:t>
      </w:r>
    </w:p>
    <w:p w14:paraId="07BD44DF">
      <w:pPr>
        <w:pStyle w:val="4"/>
        <w:rPr>
          <w:rFonts w:ascii="Times New Roman" w:hAnsi="Times New Roman" w:eastAsia="宋体"/>
          <w:strike w:val="0"/>
          <w:dstrike w:val="0"/>
          <w:color w:val="auto"/>
          <w:highlight w:val="none"/>
        </w:rPr>
      </w:pPr>
      <w:bookmarkStart w:id="38" w:name="_Toc106663426"/>
      <w:bookmarkStart w:id="39" w:name="_Toc24253"/>
      <w:r>
        <w:rPr>
          <w:rFonts w:hint="eastAsia" w:ascii="Times New Roman" w:hAnsi="Times New Roman" w:eastAsia="宋体"/>
          <w:strike w:val="0"/>
          <w:dstrike w:val="0"/>
          <w:color w:val="auto"/>
          <w:highlight w:val="none"/>
        </w:rPr>
        <w:t>2.1.5环评编制要求</w:t>
      </w:r>
      <w:bookmarkEnd w:id="38"/>
      <w:bookmarkEnd w:id="39"/>
    </w:p>
    <w:p w14:paraId="4DBF1EC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（1）《关于加强西部地区环境影响评价工作的通知》（环发〔2011〕150号，2011.12.29）；</w:t>
      </w:r>
    </w:p>
    <w:p w14:paraId="333AAE3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（2）《环境影响评价公众参与办法（生态部令第4号）》（2018.7.16）；</w:t>
      </w:r>
    </w:p>
    <w:p w14:paraId="0098A9B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（3）《关于进一步加强环境影响评价管理防范环境风险的通知》（环发〔2012〕77号，2012.7.3）；</w:t>
      </w:r>
    </w:p>
    <w:p w14:paraId="5157650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（4）《关于切实加强风险防范严格环境影响评价管理的通知》（环发〔2012〕98号，2012.8.7）；</w:t>
      </w:r>
    </w:p>
    <w:p w14:paraId="69888A5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（5）《关于切实加强环境影响评价监督管理工作的通知》（环办〔2013〕104号，2013.11.15）</w:t>
      </w:r>
      <w:r>
        <w:rPr>
          <w:rFonts w:hint="eastAsia" w:ascii="Times New Roman" w:hAnsi="Times New Roman" w:eastAsia="宋体"/>
          <w:strike w:val="0"/>
          <w:dstrike w:val="0"/>
          <w:color w:val="auto"/>
          <w:highlight w:val="none"/>
          <w:lang w:eastAsia="zh-CN"/>
        </w:rPr>
        <w:t>。</w:t>
      </w:r>
    </w:p>
    <w:p w14:paraId="404B651F">
      <w:pPr>
        <w:pStyle w:val="4"/>
        <w:rPr>
          <w:rFonts w:ascii="Times New Roman" w:hAnsi="Times New Roman" w:eastAsia="宋体"/>
          <w:strike w:val="0"/>
          <w:dstrike w:val="0"/>
          <w:color w:val="auto"/>
          <w:highlight w:val="none"/>
        </w:rPr>
      </w:pPr>
      <w:bookmarkStart w:id="40" w:name="_Toc22442"/>
      <w:bookmarkStart w:id="41" w:name="_Toc106663427"/>
      <w:r>
        <w:rPr>
          <w:rFonts w:hint="eastAsia" w:ascii="Times New Roman" w:hAnsi="Times New Roman" w:eastAsia="宋体"/>
          <w:strike w:val="0"/>
          <w:dstrike w:val="0"/>
          <w:color w:val="auto"/>
          <w:highlight w:val="none"/>
        </w:rPr>
        <w:t>2.1.6技术导则</w:t>
      </w:r>
      <w:bookmarkEnd w:id="40"/>
      <w:bookmarkEnd w:id="41"/>
    </w:p>
    <w:p w14:paraId="095039C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《建设项目环境影响评价技术导则总纲》</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HJ2.1-2016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620BB2D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《环境影响评价技术导则地表水环境》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HJ2.3-2018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296998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《环境影响评价技术导则大气环境》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HJ2.2-2018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2BE9D84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《环境影响评价技术导则声环境》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HJ2.4-2021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AB2D0C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《环境影响评价技术导则地下水环境》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HJ610-2016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77A7C9B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《环境影响评价技术导则生态影响》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eastAsia="zh-CN"/>
        </w:rPr>
        <w:t>HJ19-2022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77AA52C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《环境影响评价技术导则土壤环境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试行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HJ964-2018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0F92A9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《建设项目环境风险评价技术导则》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HJ169-2018</w:t>
      </w:r>
      <w:r>
        <w:rPr>
          <w:rFonts w:hint="eastAsia" w:ascii="Times New Roman" w:hAnsi="Times New Roman" w:eastAsia="宋体"/>
          <w:strike w:val="0"/>
          <w:dstrike w:val="0"/>
          <w:color w:val="auto"/>
          <w:highlight w:val="none"/>
          <w:lang w:eastAsia="zh-CN"/>
        </w:rPr>
        <w:t>）</w:t>
      </w:r>
    </w:p>
    <w:p w14:paraId="20B79B5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《建设项目危险废物环境影响评价指南》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环境保护部公告2017年第43号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1507CA6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《畜禽粪污土地承载力测算技术指南》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农办牧〔2018〕1号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2C6B09D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《畜禽粪便无害化处理技术规范》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GB/T36195-2018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0680535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《畜禽养殖业污染治理工程技术规范》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HJ497-2009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6ED882C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《畜禽养殖业污染防治技术规范》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F9D291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14</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《规模畜禽养殖场污染防治最佳可行技术指南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试行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HJ-BAT-10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FDC915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《农业固体废物污染控制技术导则》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HJ588-2010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75FDB65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《排污单位自行监测技术指南总则》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HJ819-2017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4455919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《重点排污单位名录管理规定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试行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环办监测</w:t>
      </w:r>
      <w:r>
        <w:rPr>
          <w:rFonts w:hint="eastAsia" w:ascii="Times New Roman" w:hAnsi="Times New Roman" w:eastAsia="宋体"/>
          <w:strike w:val="0"/>
          <w:dstrike w:val="0"/>
          <w:color w:val="auto"/>
          <w:highlight w:val="none"/>
          <w:lang w:eastAsia="zh-CN"/>
        </w:rPr>
        <w:t>〔2017〕86号）</w:t>
      </w:r>
      <w:r>
        <w:rPr>
          <w:rFonts w:hint="eastAsia" w:ascii="Times New Roman" w:hAnsi="Times New Roman" w:eastAsia="宋体"/>
          <w:strike w:val="0"/>
          <w:dstrike w:val="0"/>
          <w:color w:val="auto"/>
          <w:highlight w:val="none"/>
        </w:rPr>
        <w:t>；</w:t>
      </w:r>
    </w:p>
    <w:p w14:paraId="7FA17A1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《关于畜禽养殖业选址问题的回复》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环保部部长信箱，2018.2.26</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61692C3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《村镇规划卫生标准》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GB18055-2012</w:t>
      </w:r>
      <w:r>
        <w:rPr>
          <w:rFonts w:hint="eastAsia" w:ascii="Times New Roman" w:hAnsi="Times New Roman" w:eastAsia="宋体"/>
          <w:strike w:val="0"/>
          <w:dstrike w:val="0"/>
          <w:color w:val="auto"/>
          <w:highlight w:val="none"/>
          <w:lang w:eastAsia="zh-CN"/>
        </w:rPr>
        <w:t>）。</w:t>
      </w:r>
    </w:p>
    <w:p w14:paraId="1BD87A8C">
      <w:pPr>
        <w:pStyle w:val="4"/>
        <w:rPr>
          <w:rFonts w:ascii="Times New Roman" w:hAnsi="Times New Roman" w:eastAsia="宋体"/>
          <w:strike w:val="0"/>
          <w:dstrike w:val="0"/>
          <w:color w:val="auto"/>
          <w:highlight w:val="none"/>
        </w:rPr>
      </w:pPr>
      <w:bookmarkStart w:id="42" w:name="_Toc106663428"/>
      <w:bookmarkStart w:id="43" w:name="_Toc15384"/>
      <w:r>
        <w:rPr>
          <w:rFonts w:hint="eastAsia" w:ascii="Times New Roman" w:hAnsi="Times New Roman" w:eastAsia="宋体"/>
          <w:strike w:val="0"/>
          <w:dstrike w:val="0"/>
          <w:color w:val="auto"/>
          <w:highlight w:val="none"/>
        </w:rPr>
        <w:t>2.1.7项目有关文件</w:t>
      </w:r>
      <w:bookmarkEnd w:id="42"/>
      <w:bookmarkEnd w:id="43"/>
    </w:p>
    <w:p w14:paraId="76D77CC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木垒县2026年长眉驼良种繁育基地建设项目</w:t>
      </w:r>
      <w:r>
        <w:rPr>
          <w:rFonts w:hint="eastAsia" w:ascii="Times New Roman" w:hAnsi="Times New Roman" w:eastAsia="宋体"/>
          <w:strike w:val="0"/>
          <w:dstrike w:val="0"/>
          <w:color w:val="auto"/>
          <w:highlight w:val="none"/>
        </w:rPr>
        <w:t>可行性研究报告</w:t>
      </w:r>
      <w:r>
        <w:rPr>
          <w:rFonts w:hint="eastAsia" w:ascii="Times New Roman" w:hAnsi="Times New Roman" w:eastAsia="宋体"/>
          <w:strike w:val="0"/>
          <w:dstrike w:val="0"/>
          <w:color w:val="auto"/>
          <w:highlight w:val="none"/>
          <w:lang w:eastAsia="zh-CN"/>
        </w:rPr>
        <w:t>。</w:t>
      </w:r>
    </w:p>
    <w:p w14:paraId="2B50E2A5">
      <w:pPr>
        <w:pStyle w:val="3"/>
        <w:rPr>
          <w:rFonts w:ascii="Times New Roman" w:hAnsi="Times New Roman" w:eastAsia="宋体"/>
          <w:strike w:val="0"/>
          <w:dstrike w:val="0"/>
          <w:color w:val="auto"/>
          <w:highlight w:val="none"/>
        </w:rPr>
      </w:pPr>
      <w:bookmarkStart w:id="44" w:name="_Toc71394705"/>
      <w:bookmarkStart w:id="45" w:name="_Toc89619325"/>
      <w:bookmarkStart w:id="46" w:name="_Toc19617"/>
      <w:r>
        <w:rPr>
          <w:rFonts w:hint="eastAsia" w:ascii="Times New Roman" w:hAnsi="Times New Roman" w:eastAsia="宋体"/>
          <w:strike w:val="0"/>
          <w:dstrike w:val="0"/>
          <w:color w:val="auto"/>
          <w:highlight w:val="none"/>
        </w:rPr>
        <w:t>2.2评价目的和原则</w:t>
      </w:r>
      <w:bookmarkEnd w:id="44"/>
      <w:bookmarkEnd w:id="45"/>
      <w:bookmarkEnd w:id="46"/>
    </w:p>
    <w:p w14:paraId="48B910C9">
      <w:pPr>
        <w:pStyle w:val="4"/>
        <w:rPr>
          <w:rFonts w:ascii="Times New Roman" w:hAnsi="Times New Roman" w:eastAsia="宋体"/>
          <w:strike w:val="0"/>
          <w:dstrike w:val="0"/>
          <w:color w:val="auto"/>
          <w:highlight w:val="none"/>
        </w:rPr>
      </w:pPr>
      <w:bookmarkStart w:id="47" w:name="_Toc7994"/>
      <w:bookmarkStart w:id="48" w:name="_Toc106663430"/>
      <w:r>
        <w:rPr>
          <w:rFonts w:hint="eastAsia" w:ascii="Times New Roman" w:hAnsi="Times New Roman" w:eastAsia="宋体"/>
          <w:strike w:val="0"/>
          <w:dstrike w:val="0"/>
          <w:color w:val="auto"/>
          <w:highlight w:val="none"/>
        </w:rPr>
        <w:t>2.2.1评价目的</w:t>
      </w:r>
      <w:bookmarkEnd w:id="47"/>
      <w:bookmarkEnd w:id="48"/>
    </w:p>
    <w:p w14:paraId="61D40E7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（1）通过调查、收集资料与实测，了解本项目评价范围内的社会环境、自然环境和环境质量现状；</w:t>
      </w:r>
    </w:p>
    <w:p w14:paraId="70516AA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（2）通过工程分析，明确本项目的主要污染源、污染物种类、排放强度，并对污染物达标排放进行分析；</w:t>
      </w:r>
    </w:p>
    <w:p w14:paraId="6BDD4DD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（3）论证本项目采取的环境保护措施的可行性及合理性，并针对存在的问题，提出预防或者减轻不良环境影响的对策和措施；</w:t>
      </w:r>
    </w:p>
    <w:p w14:paraId="689BCC3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（4）论证项目与产业政策的符合性、与当地建设规划的相容性、资源利用可行性以及环境可行性；</w:t>
      </w:r>
    </w:p>
    <w:p w14:paraId="27C2AAB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（5）分析本项目可能存在的事故隐患，预测可能产生的环境风险程度，提出具体的环境风险防范措施</w:t>
      </w:r>
      <w:r>
        <w:rPr>
          <w:rFonts w:hint="eastAsia" w:ascii="Times New Roman" w:hAnsi="Times New Roman" w:eastAsia="宋体"/>
          <w:strike w:val="0"/>
          <w:dstrike w:val="0"/>
          <w:color w:val="auto"/>
          <w:highlight w:val="none"/>
          <w:lang w:eastAsia="zh-CN"/>
        </w:rPr>
        <w:t>。</w:t>
      </w:r>
    </w:p>
    <w:p w14:paraId="701D4C8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通过上述评价，论证项目在环境方面的可行性，给出环境影响评价结论，为环境保护主管部门提供决策依据</w:t>
      </w:r>
      <w:r>
        <w:rPr>
          <w:rFonts w:hint="eastAsia" w:ascii="Times New Roman" w:hAnsi="Times New Roman" w:eastAsia="宋体"/>
          <w:strike w:val="0"/>
          <w:dstrike w:val="0"/>
          <w:color w:val="auto"/>
          <w:highlight w:val="none"/>
          <w:lang w:eastAsia="zh-CN"/>
        </w:rPr>
        <w:t>。</w:t>
      </w:r>
    </w:p>
    <w:p w14:paraId="2BD0A857">
      <w:pPr>
        <w:pStyle w:val="4"/>
        <w:rPr>
          <w:rFonts w:ascii="Times New Roman" w:hAnsi="Times New Roman" w:eastAsia="宋体"/>
          <w:strike w:val="0"/>
          <w:dstrike w:val="0"/>
          <w:color w:val="auto"/>
          <w:highlight w:val="none"/>
        </w:rPr>
      </w:pPr>
      <w:bookmarkStart w:id="49" w:name="_Toc106663431"/>
      <w:bookmarkStart w:id="50" w:name="_Toc8639"/>
      <w:r>
        <w:rPr>
          <w:rFonts w:hint="eastAsia" w:ascii="Times New Roman" w:hAnsi="Times New Roman" w:eastAsia="宋体"/>
          <w:strike w:val="0"/>
          <w:dstrike w:val="0"/>
          <w:color w:val="auto"/>
          <w:highlight w:val="none"/>
        </w:rPr>
        <w:t>2.2.2评价原则</w:t>
      </w:r>
      <w:bookmarkEnd w:id="49"/>
      <w:bookmarkEnd w:id="50"/>
    </w:p>
    <w:p w14:paraId="046AC83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突出环境影响评价的源头预防作用，坚持保护和改善环境质量</w:t>
      </w:r>
      <w:r>
        <w:rPr>
          <w:rFonts w:hint="eastAsia" w:ascii="Times New Roman" w:hAnsi="Times New Roman" w:eastAsia="宋体"/>
          <w:strike w:val="0"/>
          <w:dstrike w:val="0"/>
          <w:color w:val="auto"/>
          <w:highlight w:val="none"/>
          <w:lang w:eastAsia="zh-CN"/>
        </w:rPr>
        <w:t>。</w:t>
      </w:r>
    </w:p>
    <w:p w14:paraId="6FCD48C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（1）依法评价</w:t>
      </w:r>
    </w:p>
    <w:p w14:paraId="3BD663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贯彻执行我国环境保护相关法律法规、标准、政策和规划等，优化项目建设，服务环境管理</w:t>
      </w:r>
      <w:r>
        <w:rPr>
          <w:rFonts w:hint="eastAsia" w:ascii="Times New Roman" w:hAnsi="Times New Roman" w:eastAsia="宋体"/>
          <w:strike w:val="0"/>
          <w:dstrike w:val="0"/>
          <w:color w:val="auto"/>
          <w:highlight w:val="none"/>
          <w:lang w:eastAsia="zh-CN"/>
        </w:rPr>
        <w:t>。</w:t>
      </w:r>
    </w:p>
    <w:p w14:paraId="0841732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（2）科学评价</w:t>
      </w:r>
    </w:p>
    <w:p w14:paraId="70C513C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规范环境影响评价方法，科学分析项目建设对环境质量的影响</w:t>
      </w:r>
      <w:r>
        <w:rPr>
          <w:rFonts w:hint="eastAsia" w:ascii="Times New Roman" w:hAnsi="Times New Roman" w:eastAsia="宋体"/>
          <w:strike w:val="0"/>
          <w:dstrike w:val="0"/>
          <w:color w:val="auto"/>
          <w:highlight w:val="none"/>
          <w:lang w:eastAsia="zh-CN"/>
        </w:rPr>
        <w:t>。</w:t>
      </w:r>
    </w:p>
    <w:p w14:paraId="4A34A17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（3）突出重点</w:t>
      </w:r>
    </w:p>
    <w:p w14:paraId="10BF2CA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根据建设项目的工程内容及其特点，明确与环境要素间的作用效应关系，根据规划环境影响评价结论和审查意见，充分利用符合时效的数据资料及成果，对建设项目主要环境影响予以重点分析和评价</w:t>
      </w:r>
      <w:r>
        <w:rPr>
          <w:rFonts w:hint="eastAsia" w:ascii="Times New Roman" w:hAnsi="Times New Roman" w:eastAsia="宋体"/>
          <w:strike w:val="0"/>
          <w:dstrike w:val="0"/>
          <w:color w:val="auto"/>
          <w:highlight w:val="none"/>
          <w:lang w:eastAsia="zh-CN"/>
        </w:rPr>
        <w:t>。</w:t>
      </w:r>
    </w:p>
    <w:p w14:paraId="38EE1CA3">
      <w:pPr>
        <w:pStyle w:val="3"/>
        <w:rPr>
          <w:rFonts w:ascii="Times New Roman" w:hAnsi="Times New Roman" w:eastAsia="宋体"/>
          <w:strike w:val="0"/>
          <w:dstrike w:val="0"/>
          <w:color w:val="auto"/>
          <w:highlight w:val="none"/>
        </w:rPr>
      </w:pPr>
      <w:bookmarkStart w:id="51" w:name="_Toc71394706"/>
      <w:bookmarkStart w:id="52" w:name="_Toc89619326"/>
      <w:bookmarkStart w:id="53" w:name="_Toc22126"/>
      <w:r>
        <w:rPr>
          <w:rFonts w:hint="eastAsia" w:ascii="Times New Roman" w:hAnsi="Times New Roman" w:eastAsia="宋体"/>
          <w:strike w:val="0"/>
          <w:dstrike w:val="0"/>
          <w:color w:val="auto"/>
          <w:highlight w:val="none"/>
        </w:rPr>
        <w:t>2.3评价内容及评价重点</w:t>
      </w:r>
      <w:bookmarkEnd w:id="51"/>
      <w:bookmarkEnd w:id="52"/>
      <w:bookmarkEnd w:id="53"/>
    </w:p>
    <w:p w14:paraId="7174CE48">
      <w:pPr>
        <w:pStyle w:val="4"/>
        <w:rPr>
          <w:rFonts w:ascii="Times New Roman" w:hAnsi="Times New Roman" w:eastAsia="宋体"/>
          <w:strike w:val="0"/>
          <w:dstrike w:val="0"/>
          <w:color w:val="auto"/>
          <w:highlight w:val="none"/>
        </w:rPr>
      </w:pPr>
      <w:bookmarkStart w:id="54" w:name="_Toc106663433"/>
      <w:bookmarkStart w:id="55" w:name="_Toc16924"/>
      <w:r>
        <w:rPr>
          <w:rFonts w:hint="eastAsia" w:ascii="Times New Roman" w:hAnsi="Times New Roman" w:eastAsia="宋体"/>
          <w:strike w:val="0"/>
          <w:dstrike w:val="0"/>
          <w:color w:val="auto"/>
          <w:highlight w:val="none"/>
        </w:rPr>
        <w:t>2.3.1评价内容</w:t>
      </w:r>
      <w:bookmarkEnd w:id="54"/>
      <w:bookmarkEnd w:id="55"/>
    </w:p>
    <w:p w14:paraId="5E9AFB7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本次评价的主要内容包括以下几个方面：</w:t>
      </w:r>
    </w:p>
    <w:p w14:paraId="6691E2B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（1）通过对项目厂址及周围环境的综合现状调查和现场监测，了解和掌握项目区环境现状；</w:t>
      </w:r>
    </w:p>
    <w:p w14:paraId="0B34404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（2）分析本次工程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排放特征，产生的污染物能否实现达标排放或妥善处理；</w:t>
      </w:r>
    </w:p>
    <w:p w14:paraId="52C6D6F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（3）分析本工程运行中存在的环境风险，提出有关风险防治措施及风险防范预案；</w:t>
      </w:r>
    </w:p>
    <w:p w14:paraId="0C27AD1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（4）对该建设项目的污染控制措施的可行性和合理性进行评估，并提出防止或减轻污染的对策建议</w:t>
      </w:r>
      <w:r>
        <w:rPr>
          <w:rFonts w:hint="eastAsia" w:ascii="Times New Roman" w:hAnsi="Times New Roman" w:eastAsia="宋体"/>
          <w:strike w:val="0"/>
          <w:dstrike w:val="0"/>
          <w:color w:val="auto"/>
          <w:highlight w:val="none"/>
          <w:lang w:eastAsia="zh-CN"/>
        </w:rPr>
        <w:t>。</w:t>
      </w:r>
    </w:p>
    <w:p w14:paraId="36C30747">
      <w:pPr>
        <w:pStyle w:val="4"/>
        <w:rPr>
          <w:rFonts w:ascii="Times New Roman" w:hAnsi="Times New Roman" w:eastAsia="宋体"/>
          <w:strike w:val="0"/>
          <w:dstrike w:val="0"/>
          <w:color w:val="auto"/>
          <w:highlight w:val="none"/>
        </w:rPr>
      </w:pPr>
      <w:bookmarkStart w:id="56" w:name="_Toc26261"/>
      <w:bookmarkStart w:id="57" w:name="_Toc106663434"/>
      <w:r>
        <w:rPr>
          <w:rFonts w:hint="eastAsia" w:ascii="Times New Roman" w:hAnsi="Times New Roman" w:eastAsia="宋体"/>
          <w:strike w:val="0"/>
          <w:dstrike w:val="0"/>
          <w:color w:val="auto"/>
          <w:highlight w:val="none"/>
        </w:rPr>
        <w:t>2.3.2评价重点</w:t>
      </w:r>
      <w:bookmarkEnd w:id="56"/>
      <w:bookmarkEnd w:id="57"/>
    </w:p>
    <w:p w14:paraId="4F2D9F1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（1）工程分析</w:t>
      </w:r>
    </w:p>
    <w:p w14:paraId="38A7747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结合工艺过程，对物料、水等进行平衡计算，并根据企业实际运行情况，分析生产过程中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及噪声排放情况</w:t>
      </w:r>
      <w:r>
        <w:rPr>
          <w:rFonts w:hint="eastAsia" w:ascii="Times New Roman" w:hAnsi="Times New Roman" w:eastAsia="宋体"/>
          <w:strike w:val="0"/>
          <w:dstrike w:val="0"/>
          <w:color w:val="auto"/>
          <w:highlight w:val="none"/>
          <w:lang w:eastAsia="zh-CN"/>
        </w:rPr>
        <w:t>。</w:t>
      </w:r>
    </w:p>
    <w:p w14:paraId="1322252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（2）污染防治措施分析推荐</w:t>
      </w:r>
    </w:p>
    <w:p w14:paraId="05AF1E6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根据工程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及噪声排放特点，结合相似企业实际治理经验，对设计的治理措施可行性进行分析，并提出推荐方案，确保本项目各污染物达标排放</w:t>
      </w:r>
      <w:r>
        <w:rPr>
          <w:rFonts w:hint="eastAsia" w:ascii="Times New Roman" w:hAnsi="Times New Roman" w:eastAsia="宋体"/>
          <w:strike w:val="0"/>
          <w:dstrike w:val="0"/>
          <w:color w:val="auto"/>
          <w:highlight w:val="none"/>
          <w:lang w:eastAsia="zh-CN"/>
        </w:rPr>
        <w:t>。</w:t>
      </w:r>
    </w:p>
    <w:p w14:paraId="2AC2EED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（3）环境影响预测及评价</w:t>
      </w:r>
    </w:p>
    <w:p w14:paraId="3617027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结合生产过程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及噪声排放特点以及评价范围内环境概况，分析预测本项目大气污染物对大气环境的影响程度和范围；项目用水的保证性以及排放的生产生活污水对区域水环境的影响；固体废物处理处置对区域环境的影响；预测和评价厂界噪声是否满足《工业企业厂界环境噪声排放标准》，评价项目噪声排放对声环境敏感区的影响</w:t>
      </w:r>
      <w:r>
        <w:rPr>
          <w:rFonts w:hint="eastAsia" w:ascii="Times New Roman" w:hAnsi="Times New Roman" w:eastAsia="宋体"/>
          <w:strike w:val="0"/>
          <w:dstrike w:val="0"/>
          <w:color w:val="auto"/>
          <w:highlight w:val="none"/>
          <w:lang w:eastAsia="zh-CN"/>
        </w:rPr>
        <w:t>。</w:t>
      </w:r>
    </w:p>
    <w:p w14:paraId="45DDA53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（4）环境风险评价</w:t>
      </w:r>
    </w:p>
    <w:p w14:paraId="4CDB982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结合生产工艺特点，分析确定本项目风险因素，预测风险发生时对环境造成的危害，提出环境风险防范措施，并编制应急预案</w:t>
      </w:r>
      <w:r>
        <w:rPr>
          <w:rFonts w:hint="eastAsia" w:ascii="Times New Roman" w:hAnsi="Times New Roman" w:eastAsia="宋体"/>
          <w:strike w:val="0"/>
          <w:dstrike w:val="0"/>
          <w:color w:val="auto"/>
          <w:highlight w:val="none"/>
          <w:lang w:eastAsia="zh-CN"/>
        </w:rPr>
        <w:t>。</w:t>
      </w:r>
    </w:p>
    <w:p w14:paraId="53CC33D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（5）清洁生产分析</w:t>
      </w:r>
    </w:p>
    <w:p w14:paraId="2489C4D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从工艺装备先进性、资源能源利用、污染物产生、废物综合利用、产品指标、环境管理等方面分析，并与国内其他企业进行对比，评述项目清洁生产水平</w:t>
      </w:r>
      <w:r>
        <w:rPr>
          <w:rFonts w:hint="eastAsia" w:ascii="Times New Roman" w:hAnsi="Times New Roman" w:eastAsia="宋体"/>
          <w:strike w:val="0"/>
          <w:dstrike w:val="0"/>
          <w:color w:val="auto"/>
          <w:highlight w:val="none"/>
          <w:lang w:eastAsia="zh-CN"/>
        </w:rPr>
        <w:t>。</w:t>
      </w:r>
    </w:p>
    <w:p w14:paraId="3B1D0065">
      <w:pPr>
        <w:pStyle w:val="3"/>
        <w:rPr>
          <w:rFonts w:ascii="Times New Roman" w:hAnsi="Times New Roman" w:eastAsia="宋体"/>
          <w:strike w:val="0"/>
          <w:dstrike w:val="0"/>
          <w:color w:val="auto"/>
          <w:highlight w:val="none"/>
        </w:rPr>
      </w:pPr>
      <w:bookmarkStart w:id="58" w:name="_Toc71394707"/>
      <w:bookmarkStart w:id="59" w:name="_Toc89619327"/>
      <w:bookmarkStart w:id="60" w:name="_Toc29838"/>
      <w:r>
        <w:rPr>
          <w:rFonts w:hint="eastAsia" w:ascii="Times New Roman" w:hAnsi="Times New Roman" w:eastAsia="宋体"/>
          <w:strike w:val="0"/>
          <w:dstrike w:val="0"/>
          <w:color w:val="auto"/>
          <w:highlight w:val="none"/>
        </w:rPr>
        <w:t>2.4评价因子识别与筛选</w:t>
      </w:r>
      <w:bookmarkEnd w:id="58"/>
      <w:bookmarkEnd w:id="59"/>
      <w:bookmarkEnd w:id="60"/>
    </w:p>
    <w:p w14:paraId="2E4C2CD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根据工程的特征、阶段和所处区域的环境特征，全面分析判别本项目建设对环境可能产生影响的因素、影响途径，初步估算影响程度</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通过筛选确定本次评价重点和评价因子</w:t>
      </w:r>
      <w:r>
        <w:rPr>
          <w:rFonts w:hint="eastAsia" w:ascii="Times New Roman" w:hAnsi="Times New Roman" w:eastAsia="宋体"/>
          <w:strike w:val="0"/>
          <w:dstrike w:val="0"/>
          <w:color w:val="auto"/>
          <w:highlight w:val="none"/>
          <w:lang w:eastAsia="zh-CN"/>
        </w:rPr>
        <w:t>。</w:t>
      </w:r>
    </w:p>
    <w:p w14:paraId="0182705D">
      <w:pPr>
        <w:pStyle w:val="4"/>
        <w:rPr>
          <w:rFonts w:ascii="Times New Roman" w:hAnsi="Times New Roman" w:eastAsia="宋体"/>
          <w:strike w:val="0"/>
          <w:dstrike w:val="0"/>
          <w:color w:val="auto"/>
          <w:highlight w:val="none"/>
        </w:rPr>
      </w:pPr>
      <w:bookmarkStart w:id="61" w:name="_Toc676"/>
      <w:bookmarkStart w:id="62" w:name="_Toc106663436"/>
      <w:r>
        <w:rPr>
          <w:rFonts w:hint="eastAsia" w:ascii="Times New Roman" w:hAnsi="Times New Roman" w:eastAsia="宋体"/>
          <w:strike w:val="0"/>
          <w:dstrike w:val="0"/>
          <w:color w:val="auto"/>
          <w:highlight w:val="none"/>
        </w:rPr>
        <w:t>2.4.1影响因素识别</w:t>
      </w:r>
      <w:bookmarkEnd w:id="61"/>
      <w:bookmarkEnd w:id="62"/>
    </w:p>
    <w:p w14:paraId="75E377B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根据项目的排污特点及所处环境特征，环境影响因子的识别见表2.4-1</w:t>
      </w:r>
      <w:r>
        <w:rPr>
          <w:rFonts w:hint="eastAsia" w:ascii="Times New Roman" w:hAnsi="Times New Roman" w:eastAsia="宋体"/>
          <w:strike w:val="0"/>
          <w:dstrike w:val="0"/>
          <w:color w:val="auto"/>
          <w:highlight w:val="none"/>
          <w:lang w:eastAsia="zh-CN"/>
        </w:rPr>
        <w:t>。</w:t>
      </w:r>
    </w:p>
    <w:p w14:paraId="4309E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表2.4-1环境影响因子识别表</w:t>
      </w:r>
    </w:p>
    <w:tbl>
      <w:tblPr>
        <w:tblStyle w:val="3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57" w:type="dxa"/>
          <w:bottom w:w="0" w:type="dxa"/>
          <w:right w:w="57" w:type="dxa"/>
        </w:tblCellMar>
      </w:tblPr>
      <w:tblGrid>
        <w:gridCol w:w="463"/>
        <w:gridCol w:w="641"/>
        <w:gridCol w:w="17"/>
        <w:gridCol w:w="971"/>
        <w:gridCol w:w="847"/>
        <w:gridCol w:w="815"/>
        <w:gridCol w:w="872"/>
        <w:gridCol w:w="902"/>
        <w:gridCol w:w="879"/>
        <w:gridCol w:w="980"/>
        <w:gridCol w:w="968"/>
        <w:gridCol w:w="62"/>
      </w:tblGrid>
      <w:tr w14:paraId="5F7AA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90" w:hRule="atLeast"/>
          <w:jc w:val="center"/>
        </w:trPr>
        <w:tc>
          <w:tcPr>
            <w:tcW w:w="275" w:type="pct"/>
            <w:vMerge w:val="restart"/>
            <w:tcBorders>
              <w:right w:val="single" w:color="auto" w:sz="4" w:space="0"/>
              <w:tl2br w:val="nil"/>
              <w:tr2bl w:val="nil"/>
            </w:tcBorders>
            <w:vAlign w:val="center"/>
          </w:tcPr>
          <w:p w14:paraId="4628A50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阶段</w:t>
            </w:r>
          </w:p>
        </w:tc>
        <w:tc>
          <w:tcPr>
            <w:tcW w:w="968" w:type="pct"/>
            <w:gridSpan w:val="3"/>
            <w:vMerge w:val="restart"/>
            <w:tcBorders>
              <w:left w:val="single" w:color="auto" w:sz="4" w:space="0"/>
              <w:tl2br w:val="nil"/>
              <w:tr2bl w:val="nil"/>
            </w:tcBorders>
            <w:vAlign w:val="center"/>
          </w:tcPr>
          <w:p w14:paraId="6C8E161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污染因素</w:t>
            </w:r>
          </w:p>
        </w:tc>
        <w:tc>
          <w:tcPr>
            <w:tcW w:w="3756" w:type="pct"/>
            <w:gridSpan w:val="8"/>
            <w:tcBorders>
              <w:right w:val="single" w:color="auto" w:sz="4" w:space="0"/>
              <w:tl2br w:val="nil"/>
              <w:tr2bl w:val="nil"/>
            </w:tcBorders>
            <w:vAlign w:val="center"/>
          </w:tcPr>
          <w:p w14:paraId="679A151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环境要素</w:t>
            </w:r>
          </w:p>
        </w:tc>
      </w:tr>
      <w:tr w14:paraId="6C0E5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418" w:hRule="atLeast"/>
          <w:jc w:val="center"/>
        </w:trPr>
        <w:tc>
          <w:tcPr>
            <w:tcW w:w="275" w:type="pct"/>
            <w:vMerge w:val="continue"/>
            <w:tcBorders>
              <w:right w:val="single" w:color="auto" w:sz="4" w:space="0"/>
              <w:tl2br w:val="nil"/>
              <w:tr2bl w:val="nil"/>
            </w:tcBorders>
            <w:vAlign w:val="center"/>
          </w:tcPr>
          <w:p w14:paraId="7A30CB06">
            <w:pPr>
              <w:snapToGrid w:val="0"/>
              <w:spacing w:line="240" w:lineRule="auto"/>
              <w:ind w:firstLine="0" w:firstLineChars="0"/>
              <w:jc w:val="center"/>
              <w:rPr>
                <w:rFonts w:ascii="Times New Roman" w:hAnsi="Times New Roman" w:eastAsia="宋体"/>
                <w:b/>
                <w:bCs/>
                <w:strike w:val="0"/>
                <w:dstrike w:val="0"/>
                <w:color w:val="auto"/>
                <w:sz w:val="21"/>
                <w:szCs w:val="21"/>
                <w:highlight w:val="none"/>
              </w:rPr>
            </w:pPr>
          </w:p>
        </w:tc>
        <w:tc>
          <w:tcPr>
            <w:tcW w:w="968" w:type="pct"/>
            <w:gridSpan w:val="3"/>
            <w:vMerge w:val="continue"/>
            <w:tcBorders>
              <w:left w:val="single" w:color="auto" w:sz="4" w:space="0"/>
              <w:tl2br w:val="nil"/>
              <w:tr2bl w:val="nil"/>
            </w:tcBorders>
            <w:vAlign w:val="center"/>
          </w:tcPr>
          <w:p w14:paraId="325FBCF7">
            <w:pPr>
              <w:snapToGrid w:val="0"/>
              <w:spacing w:line="240" w:lineRule="auto"/>
              <w:ind w:firstLine="0" w:firstLineChars="0"/>
              <w:jc w:val="center"/>
              <w:rPr>
                <w:rFonts w:ascii="Times New Roman" w:hAnsi="Times New Roman" w:eastAsia="宋体"/>
                <w:b/>
                <w:bCs/>
                <w:strike w:val="0"/>
                <w:dstrike w:val="0"/>
                <w:color w:val="auto"/>
                <w:sz w:val="21"/>
                <w:szCs w:val="21"/>
                <w:highlight w:val="none"/>
              </w:rPr>
            </w:pPr>
          </w:p>
        </w:tc>
        <w:tc>
          <w:tcPr>
            <w:tcW w:w="503" w:type="pct"/>
            <w:tcBorders>
              <w:tl2br w:val="nil"/>
              <w:tr2bl w:val="nil"/>
            </w:tcBorders>
            <w:vAlign w:val="center"/>
          </w:tcPr>
          <w:p w14:paraId="2A9C3D5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大气</w:t>
            </w:r>
          </w:p>
        </w:tc>
        <w:tc>
          <w:tcPr>
            <w:tcW w:w="484" w:type="pct"/>
            <w:tcBorders>
              <w:tl2br w:val="nil"/>
              <w:tr2bl w:val="nil"/>
            </w:tcBorders>
            <w:vAlign w:val="center"/>
          </w:tcPr>
          <w:p w14:paraId="26DAE06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地表水</w:t>
            </w:r>
          </w:p>
        </w:tc>
        <w:tc>
          <w:tcPr>
            <w:tcW w:w="518" w:type="pct"/>
            <w:tcBorders>
              <w:tl2br w:val="nil"/>
              <w:tr2bl w:val="nil"/>
            </w:tcBorders>
            <w:vAlign w:val="center"/>
          </w:tcPr>
          <w:p w14:paraId="0A10B37C">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地下水</w:t>
            </w:r>
          </w:p>
        </w:tc>
        <w:tc>
          <w:tcPr>
            <w:tcW w:w="536" w:type="pct"/>
            <w:tcBorders>
              <w:tl2br w:val="nil"/>
              <w:tr2bl w:val="nil"/>
            </w:tcBorders>
            <w:vAlign w:val="center"/>
          </w:tcPr>
          <w:p w14:paraId="3ABEC73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w:t>
            </w:r>
          </w:p>
        </w:tc>
        <w:tc>
          <w:tcPr>
            <w:tcW w:w="522" w:type="pct"/>
            <w:tcBorders>
              <w:tl2br w:val="nil"/>
              <w:tr2bl w:val="nil"/>
            </w:tcBorders>
            <w:vAlign w:val="center"/>
          </w:tcPr>
          <w:p w14:paraId="7763A63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生态</w:t>
            </w:r>
          </w:p>
        </w:tc>
        <w:tc>
          <w:tcPr>
            <w:tcW w:w="582" w:type="pct"/>
            <w:tcBorders>
              <w:right w:val="single" w:color="auto" w:sz="4" w:space="0"/>
              <w:tl2br w:val="nil"/>
              <w:tr2bl w:val="nil"/>
            </w:tcBorders>
            <w:vAlign w:val="center"/>
          </w:tcPr>
          <w:p w14:paraId="2582170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w:t>
            </w:r>
          </w:p>
        </w:tc>
        <w:tc>
          <w:tcPr>
            <w:tcW w:w="573" w:type="pct"/>
            <w:tcBorders>
              <w:right w:val="single" w:color="auto" w:sz="4" w:space="0"/>
              <w:tl2br w:val="nil"/>
              <w:tr2bl w:val="nil"/>
            </w:tcBorders>
            <w:vAlign w:val="center"/>
          </w:tcPr>
          <w:p w14:paraId="2F4A756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居民生活</w:t>
            </w:r>
          </w:p>
        </w:tc>
      </w:tr>
      <w:tr w14:paraId="47D65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restart"/>
            <w:tcBorders>
              <w:right w:val="single" w:color="auto" w:sz="4" w:space="0"/>
              <w:tl2br w:val="nil"/>
              <w:tr2bl w:val="nil"/>
            </w:tcBorders>
            <w:vAlign w:val="center"/>
          </w:tcPr>
          <w:p w14:paraId="191FB8D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施工期</w:t>
            </w:r>
          </w:p>
        </w:tc>
        <w:tc>
          <w:tcPr>
            <w:tcW w:w="381" w:type="pct"/>
            <w:vMerge w:val="restart"/>
            <w:tcBorders>
              <w:left w:val="single" w:color="auto" w:sz="4" w:space="0"/>
              <w:right w:val="single" w:color="auto" w:sz="4" w:space="0"/>
              <w:tl2br w:val="nil"/>
              <w:tr2bl w:val="nil"/>
            </w:tcBorders>
            <w:vAlign w:val="center"/>
          </w:tcPr>
          <w:p w14:paraId="17CBE07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场区</w:t>
            </w:r>
          </w:p>
        </w:tc>
        <w:tc>
          <w:tcPr>
            <w:tcW w:w="587" w:type="pct"/>
            <w:gridSpan w:val="2"/>
            <w:tcBorders>
              <w:left w:val="single" w:color="auto" w:sz="4" w:space="0"/>
              <w:tl2br w:val="nil"/>
              <w:tr2bl w:val="nil"/>
            </w:tcBorders>
            <w:vAlign w:val="center"/>
          </w:tcPr>
          <w:p w14:paraId="19C6B4F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扬尘</w:t>
            </w:r>
          </w:p>
        </w:tc>
        <w:tc>
          <w:tcPr>
            <w:tcW w:w="503" w:type="pct"/>
            <w:tcBorders>
              <w:tl2br w:val="nil"/>
              <w:tr2bl w:val="nil"/>
            </w:tcBorders>
            <w:vAlign w:val="center"/>
          </w:tcPr>
          <w:p w14:paraId="40BC2A0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0288" behindDoc="0" locked="0" layoutInCell="1" allowOverlap="1">
                      <wp:simplePos x="0" y="0"/>
                      <wp:positionH relativeFrom="column">
                        <wp:posOffset>63500</wp:posOffset>
                      </wp:positionH>
                      <wp:positionV relativeFrom="paragraph">
                        <wp:posOffset>31115</wp:posOffset>
                      </wp:positionV>
                      <wp:extent cx="95250" cy="95250"/>
                      <wp:effectExtent l="2540" t="7620" r="6985" b="1905"/>
                      <wp:wrapNone/>
                      <wp:docPr id="333" name="菱形 333"/>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5pt;margin-top:2.45pt;height:7.5pt;width:7.5pt;z-index:251660288;mso-width-relative:page;mso-height-relative:page;" fillcolor="#000000" filled="t" stroked="f" coordsize="21600,21600" o:gfxdata="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HohgNYAAAAGAQAADwAA&#10;AAAAAAABACAAAAAiAAAAZHJzL2Rvd25yZXYueG1sUEsBAhQAFAAAAAgAh07iQHYpbacYAgAAKgQA&#10;AA4AAAAAAAAAAQAgAAAAJQEAAGRycy9lMm9Eb2MueG1sUEsFBgAAAAAGAAYAWQEAAK8FA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484" w:type="pct"/>
            <w:tcBorders>
              <w:tl2br w:val="nil"/>
              <w:tr2bl w:val="nil"/>
            </w:tcBorders>
            <w:vAlign w:val="center"/>
          </w:tcPr>
          <w:p w14:paraId="76D4D2D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117475</wp:posOffset>
                      </wp:positionH>
                      <wp:positionV relativeFrom="paragraph">
                        <wp:posOffset>50800</wp:posOffset>
                      </wp:positionV>
                      <wp:extent cx="75565" cy="75565"/>
                      <wp:effectExtent l="12065" t="8255" r="7620" b="11430"/>
                      <wp:wrapNone/>
                      <wp:docPr id="332" name="椭圆 332"/>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pt;height:5.95pt;width:5.95pt;z-index:251661312;mso-width-relative:page;mso-height-relative:page;" fillcolor="#FFFFFF" filled="t" stroked="t" coordsize="21600,21600" o:gfxdata="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T+sl9UAAAAGAQAADwAAAAAAAAABACAAAAAiAAAAZHJzL2Rvd25yZXYueG1s&#10;UEsBAhQAFAAAAAgAh07iQKA9DF80AgAAcQQAAA4AAAAAAAAAAQAgAAAAJAEAAGRycy9lMm9Eb2Mu&#10;eG1sUEsFBgAAAAAGAAYAWQEAAMo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4B39362C">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2336" behindDoc="0" locked="0" layoutInCell="1" allowOverlap="1">
                      <wp:simplePos x="0" y="0"/>
                      <wp:positionH relativeFrom="column">
                        <wp:posOffset>94615</wp:posOffset>
                      </wp:positionH>
                      <wp:positionV relativeFrom="paragraph">
                        <wp:posOffset>50800</wp:posOffset>
                      </wp:positionV>
                      <wp:extent cx="75565" cy="75565"/>
                      <wp:effectExtent l="11430" t="8255" r="8255" b="11430"/>
                      <wp:wrapNone/>
                      <wp:docPr id="331" name="椭圆 33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pt;height:5.95pt;width:5.95pt;z-index:251662336;mso-width-relative:page;mso-height-relative:page;" fillcolor="#FFFFFF" filled="t" stroked="t" coordsize="21600,21600" o:gfxdata="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hgIINUAAAAGAQAADwAAAAAAAAABACAAAAAiAAAAZHJzL2Rvd25yZXYueG1s&#10;UEsBAhQAFAAAAAgAh07iQIyibYA0AgAAcQQAAA4AAAAAAAAAAQAgAAAAJAEAAGRycy9lMm9Eb2Mu&#10;eG1sUEsFBgAAAAAGAAYAWQEAAMoFA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528B040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50800</wp:posOffset>
                      </wp:positionV>
                      <wp:extent cx="75565" cy="75565"/>
                      <wp:effectExtent l="11430" t="8255" r="8255" b="11430"/>
                      <wp:wrapNone/>
                      <wp:docPr id="330" name="椭圆 33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4pt;height:5.95pt;width:5.95pt;z-index:251663360;mso-width-relative:page;mso-height-relative:page;" fillcolor="#FFFFFF" filled="t" stroked="t" coordsize="21600,21600" o:gfxdata="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g7xefUAAAABgEAAA8AAAAAAAAAAQAgAAAAIgAAAGRycy9kb3ducmV2LnhtbFBL&#10;AQIUABQAAAAIAIdO4kBXKmJ8MwIAAHEEAAAOAAAAAAAAAAEAIAAAACMBAABkcnMvZTJvRG9jLnht&#10;bFBLBQYAAAAABgAGAFkBAADIBQ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239C245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5584" behindDoc="0" locked="0" layoutInCell="1" allowOverlap="1">
                      <wp:simplePos x="0" y="0"/>
                      <wp:positionH relativeFrom="column">
                        <wp:posOffset>100330</wp:posOffset>
                      </wp:positionH>
                      <wp:positionV relativeFrom="paragraph">
                        <wp:posOffset>40640</wp:posOffset>
                      </wp:positionV>
                      <wp:extent cx="76200" cy="85725"/>
                      <wp:effectExtent l="12700" t="17780" r="15875" b="10795"/>
                      <wp:wrapNone/>
                      <wp:docPr id="329" name="等腰三角形 329"/>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2pt;height:6.75pt;width:6pt;z-index:251715584;mso-width-relative:page;mso-height-relative:page;" filled="f" stroked="t" coordsize="21600,21600" o:gfxdata="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h4C761AAAAAYB&#10;AAAPAAAAAAAAAAEAIAAAACIAAABkcnMvZG93bnJldi54bWxQSwECFAAUAAAACACHTuJAXldgb1gC&#10;AACLBAAADgAAAAAAAAABACAAAAAjAQAAZHJzL2Uyb0RvYy54bWxQSwUGAAAAAAYABgBZAQAA7QUA&#10;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82" w:type="pct"/>
            <w:tcBorders>
              <w:tl2br w:val="nil"/>
              <w:tr2bl w:val="nil"/>
            </w:tcBorders>
            <w:vAlign w:val="center"/>
          </w:tcPr>
          <w:p w14:paraId="657DA50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4384" behindDoc="0" locked="0" layoutInCell="1" allowOverlap="1">
                      <wp:simplePos x="0" y="0"/>
                      <wp:positionH relativeFrom="column">
                        <wp:posOffset>151130</wp:posOffset>
                      </wp:positionH>
                      <wp:positionV relativeFrom="paragraph">
                        <wp:posOffset>50800</wp:posOffset>
                      </wp:positionV>
                      <wp:extent cx="75565" cy="75565"/>
                      <wp:effectExtent l="10160" t="8255" r="9525" b="11430"/>
                      <wp:wrapNone/>
                      <wp:docPr id="328" name="椭圆 32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pt;height:5.95pt;width:5.95pt;z-index:251664384;mso-width-relative:page;mso-height-relative:page;" fillcolor="#FFFFFF" filled="t" stroked="t" coordsize="21600,21600" o:gfxdata="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VXM2A1QAAAAYBAAAPAAAAAAAAAAEAIAAAACIAAABkcnMvZG93bnJldi54bWxQ&#10;SwECFAAUAAAACACHTuJAX3En4DMCAABxBAAADgAAAAAAAAABACAAAAAkAQAAZHJzL2Uyb0RvYy54&#10;bWxQSwUGAAAAAAYABgBZAQAAyQU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2EC46EB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7392" behindDoc="0" locked="0" layoutInCell="1" allowOverlap="1">
                      <wp:simplePos x="0" y="0"/>
                      <wp:positionH relativeFrom="column">
                        <wp:posOffset>118745</wp:posOffset>
                      </wp:positionH>
                      <wp:positionV relativeFrom="paragraph">
                        <wp:posOffset>40640</wp:posOffset>
                      </wp:positionV>
                      <wp:extent cx="76200" cy="85725"/>
                      <wp:effectExtent l="1905" t="8255" r="7620" b="1270"/>
                      <wp:wrapNone/>
                      <wp:docPr id="298" name="等腰三角形 29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2pt;height:6.75pt;width:6pt;z-index:251707392;mso-width-relative:page;mso-height-relative:page;" fillcolor="#000000" filled="t" stroked="f" coordsize="21600,21600" o:gfxdata="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&#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IoDdTSAAAABgEAAA8AAAAAAAAAAQAgAAAAIgAAAGRy&#10;cy9kb3ducmV2LnhtbFBLAQIUABQAAAAIAIdO4kBKBoy9RAIAAGAEAAAOAAAAAAAAAAEAIAAAACEB&#10;AABkcnMvZTJvRG9jLnhtbFBLBQYAAAAABgAGAFkBAADX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r>
      <w:tr w14:paraId="0A196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40417F8A">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81" w:type="pct"/>
            <w:vMerge w:val="continue"/>
            <w:tcBorders>
              <w:left w:val="single" w:color="auto" w:sz="4" w:space="0"/>
              <w:right w:val="single" w:color="auto" w:sz="4" w:space="0"/>
              <w:tl2br w:val="nil"/>
              <w:tr2bl w:val="nil"/>
            </w:tcBorders>
            <w:vAlign w:val="center"/>
          </w:tcPr>
          <w:p w14:paraId="55E82726">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87" w:type="pct"/>
            <w:gridSpan w:val="2"/>
            <w:tcBorders>
              <w:left w:val="single" w:color="auto" w:sz="4" w:space="0"/>
              <w:tl2br w:val="nil"/>
              <w:tr2bl w:val="nil"/>
            </w:tcBorders>
            <w:vAlign w:val="center"/>
          </w:tcPr>
          <w:p w14:paraId="54EA0F3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施工废水</w:t>
            </w:r>
          </w:p>
        </w:tc>
        <w:tc>
          <w:tcPr>
            <w:tcW w:w="503" w:type="pct"/>
            <w:tcBorders>
              <w:tl2br w:val="nil"/>
              <w:tr2bl w:val="nil"/>
            </w:tcBorders>
            <w:vAlign w:val="center"/>
          </w:tcPr>
          <w:p w14:paraId="21093C19">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6432" behindDoc="0" locked="0" layoutInCell="1" allowOverlap="1">
                      <wp:simplePos x="0" y="0"/>
                      <wp:positionH relativeFrom="column">
                        <wp:posOffset>63500</wp:posOffset>
                      </wp:positionH>
                      <wp:positionV relativeFrom="paragraph">
                        <wp:posOffset>52705</wp:posOffset>
                      </wp:positionV>
                      <wp:extent cx="75565" cy="75565"/>
                      <wp:effectExtent l="12700" t="8255" r="6985" b="11430"/>
                      <wp:wrapNone/>
                      <wp:docPr id="297" name="椭圆 297"/>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5pt;margin-top:4.15pt;height:5.95pt;width:5.95pt;z-index:251666432;mso-width-relative:page;mso-height-relative:page;" fillcolor="#FFFFFF" filled="t" stroked="t" coordsize="21600,21600" o:gfxdata="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2V5eH1QAAAAYBAAAPAAAAAAAAAAEAIAAAACIAAABkcnMvZG93bnJldi54bWxQ&#10;SwECFAAUAAAACACHTuJAVF5iyDMCAABxBAAADgAAAAAAAAABACAAAAAkAQAAZHJzL2Uyb0RvYy54&#10;bWxQSwUGAAAAAAYABgBZAQAAyQUAAAAA&#10;">
                      <v:fill on="t" focussize="0,0"/>
                      <v:stroke color="#000000" joinstyle="round"/>
                      <v:imagedata o:title=""/>
                      <o:lock v:ext="edit" aspectratio="f"/>
                    </v:shape>
                  </w:pict>
                </mc:Fallback>
              </mc:AlternateContent>
            </w:r>
          </w:p>
        </w:tc>
        <w:tc>
          <w:tcPr>
            <w:tcW w:w="484" w:type="pct"/>
            <w:tcBorders>
              <w:tl2br w:val="nil"/>
              <w:tr2bl w:val="nil"/>
            </w:tcBorders>
            <w:vAlign w:val="center"/>
          </w:tcPr>
          <w:p w14:paraId="5D5CEFC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8480" behindDoc="0" locked="0" layoutInCell="1" allowOverlap="1">
                      <wp:simplePos x="0" y="0"/>
                      <wp:positionH relativeFrom="column">
                        <wp:posOffset>117475</wp:posOffset>
                      </wp:positionH>
                      <wp:positionV relativeFrom="paragraph">
                        <wp:posOffset>52705</wp:posOffset>
                      </wp:positionV>
                      <wp:extent cx="75565" cy="75565"/>
                      <wp:effectExtent l="12065" t="8255" r="7620" b="11430"/>
                      <wp:wrapNone/>
                      <wp:docPr id="296" name="椭圆 29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15pt;height:5.95pt;width:5.95pt;z-index:251668480;mso-width-relative:page;mso-height-relative:page;" fillcolor="#FFFFFF" filled="t" stroked="t" coordsize="21600,21600" o:gfxdata="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1KjXUAAAABgEAAA8AAAAAAAAAAQAgAAAAIgAAAGRycy9kb3ducmV2LnhtbFBL&#10;AQIUABQAAAAIAIdO4kCP1m00MwIAAHEEAAAOAAAAAAAAAAEAIAAAACMBAABkcnMvZTJvRG9jLnht&#10;bFBLBQYAAAAABgAGAFkBAADIBQ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235BB69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4320" behindDoc="0" locked="0" layoutInCell="1" allowOverlap="1">
                      <wp:simplePos x="0" y="0"/>
                      <wp:positionH relativeFrom="column">
                        <wp:posOffset>94615</wp:posOffset>
                      </wp:positionH>
                      <wp:positionV relativeFrom="paragraph">
                        <wp:posOffset>42545</wp:posOffset>
                      </wp:positionV>
                      <wp:extent cx="76200" cy="85725"/>
                      <wp:effectExtent l="3175" t="8255" r="6350" b="1270"/>
                      <wp:wrapNone/>
                      <wp:docPr id="295" name="等腰三角形 295"/>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45pt;margin-top:3.35pt;height:6.75pt;width:6pt;z-index:251704320;mso-width-relative:page;mso-height-relative:page;" fillcolor="#000000" filled="t" stroked="f" coordsize="21600,21600" o:gfxdata="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&#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D8NYXTAAAABgEAAA8AAAAAAAAAAQAgAAAAIgAAAGRy&#10;cy9kb3ducmV2LnhtbFBLAQIUABQAAAAIAIdO4kD+TKdnQwIAAGAEAAAOAAAAAAAAAAEAIAAAACIB&#10;AABkcnMvZTJvRG9jLnhtbFBLBQYAAAAABgAGAFkBAADX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36" w:type="pct"/>
            <w:tcBorders>
              <w:tl2br w:val="nil"/>
              <w:tr2bl w:val="nil"/>
            </w:tcBorders>
            <w:vAlign w:val="center"/>
          </w:tcPr>
          <w:p w14:paraId="3790012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1792" behindDoc="0" locked="0" layoutInCell="1" allowOverlap="1">
                      <wp:simplePos x="0" y="0"/>
                      <wp:positionH relativeFrom="column">
                        <wp:posOffset>83185</wp:posOffset>
                      </wp:positionH>
                      <wp:positionV relativeFrom="paragraph">
                        <wp:posOffset>52705</wp:posOffset>
                      </wp:positionV>
                      <wp:extent cx="75565" cy="75565"/>
                      <wp:effectExtent l="11430" t="8255" r="8255" b="11430"/>
                      <wp:wrapNone/>
                      <wp:docPr id="294" name="椭圆 294"/>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4.15pt;height:5.95pt;width:5.95pt;z-index:251681792;mso-width-relative:page;mso-height-relative:page;" fillcolor="#FFFFFF" filled="t" stroked="t" coordsize="21600,21600" o:gfxdata="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rxQ0XUAAAABgEAAA8AAAAAAAAAAQAgAAAAIgAAAGRycy9kb3ducmV2LnhtbFBL&#10;AQIUABQAAAAIAIdO4kB4wQMXMwIAAHEEAAAOAAAAAAAAAAEAIAAAACMBAABkcnMvZTJvRG9jLnht&#10;bFBLBQYAAAAABgAGAFkBAADIBQ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097AE6FC">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6608" behindDoc="0" locked="0" layoutInCell="1" allowOverlap="1">
                      <wp:simplePos x="0" y="0"/>
                      <wp:positionH relativeFrom="column">
                        <wp:posOffset>100330</wp:posOffset>
                      </wp:positionH>
                      <wp:positionV relativeFrom="paragraph">
                        <wp:posOffset>42545</wp:posOffset>
                      </wp:positionV>
                      <wp:extent cx="76200" cy="85725"/>
                      <wp:effectExtent l="12700" t="17780" r="15875" b="10795"/>
                      <wp:wrapNone/>
                      <wp:docPr id="293" name="等腰三角形 293"/>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35pt;height:6.75pt;width:6pt;z-index:251716608;mso-width-relative:page;mso-height-relative:page;" filled="f" stroked="t" coordsize="21600,21600" o:gfxdata="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yqoWNUAAAAG&#10;AQAADwAAAAAAAAABACAAAAAiAAAAZHJzL2Rvd25yZXYueG1sUEsBAhQAFAAAAAgAh07iQG1r4Y5Y&#10;AgAAiwQAAA4AAAAAAAAAAQAgAAAAJAEAAGRycy9lMm9Eb2MueG1sUEsFBgAAAAAGAAYAWQEAAO4F&#10;A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82" w:type="pct"/>
            <w:tcBorders>
              <w:tl2br w:val="nil"/>
              <w:tr2bl w:val="nil"/>
            </w:tcBorders>
            <w:vAlign w:val="center"/>
          </w:tcPr>
          <w:p w14:paraId="25A1EC3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0704" behindDoc="0" locked="0" layoutInCell="1" allowOverlap="1">
                      <wp:simplePos x="0" y="0"/>
                      <wp:positionH relativeFrom="column">
                        <wp:posOffset>151130</wp:posOffset>
                      </wp:positionH>
                      <wp:positionV relativeFrom="paragraph">
                        <wp:posOffset>42545</wp:posOffset>
                      </wp:positionV>
                      <wp:extent cx="76200" cy="85725"/>
                      <wp:effectExtent l="21590" t="17780" r="16510" b="10795"/>
                      <wp:wrapNone/>
                      <wp:docPr id="292" name="等腰三角形 29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1.9pt;margin-top:3.35pt;height:6.75pt;width:6pt;z-index:251720704;mso-width-relative:page;mso-height-relative:page;" filled="f" stroked="t" coordsize="21600,21600" o:gfxdata="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HGlD9UAAAAG&#10;AQAADwAAAAAAAAABACAAAAAiAAAAZHJzL2Rvd25yZXYueG1sUEsBAhQAFAAAAAgAh07iQOxGFZdY&#10;AgAAiwQAAA4AAAAAAAAAAQAgAAAAJAEAAGRycy9lMm9Eb2MueG1sUEsFBgAAAAAGAAYAWQEAAO4F&#10;A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73" w:type="pct"/>
            <w:tcBorders>
              <w:tl2br w:val="nil"/>
              <w:tr2bl w:val="nil"/>
            </w:tcBorders>
            <w:vAlign w:val="center"/>
          </w:tcPr>
          <w:p w14:paraId="245F654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5408" behindDoc="0" locked="0" layoutInCell="1" allowOverlap="1">
                      <wp:simplePos x="0" y="0"/>
                      <wp:positionH relativeFrom="column">
                        <wp:posOffset>118745</wp:posOffset>
                      </wp:positionH>
                      <wp:positionV relativeFrom="paragraph">
                        <wp:posOffset>52705</wp:posOffset>
                      </wp:positionV>
                      <wp:extent cx="75565" cy="75565"/>
                      <wp:effectExtent l="9525" t="8255" r="10160" b="11430"/>
                      <wp:wrapNone/>
                      <wp:docPr id="291" name="椭圆 29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35pt;margin-top:4.15pt;height:5.95pt;width:5.95pt;z-index:251665408;mso-width-relative:page;mso-height-relative:page;" fillcolor="#FFFFFF" filled="t" stroked="t" coordsize="21600,21600" o:gfxdata="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DMMHHUAAAABgEAAA8AAAAAAAAAAQAgAAAAIgAAAGRycy9kb3ducmV2LnhtbFBL&#10;AQIUABQAAAAIAIdO4kBNZtCtMwIAAHEEAAAOAAAAAAAAAAEAIAAAACMBAABkcnMvZTJvRG9jLnht&#10;bFBLBQYAAAAABgAGAFkBAADIBQAAAAA=&#10;">
                      <v:fill on="t" focussize="0,0"/>
                      <v:stroke color="#000000" joinstyle="round"/>
                      <v:imagedata o:title=""/>
                      <o:lock v:ext="edit" aspectratio="f"/>
                    </v:shape>
                  </w:pict>
                </mc:Fallback>
              </mc:AlternateContent>
            </w:r>
          </w:p>
        </w:tc>
      </w:tr>
      <w:tr w14:paraId="6903D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37236E7D">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81" w:type="pct"/>
            <w:vMerge w:val="continue"/>
            <w:tcBorders>
              <w:left w:val="single" w:color="auto" w:sz="4" w:space="0"/>
              <w:right w:val="single" w:color="auto" w:sz="4" w:space="0"/>
              <w:tl2br w:val="nil"/>
              <w:tr2bl w:val="nil"/>
            </w:tcBorders>
            <w:vAlign w:val="center"/>
          </w:tcPr>
          <w:p w14:paraId="00DF2111">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87" w:type="pct"/>
            <w:gridSpan w:val="2"/>
            <w:tcBorders>
              <w:left w:val="single" w:color="auto" w:sz="4" w:space="0"/>
              <w:tl2br w:val="nil"/>
              <w:tr2bl w:val="nil"/>
            </w:tcBorders>
            <w:vAlign w:val="center"/>
          </w:tcPr>
          <w:p w14:paraId="6DB1FE0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施工噪声</w:t>
            </w:r>
          </w:p>
        </w:tc>
        <w:tc>
          <w:tcPr>
            <w:tcW w:w="503" w:type="pct"/>
            <w:tcBorders>
              <w:tl2br w:val="nil"/>
              <w:tr2bl w:val="nil"/>
            </w:tcBorders>
            <w:vAlign w:val="center"/>
          </w:tcPr>
          <w:p w14:paraId="1474FF44">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7456" behindDoc="0" locked="0" layoutInCell="1" allowOverlap="1">
                      <wp:simplePos x="0" y="0"/>
                      <wp:positionH relativeFrom="column">
                        <wp:posOffset>63500</wp:posOffset>
                      </wp:positionH>
                      <wp:positionV relativeFrom="paragraph">
                        <wp:posOffset>53975</wp:posOffset>
                      </wp:positionV>
                      <wp:extent cx="75565" cy="75565"/>
                      <wp:effectExtent l="12700" t="7620" r="6985" b="12065"/>
                      <wp:wrapNone/>
                      <wp:docPr id="290" name="椭圆 29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5pt;margin-top:4.25pt;height:5.95pt;width:5.95pt;z-index:251667456;mso-width-relative:page;mso-height-relative:page;" fillcolor="#FFFFFF" filled="t" stroked="t" coordsize="21600,21600" o:gfxdata="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WJpzW1QAAAAYBAAAPAAAAAAAAAAEAIAAAACIAAABkcnMvZG93bnJldi54bWxQ&#10;SwECFAAUAAAACACHTuJAlu7fUTMCAABxBAAADgAAAAAAAAABACAAAAAkAQAAZHJzL2Uyb0RvYy54&#10;bWxQSwUGAAAAAAYABgBZAQAAyQUAAAAA&#10;">
                      <v:fill on="t" focussize="0,0"/>
                      <v:stroke color="#000000" joinstyle="round"/>
                      <v:imagedata o:title=""/>
                      <o:lock v:ext="edit" aspectratio="f"/>
                    </v:shape>
                  </w:pict>
                </mc:Fallback>
              </mc:AlternateContent>
            </w:r>
          </w:p>
        </w:tc>
        <w:tc>
          <w:tcPr>
            <w:tcW w:w="484" w:type="pct"/>
            <w:tcBorders>
              <w:tl2br w:val="nil"/>
              <w:tr2bl w:val="nil"/>
            </w:tcBorders>
            <w:vAlign w:val="center"/>
          </w:tcPr>
          <w:p w14:paraId="53F3506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69504" behindDoc="0" locked="0" layoutInCell="1" allowOverlap="1">
                      <wp:simplePos x="0" y="0"/>
                      <wp:positionH relativeFrom="column">
                        <wp:posOffset>117475</wp:posOffset>
                      </wp:positionH>
                      <wp:positionV relativeFrom="paragraph">
                        <wp:posOffset>53975</wp:posOffset>
                      </wp:positionV>
                      <wp:extent cx="75565" cy="75565"/>
                      <wp:effectExtent l="12065" t="7620" r="7620" b="12065"/>
                      <wp:wrapNone/>
                      <wp:docPr id="289" name="椭圆 28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25pt;height:5.95pt;width:5.95pt;z-index:251669504;mso-width-relative:page;mso-height-relative:page;" fillcolor="#FFFFFF" filled="t" stroked="t" coordsize="21600,21600" o:gfxdata="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4QhZNMAAAAGAQAADwAAAAAAAAABACAAAAAiAAAAZHJzL2Rvd25yZXYueG1sUEsB&#10;AhQAFAAAAAgAh07iQEU9lTEzAgAAcQQAAA4AAAAAAAAAAQAgAAAAIg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558F86D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6672" behindDoc="0" locked="0" layoutInCell="1" allowOverlap="1">
                      <wp:simplePos x="0" y="0"/>
                      <wp:positionH relativeFrom="column">
                        <wp:posOffset>94615</wp:posOffset>
                      </wp:positionH>
                      <wp:positionV relativeFrom="paragraph">
                        <wp:posOffset>53975</wp:posOffset>
                      </wp:positionV>
                      <wp:extent cx="75565" cy="75565"/>
                      <wp:effectExtent l="11430" t="7620" r="8255" b="12065"/>
                      <wp:wrapNone/>
                      <wp:docPr id="288" name="椭圆 28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25pt;height:5.95pt;width:5.95pt;z-index:251676672;mso-width-relative:page;mso-height-relative:page;" fillcolor="#FFFFFF" filled="t" stroked="t" coordsize="21600,21600" o:gfxdata="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o4XT1QAAAAYBAAAPAAAAAAAAAAEAIAAAACIAAABkcnMvZG93bnJldi54bWxQ&#10;SwECFAAUAAAACACHTuJAnrWazTMCAABxBAAADgAAAAAAAAABACAAAAAkAQAAZHJzL2Uyb0RvYy54&#10;bWxQSwUGAAAAAAYABgBZAQAAyQU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162C093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8176" behindDoc="0" locked="0" layoutInCell="1" allowOverlap="1">
                      <wp:simplePos x="0" y="0"/>
                      <wp:positionH relativeFrom="column">
                        <wp:posOffset>83185</wp:posOffset>
                      </wp:positionH>
                      <wp:positionV relativeFrom="paragraph">
                        <wp:posOffset>34290</wp:posOffset>
                      </wp:positionV>
                      <wp:extent cx="95250" cy="95250"/>
                      <wp:effectExtent l="3175" t="6985" r="6350" b="2540"/>
                      <wp:wrapNone/>
                      <wp:docPr id="95" name="菱形 95"/>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6.55pt;margin-top:2.7pt;height:7.5pt;width:7.5pt;z-index:251698176;mso-width-relative:page;mso-height-relative:page;" fillcolor="#000000" filled="t" stroked="f" coordsize="21600,21600" o:gfxdata="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B0dUg1gAAAAYBAAAPAAAA&#10;AAAAAAEAIAAAACIAAABkcnMvZG93bnJldi54bWxQSwECFAAUAAAACACHTuJAzSwAShcCAAAoBAAA&#10;DgAAAAAAAAABACAAAAAlAQAAZHJzL2Uyb0RvYy54bWxQSwUGAAAAAAYABgBZAQAArgU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22" w:type="pct"/>
            <w:tcBorders>
              <w:tl2br w:val="nil"/>
              <w:tr2bl w:val="nil"/>
            </w:tcBorders>
            <w:vAlign w:val="center"/>
          </w:tcPr>
          <w:p w14:paraId="433B67E9">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7632" behindDoc="0" locked="0" layoutInCell="1" allowOverlap="1">
                      <wp:simplePos x="0" y="0"/>
                      <wp:positionH relativeFrom="column">
                        <wp:posOffset>100330</wp:posOffset>
                      </wp:positionH>
                      <wp:positionV relativeFrom="paragraph">
                        <wp:posOffset>43815</wp:posOffset>
                      </wp:positionV>
                      <wp:extent cx="76200" cy="85725"/>
                      <wp:effectExtent l="12700" t="17145" r="15875" b="11430"/>
                      <wp:wrapNone/>
                      <wp:docPr id="94" name="等腰三角形 94"/>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45pt;height:6.75pt;width:6pt;z-index:251717632;mso-width-relative:page;mso-height-relative:page;" filled="f" stroked="t" coordsize="21600,21600" o:gfxdata="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b65sPUAAAABgEA&#10;AA8AAAAAAAAAAQAgAAAAIgAAAGRycy9kb3ducmV2LnhtbFBLAQIUABQAAAAIAIdO4kBI4VhTVwIA&#10;AIkEAAAOAAAAAAAAAAEAIAAAACM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82" w:type="pct"/>
            <w:tcBorders>
              <w:tl2br w:val="nil"/>
              <w:tr2bl w:val="nil"/>
            </w:tcBorders>
            <w:vAlign w:val="center"/>
          </w:tcPr>
          <w:p w14:paraId="5304887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1008" behindDoc="0" locked="0" layoutInCell="1" allowOverlap="1">
                      <wp:simplePos x="0" y="0"/>
                      <wp:positionH relativeFrom="column">
                        <wp:posOffset>151130</wp:posOffset>
                      </wp:positionH>
                      <wp:positionV relativeFrom="paragraph">
                        <wp:posOffset>53975</wp:posOffset>
                      </wp:positionV>
                      <wp:extent cx="75565" cy="75565"/>
                      <wp:effectExtent l="10160" t="7620" r="9525" b="12065"/>
                      <wp:wrapNone/>
                      <wp:docPr id="93" name="椭圆 93"/>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25pt;height:5.95pt;width:5.95pt;z-index:251691008;mso-width-relative:page;mso-height-relative:page;" fillcolor="#FFFFFF" filled="t" stroked="t" coordsize="21600,21600" o:gfxdata="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fnQHPVAAAABgEAAA8AAAAAAAAAAQAgAAAAIgAAAGRycy9kb3ducmV2LnhtbFBL&#10;AQIUABQAAAAIAIdO4kB2DS+fMgIAAG8EAAAOAAAAAAAAAAEAIAAAACQBAABkcnMvZTJvRG9jLnht&#10;bFBLBQYAAAAABgAGAFkBAADIBQ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52E6FFE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2752" behindDoc="0" locked="0" layoutInCell="1" allowOverlap="1">
                      <wp:simplePos x="0" y="0"/>
                      <wp:positionH relativeFrom="column">
                        <wp:posOffset>118745</wp:posOffset>
                      </wp:positionH>
                      <wp:positionV relativeFrom="paragraph">
                        <wp:posOffset>43815</wp:posOffset>
                      </wp:positionV>
                      <wp:extent cx="76200" cy="85725"/>
                      <wp:effectExtent l="20955" t="17145" r="17145" b="11430"/>
                      <wp:wrapNone/>
                      <wp:docPr id="92" name="等腰三角形 9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45pt;height:6.75pt;width:6pt;z-index:251722752;mso-width-relative:page;mso-height-relative:page;" filled="f" stroked="t" coordsize="21600,21600" o:gfxdata="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vcEu51QAAAAYB&#10;AAAPAAAAAAAAAAEAIAAAACIAAABkcnMvZG93bnJldi54bWxQSwECFAAUAAAACACHTuJAj2rgolcC&#10;AACJBAAADgAAAAAAAAABACAAAAAkAQAAZHJzL2Uyb0RvYy54bWxQSwUGAAAAAAYABgBZAQAA7QUA&#10;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r>
      <w:tr w14:paraId="695B9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2F398B5D">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968" w:type="pct"/>
            <w:gridSpan w:val="3"/>
            <w:tcBorders>
              <w:tl2br w:val="nil"/>
              <w:tr2bl w:val="nil"/>
            </w:tcBorders>
            <w:vAlign w:val="center"/>
          </w:tcPr>
          <w:p w14:paraId="56DFC2D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车辆运输</w:t>
            </w:r>
          </w:p>
        </w:tc>
        <w:tc>
          <w:tcPr>
            <w:tcW w:w="503" w:type="pct"/>
            <w:tcBorders>
              <w:tl2br w:val="nil"/>
              <w:tr2bl w:val="nil"/>
            </w:tcBorders>
            <w:vAlign w:val="center"/>
          </w:tcPr>
          <w:p w14:paraId="3792DE6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0224" behindDoc="0" locked="0" layoutInCell="1" allowOverlap="1">
                      <wp:simplePos x="0" y="0"/>
                      <wp:positionH relativeFrom="column">
                        <wp:posOffset>63500</wp:posOffset>
                      </wp:positionH>
                      <wp:positionV relativeFrom="paragraph">
                        <wp:posOffset>52705</wp:posOffset>
                      </wp:positionV>
                      <wp:extent cx="76200" cy="85725"/>
                      <wp:effectExtent l="4445" t="8255" r="5080" b="1270"/>
                      <wp:wrapNone/>
                      <wp:docPr id="91" name="等腰三角形 91"/>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4.15pt;height:6.75pt;width:6pt;z-index:251700224;mso-width-relative:page;mso-height-relative:page;" fillcolor="#000000" filled="t" stroked="f" coordsize="21600,21600" o:gfxdata="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Znfhp0gAAAAYBAAAPAAAAAAAAAAEAIAAAACIAAABkcnMv&#10;ZG93bnJldi54bWxQSwECFAAUAAAACACHTuJAFyAHKk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484" w:type="pct"/>
            <w:tcBorders>
              <w:tl2br w:val="nil"/>
              <w:tr2bl w:val="nil"/>
            </w:tcBorders>
            <w:vAlign w:val="center"/>
          </w:tcPr>
          <w:p w14:paraId="30E9A0C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0528" behindDoc="0" locked="0" layoutInCell="1" allowOverlap="1">
                      <wp:simplePos x="0" y="0"/>
                      <wp:positionH relativeFrom="column">
                        <wp:posOffset>117475</wp:posOffset>
                      </wp:positionH>
                      <wp:positionV relativeFrom="paragraph">
                        <wp:posOffset>62865</wp:posOffset>
                      </wp:positionV>
                      <wp:extent cx="75565" cy="75565"/>
                      <wp:effectExtent l="12065" t="8255" r="7620" b="11430"/>
                      <wp:wrapNone/>
                      <wp:docPr id="90" name="椭圆 9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95pt;height:5.95pt;width:5.95pt;z-index:251670528;mso-width-relative:page;mso-height-relative:page;" fillcolor="#FFFFFF" filled="t" stroked="t" coordsize="21600,21600" o:gfxdata="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IkgNtUAAAAGAQAADwAAAAAAAAABACAAAAAiAAAAZHJzL2Rvd25yZXYueG1sUEsB&#10;AhQAFAAAAAgAh07iQBUTqmgxAgAAbwQAAA4AAAAAAAAAAQAgAAAAJA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7D32A8E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7696" behindDoc="0" locked="0" layoutInCell="1" allowOverlap="1">
                      <wp:simplePos x="0" y="0"/>
                      <wp:positionH relativeFrom="column">
                        <wp:posOffset>94615</wp:posOffset>
                      </wp:positionH>
                      <wp:positionV relativeFrom="paragraph">
                        <wp:posOffset>65405</wp:posOffset>
                      </wp:positionV>
                      <wp:extent cx="75565" cy="75565"/>
                      <wp:effectExtent l="11430" t="8255" r="8255" b="11430"/>
                      <wp:wrapNone/>
                      <wp:docPr id="89" name="椭圆 8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5.15pt;height:5.95pt;width:5.95pt;z-index:251677696;mso-width-relative:page;mso-height-relative:page;" fillcolor="#FFFFFF" filled="t" stroked="t" coordsize="21600,21600" o:gfxdata="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srZ6rVAAAABwEAAA8AAAAAAAAAAQAgAAAAIgAAAGRycy9kb3ducmV2LnhtbFBL&#10;AQIUABQAAAAIAIdO4kCr0ZmP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38E10B6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5344" behindDoc="0" locked="0" layoutInCell="1" allowOverlap="1">
                      <wp:simplePos x="0" y="0"/>
                      <wp:positionH relativeFrom="column">
                        <wp:posOffset>83185</wp:posOffset>
                      </wp:positionH>
                      <wp:positionV relativeFrom="paragraph">
                        <wp:posOffset>52705</wp:posOffset>
                      </wp:positionV>
                      <wp:extent cx="76200" cy="85725"/>
                      <wp:effectExtent l="3175" t="8255" r="6350" b="1270"/>
                      <wp:wrapNone/>
                      <wp:docPr id="88" name="等腰三角形 8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6.55pt;margin-top:4.15pt;height:6.75pt;width:6pt;z-index:251705344;mso-width-relative:page;mso-height-relative:page;" fillcolor="#000000" filled="t" stroked="f" coordsize="21600,21600" o:gfxdata="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aOpwa9MAAAAGAQAADwAAAAAAAAABACAAAAAiAAAAZHJz&#10;L2Rvd25yZXYueG1sUEsBAhQAFAAAAAgAh07iQAL3U+hCAgAAXgQAAA4AAAAAAAAAAQAgAAAAIgEA&#10;AGRycy9lMm9Eb2MueG1sUEsFBgAAAAAGAAYAWQEAANYFA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c>
          <w:tcPr>
            <w:tcW w:w="522" w:type="pct"/>
            <w:tcBorders>
              <w:tl2br w:val="nil"/>
              <w:tr2bl w:val="nil"/>
            </w:tcBorders>
            <w:vAlign w:val="center"/>
          </w:tcPr>
          <w:p w14:paraId="4681126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5888" behindDoc="0" locked="0" layoutInCell="1" allowOverlap="1">
                      <wp:simplePos x="0" y="0"/>
                      <wp:positionH relativeFrom="column">
                        <wp:posOffset>100330</wp:posOffset>
                      </wp:positionH>
                      <wp:positionV relativeFrom="paragraph">
                        <wp:posOffset>62865</wp:posOffset>
                      </wp:positionV>
                      <wp:extent cx="75565" cy="75565"/>
                      <wp:effectExtent l="11430" t="8255" r="8255" b="11430"/>
                      <wp:wrapNone/>
                      <wp:docPr id="87" name="椭圆 87"/>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95pt;height:5.95pt;width:5.95pt;z-index:251685888;mso-width-relative:page;mso-height-relative:page;" fillcolor="#FFFFFF" filled="t" stroked="t" coordsize="21600,21600" o:gfxdata="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exTHbVAAAABgEAAA8AAAAAAAAAAQAgAAAAIgAAAGRycy9kb3ducmV2LnhtbFBL&#10;AQIUABQAAAAIAIdO4kDnsGlCMgIAAG8EAAAOAAAAAAAAAAEAIAAAACQBAABkcnMvZTJvRG9jLnht&#10;bFBLBQYAAAAABgAGAFkBAADIBQ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38F3FA7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2032" behindDoc="0" locked="0" layoutInCell="1" allowOverlap="1">
                      <wp:simplePos x="0" y="0"/>
                      <wp:positionH relativeFrom="column">
                        <wp:posOffset>151130</wp:posOffset>
                      </wp:positionH>
                      <wp:positionV relativeFrom="paragraph">
                        <wp:posOffset>62865</wp:posOffset>
                      </wp:positionV>
                      <wp:extent cx="75565" cy="75565"/>
                      <wp:effectExtent l="10160" t="8255" r="9525" b="11430"/>
                      <wp:wrapNone/>
                      <wp:docPr id="86" name="椭圆 8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95pt;height:5.95pt;width:5.95pt;z-index:251692032;mso-width-relative:page;mso-height-relative:page;" fillcolor="#FFFFFF" filled="t" stroked="t" coordsize="21600,21600" o:gfxdata="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TqQSHVAAAABgEAAA8AAAAAAAAAAQAgAAAAIgAAAGRycy9kb3ducmV2LnhtbFBL&#10;AQIUABQAAAAIAIdO4kDGuuoQMgIAAG8EAAAOAAAAAAAAAAEAIAAAACQBAABkcnMvZTJvRG9jLnht&#10;bFBLBQYAAAAABgAGAFkBAADIBQ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23594D7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8416" behindDoc="0" locked="0" layoutInCell="1" allowOverlap="1">
                      <wp:simplePos x="0" y="0"/>
                      <wp:positionH relativeFrom="column">
                        <wp:posOffset>118745</wp:posOffset>
                      </wp:positionH>
                      <wp:positionV relativeFrom="paragraph">
                        <wp:posOffset>52705</wp:posOffset>
                      </wp:positionV>
                      <wp:extent cx="76200" cy="85725"/>
                      <wp:effectExtent l="1905" t="8255" r="7620" b="1270"/>
                      <wp:wrapNone/>
                      <wp:docPr id="85" name="等腰三角形 85"/>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4.15pt;height:6.75pt;width:6pt;z-index:251708416;mso-width-relative:page;mso-height-relative:page;" fillcolor="#000000" filled="t" stroked="f" coordsize="21600,21600" o:gfxdata="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S1wNf0gAAAAYBAAAPAAAAAAAAAAEAIAAAACIAAABkcnMv&#10;ZG93bnJldi54bWxQSwECFAAUAAAACACHTuJAeQ34rk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S</w:t>
            </w:r>
          </w:p>
        </w:tc>
      </w:tr>
      <w:tr w14:paraId="3E5CA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restart"/>
            <w:tcBorders>
              <w:tl2br w:val="nil"/>
              <w:tr2bl w:val="nil"/>
            </w:tcBorders>
            <w:vAlign w:val="center"/>
          </w:tcPr>
          <w:p w14:paraId="602686E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运行期</w:t>
            </w:r>
          </w:p>
        </w:tc>
        <w:tc>
          <w:tcPr>
            <w:tcW w:w="391" w:type="pct"/>
            <w:gridSpan w:val="2"/>
            <w:vMerge w:val="restart"/>
            <w:tcBorders>
              <w:right w:val="single" w:color="auto" w:sz="4" w:space="0"/>
              <w:tl2br w:val="nil"/>
              <w:tr2bl w:val="nil"/>
            </w:tcBorders>
            <w:vAlign w:val="center"/>
          </w:tcPr>
          <w:p w14:paraId="44D3FDE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场区</w:t>
            </w:r>
          </w:p>
        </w:tc>
        <w:tc>
          <w:tcPr>
            <w:tcW w:w="576" w:type="pct"/>
            <w:tcBorders>
              <w:left w:val="single" w:color="auto" w:sz="4" w:space="0"/>
              <w:tl2br w:val="nil"/>
              <w:tr2bl w:val="nil"/>
            </w:tcBorders>
            <w:vAlign w:val="center"/>
          </w:tcPr>
          <w:p w14:paraId="4B5E3F4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工程废水</w:t>
            </w:r>
          </w:p>
        </w:tc>
        <w:tc>
          <w:tcPr>
            <w:tcW w:w="503" w:type="pct"/>
            <w:tcBorders>
              <w:tl2br w:val="nil"/>
              <w:tr2bl w:val="nil"/>
            </w:tcBorders>
            <w:vAlign w:val="center"/>
          </w:tcPr>
          <w:p w14:paraId="0BCC88D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1248" behindDoc="0" locked="0" layoutInCell="1" allowOverlap="1">
                      <wp:simplePos x="0" y="0"/>
                      <wp:positionH relativeFrom="column">
                        <wp:posOffset>63500</wp:posOffset>
                      </wp:positionH>
                      <wp:positionV relativeFrom="paragraph">
                        <wp:posOffset>38100</wp:posOffset>
                      </wp:positionV>
                      <wp:extent cx="76200" cy="85725"/>
                      <wp:effectExtent l="4445" t="8255" r="5080" b="1270"/>
                      <wp:wrapNone/>
                      <wp:docPr id="84" name="等腰三角形 84"/>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3pt;height:6.75pt;width:6pt;z-index:251701248;mso-width-relative:page;mso-height-relative:page;" fillcolor="#000000" filled="t" stroked="f" coordsize="21600,21600" o:gfxdata="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8IaWK0gAAAAYBAAAPAAAAAAAAAAEAIAAAACIAAABkcnMv&#10;ZG93bnJldi54bWxQSwECFAAUAAAACACHTuJAFSJJc0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2F7E557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1552" behindDoc="0" locked="0" layoutInCell="1" allowOverlap="1">
                      <wp:simplePos x="0" y="0"/>
                      <wp:positionH relativeFrom="column">
                        <wp:posOffset>117475</wp:posOffset>
                      </wp:positionH>
                      <wp:positionV relativeFrom="paragraph">
                        <wp:posOffset>48260</wp:posOffset>
                      </wp:positionV>
                      <wp:extent cx="75565" cy="75565"/>
                      <wp:effectExtent l="12065" t="8255" r="7620" b="11430"/>
                      <wp:wrapNone/>
                      <wp:docPr id="83" name="椭圆 83"/>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3.8pt;height:5.95pt;width:5.95pt;z-index:251671552;mso-width-relative:page;mso-height-relative:page;" fillcolor="#FFFFFF" filled="t" stroked="t" coordsize="21600,21600" o:gfxdata="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7HopfUAAAABgEAAA8AAAAAAAAAAQAgAAAAIgAAAGRycy9kb3ducmV2LnhtbFBL&#10;AQIUABQAAAAIAIdO4kAinhTTMwIAAG8EAAAOAAAAAAAAAAEAIAAAACMBAABkcnMvZTJvRG9jLnht&#10;bFBLBQYAAAAABgAGAFkBAADIBQ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47C6B1B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2512" behindDoc="0" locked="0" layoutInCell="1" allowOverlap="1">
                      <wp:simplePos x="0" y="0"/>
                      <wp:positionH relativeFrom="column">
                        <wp:posOffset>94615</wp:posOffset>
                      </wp:positionH>
                      <wp:positionV relativeFrom="paragraph">
                        <wp:posOffset>38100</wp:posOffset>
                      </wp:positionV>
                      <wp:extent cx="76200" cy="85725"/>
                      <wp:effectExtent l="12700" t="17780" r="15875" b="10795"/>
                      <wp:wrapNone/>
                      <wp:docPr id="82" name="等腰三角形 8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45pt;margin-top:3pt;height:6.75pt;width:6pt;z-index:251712512;mso-width-relative:page;mso-height-relative:page;" filled="f" stroked="t" coordsize="21600,21600" o:gfxdata="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G03bhvV&#10;AAAABgEAAA8AAAAAAAAAAQAgAAAAIgAAAGRycy9kb3ducmV2LnhtbFBLAQIUABQAAAAIAIdO4kCb&#10;TMZiXAIAAJcEAAAOAAAAAAAAAAEAIAAAACQBAABkcnMvZTJvRG9jLnhtbFBLBQYAAAAABgAGAFkB&#10;AADyBQ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36" w:type="pct"/>
            <w:tcBorders>
              <w:tl2br w:val="nil"/>
              <w:tr2bl w:val="nil"/>
            </w:tcBorders>
            <w:vAlign w:val="center"/>
          </w:tcPr>
          <w:p w14:paraId="6ADA0839">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2816" behindDoc="0" locked="0" layoutInCell="1" allowOverlap="1">
                      <wp:simplePos x="0" y="0"/>
                      <wp:positionH relativeFrom="column">
                        <wp:posOffset>83185</wp:posOffset>
                      </wp:positionH>
                      <wp:positionV relativeFrom="paragraph">
                        <wp:posOffset>48260</wp:posOffset>
                      </wp:positionV>
                      <wp:extent cx="75565" cy="75565"/>
                      <wp:effectExtent l="11430" t="8255" r="8255" b="11430"/>
                      <wp:wrapNone/>
                      <wp:docPr id="81" name="椭圆 8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3.8pt;height:5.95pt;width:5.95pt;z-index:251682816;mso-width-relative:page;mso-height-relative:page;" fillcolor="#FFFFFF" filled="t" stroked="t" coordsize="21600,21600" o:gfxdata="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28PL59QAAAAGAQAADwAAAAAAAAABACAAAAAiAAAAZHJzL2Rvd25yZXYueG1sUEsB&#10;AhQAFAAAAAgAh07iQGCKEnYyAgAAbwQAAA4AAAAAAAAAAQAgAAAAIwEAAGRycy9lMm9Eb2MueG1s&#10;UEsFBgAAAAAGAAYAWQEAAMcFA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65EE4F3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8656" behindDoc="0" locked="0" layoutInCell="1" allowOverlap="1">
                      <wp:simplePos x="0" y="0"/>
                      <wp:positionH relativeFrom="column">
                        <wp:posOffset>100330</wp:posOffset>
                      </wp:positionH>
                      <wp:positionV relativeFrom="paragraph">
                        <wp:posOffset>38100</wp:posOffset>
                      </wp:positionV>
                      <wp:extent cx="76200" cy="85725"/>
                      <wp:effectExtent l="12700" t="17780" r="15875" b="10795"/>
                      <wp:wrapNone/>
                      <wp:docPr id="80" name="等腰三角形 80"/>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9pt;margin-top:3pt;height:6.75pt;width:6pt;z-index:251718656;mso-width-relative:page;mso-height-relative:page;" filled="f" stroked="t" coordsize="21600,21600" o:gfxdata="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SjfZLUAAAABgEA&#10;AA8AAAAAAAAAAQAgAAAAIgAAAGRycy9kb3ducmV2LnhtbFBLAQIUABQAAAAIAIdO4kBJQw9FVwIA&#10;AIkEAAAOAAAAAAAAAAEAIAAAACM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82" w:type="pct"/>
            <w:tcBorders>
              <w:tl2br w:val="nil"/>
              <w:tr2bl w:val="nil"/>
            </w:tcBorders>
            <w:vAlign w:val="center"/>
          </w:tcPr>
          <w:p w14:paraId="3E8234B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9680" behindDoc="0" locked="0" layoutInCell="1" allowOverlap="1">
                      <wp:simplePos x="0" y="0"/>
                      <wp:positionH relativeFrom="column">
                        <wp:posOffset>151130</wp:posOffset>
                      </wp:positionH>
                      <wp:positionV relativeFrom="paragraph">
                        <wp:posOffset>38100</wp:posOffset>
                      </wp:positionV>
                      <wp:extent cx="76200" cy="85725"/>
                      <wp:effectExtent l="21590" t="17780" r="16510" b="10795"/>
                      <wp:wrapNone/>
                      <wp:docPr id="79" name="等腰三角形 79"/>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1.9pt;margin-top:3pt;height:6.75pt;width:6pt;z-index:251719680;mso-width-relative:page;mso-height-relative:page;" filled="f" stroked="t" coordsize="21600,21600" o:gfxdata="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H+HDF1QAAAAYB&#10;AAAPAAAAAAAAAAEAIAAAACIAAABkcnMvZG93bnJldi54bWxQSwECFAAUAAAACACHTuJAfjfIEFcC&#10;AACJBAAADgAAAAAAAAABACAAAAAkAQAAZHJzL2Uyb0RvYy54bWxQSwUGAAAAAAYABgBZAQAA7QUA&#10;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73" w:type="pct"/>
            <w:tcBorders>
              <w:tl2br w:val="nil"/>
              <w:tr2bl w:val="nil"/>
            </w:tcBorders>
            <w:vAlign w:val="center"/>
          </w:tcPr>
          <w:p w14:paraId="29239EF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9200" behindDoc="0" locked="0" layoutInCell="1" allowOverlap="1">
                      <wp:simplePos x="0" y="0"/>
                      <wp:positionH relativeFrom="column">
                        <wp:posOffset>118745</wp:posOffset>
                      </wp:positionH>
                      <wp:positionV relativeFrom="paragraph">
                        <wp:posOffset>28575</wp:posOffset>
                      </wp:positionV>
                      <wp:extent cx="95250" cy="95250"/>
                      <wp:effectExtent l="1905" t="7620" r="7620" b="1905"/>
                      <wp:wrapNone/>
                      <wp:docPr id="70" name="菱形 70"/>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9.35pt;margin-top:2.25pt;height:7.5pt;width:7.5pt;z-index:251699200;mso-width-relative:page;mso-height-relative:page;" fillcolor="#000000" filled="t" stroked="f" coordsize="21600,21600" o:gfxdata="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8mGxLVAAAABgEAAA8AAAAA&#10;AAAAAQAgAAAAIgAAAGRycy9kb3ducmV2LnhtbFBLAQIUABQAAAAIAIdO4kBqILvmFwIAACgEAAAO&#10;AAAAAAAAAAEAIAAAACQBAABkcnMvZTJvRG9jLnhtbFBLBQYAAAAABgAGAFkBAACtBQ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679E4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09619D39">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91" w:type="pct"/>
            <w:gridSpan w:val="2"/>
            <w:vMerge w:val="continue"/>
            <w:tcBorders>
              <w:right w:val="single" w:color="auto" w:sz="4" w:space="0"/>
              <w:tl2br w:val="nil"/>
              <w:tr2bl w:val="nil"/>
            </w:tcBorders>
            <w:vAlign w:val="center"/>
          </w:tcPr>
          <w:p w14:paraId="054965CF">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76" w:type="pct"/>
            <w:tcBorders>
              <w:left w:val="single" w:color="auto" w:sz="4" w:space="0"/>
              <w:tl2br w:val="nil"/>
              <w:tr2bl w:val="nil"/>
            </w:tcBorders>
            <w:vAlign w:val="center"/>
          </w:tcPr>
          <w:p w14:paraId="7433B41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生产恶臭</w:t>
            </w:r>
          </w:p>
        </w:tc>
        <w:tc>
          <w:tcPr>
            <w:tcW w:w="503" w:type="pct"/>
            <w:tcBorders>
              <w:tl2br w:val="nil"/>
              <w:tr2bl w:val="nil"/>
            </w:tcBorders>
            <w:vAlign w:val="center"/>
          </w:tcPr>
          <w:p w14:paraId="626738A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2272" behindDoc="0" locked="0" layoutInCell="1" allowOverlap="1">
                      <wp:simplePos x="0" y="0"/>
                      <wp:positionH relativeFrom="column">
                        <wp:posOffset>63500</wp:posOffset>
                      </wp:positionH>
                      <wp:positionV relativeFrom="paragraph">
                        <wp:posOffset>48895</wp:posOffset>
                      </wp:positionV>
                      <wp:extent cx="76200" cy="85725"/>
                      <wp:effectExtent l="4445" t="7620" r="5080" b="1905"/>
                      <wp:wrapNone/>
                      <wp:docPr id="69" name="等腰三角形 69"/>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3.85pt;height:6.75pt;width:6pt;z-index:251702272;mso-width-relative:page;mso-height-relative:page;" fillcolor="#000000" filled="t" stroked="f" coordsize="21600,21600" o:gfxdata="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EdnsNMAAAAGAQAADwAAAAAAAAABACAAAAAiAAAAZHJz&#10;L2Rvd25yZXYueG1sUEsBAhQAFAAAAAgAh07iQMR/GT9CAgAAXgQAAA4AAAAAAAAAAQAgAAAAIgEA&#10;AGRycy9lMm9Eb2MueG1sUEsFBgAAAAAGAAYAWQEAANYFA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33818D0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3600" behindDoc="0" locked="0" layoutInCell="1" allowOverlap="1">
                      <wp:simplePos x="0" y="0"/>
                      <wp:positionH relativeFrom="column">
                        <wp:posOffset>117475</wp:posOffset>
                      </wp:positionH>
                      <wp:positionV relativeFrom="paragraph">
                        <wp:posOffset>59055</wp:posOffset>
                      </wp:positionV>
                      <wp:extent cx="75565" cy="75565"/>
                      <wp:effectExtent l="12065" t="7620" r="7620" b="12065"/>
                      <wp:wrapNone/>
                      <wp:docPr id="68" name="椭圆 6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65pt;height:5.95pt;width:5.95pt;z-index:251673600;mso-width-relative:page;mso-height-relative:page;" fillcolor="#FFFFFF" filled="t" stroked="t" coordsize="21600,21600" o:gfxdata="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Bo9xdQAAAAGAQAADwAAAAAAAAABACAAAAAiAAAAZHJzL2Rvd25yZXYueG1sUEsB&#10;AhQAFAAAAAgAh07iQFAmvaIyAgAAbwQAAA4AAAAAAAAAAQAgAAAAIw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2C383D2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8720" behindDoc="0" locked="0" layoutInCell="1" allowOverlap="1">
                      <wp:simplePos x="0" y="0"/>
                      <wp:positionH relativeFrom="column">
                        <wp:posOffset>94615</wp:posOffset>
                      </wp:positionH>
                      <wp:positionV relativeFrom="paragraph">
                        <wp:posOffset>59055</wp:posOffset>
                      </wp:positionV>
                      <wp:extent cx="75565" cy="75565"/>
                      <wp:effectExtent l="11430" t="7620" r="8255" b="12065"/>
                      <wp:wrapNone/>
                      <wp:docPr id="67" name="椭圆 67"/>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65pt;height:5.95pt;width:5.95pt;z-index:251678720;mso-width-relative:page;mso-height-relative:page;" fillcolor="#FFFFFF" filled="t" stroked="t" coordsize="21600,21600" o:gfxdata="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9mXLVAAAABgEAAA8AAAAAAAAAAQAgAAAAIgAAAGRycy9kb3ducmV2LnhtbFBL&#10;AQIUABQAAAAIAIdO4kA9Tc49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009FCF0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3840" behindDoc="0" locked="0" layoutInCell="1" allowOverlap="1">
                      <wp:simplePos x="0" y="0"/>
                      <wp:positionH relativeFrom="column">
                        <wp:posOffset>83185</wp:posOffset>
                      </wp:positionH>
                      <wp:positionV relativeFrom="paragraph">
                        <wp:posOffset>59055</wp:posOffset>
                      </wp:positionV>
                      <wp:extent cx="75565" cy="75565"/>
                      <wp:effectExtent l="11430" t="7620" r="8255" b="12065"/>
                      <wp:wrapNone/>
                      <wp:docPr id="66" name="椭圆 6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4.65pt;height:5.95pt;width:5.95pt;z-index:251683840;mso-width-relative:page;mso-height-relative:page;" fillcolor="#FFFFFF" filled="t" stroked="t" coordsize="21600,21600" o:gfxdata="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eR5UtdQAAAAGAQAADwAAAAAAAAABACAAAAAiAAAAZHJzL2Rvd25yZXYueG1sUEsB&#10;AhQAFAAAAAgAh07iQBxHTW8yAgAAbwQAAA4AAAAAAAAAAQAgAAAAIwEAAGRycy9lMm9Eb2MueG1s&#10;UEsFBgAAAAAGAAYAWQEAAMcFA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5874125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6912" behindDoc="0" locked="0" layoutInCell="1" allowOverlap="1">
                      <wp:simplePos x="0" y="0"/>
                      <wp:positionH relativeFrom="column">
                        <wp:posOffset>100330</wp:posOffset>
                      </wp:positionH>
                      <wp:positionV relativeFrom="paragraph">
                        <wp:posOffset>59055</wp:posOffset>
                      </wp:positionV>
                      <wp:extent cx="75565" cy="75565"/>
                      <wp:effectExtent l="11430" t="7620" r="8255" b="12065"/>
                      <wp:wrapNone/>
                      <wp:docPr id="65" name="椭圆 65"/>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65pt;height:5.95pt;width:5.95pt;z-index:251686912;mso-width-relative:page;mso-height-relative:page;" fillcolor="#FFFFFF" filled="t" stroked="t" coordsize="21600,21600" o:gfxdata="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yJRhdUAAAAGAQAADwAAAAAAAAABACAAAAAiAAAAZHJzL2Rvd25yZXYueG1sUEsB&#10;AhQAFAAAAAgAh07iQH9ZyJgxAgAAbwQAAA4AAAAAAAAAAQAgAAAAJAEAAGRycy9lMm9Eb2MueG1s&#10;UEsFBgAAAAAGAAYAWQEAAMcFA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1BE8319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3056" behindDoc="0" locked="0" layoutInCell="1" allowOverlap="1">
                      <wp:simplePos x="0" y="0"/>
                      <wp:positionH relativeFrom="column">
                        <wp:posOffset>151130</wp:posOffset>
                      </wp:positionH>
                      <wp:positionV relativeFrom="paragraph">
                        <wp:posOffset>59055</wp:posOffset>
                      </wp:positionV>
                      <wp:extent cx="75565" cy="75565"/>
                      <wp:effectExtent l="10160" t="7620" r="9525" b="12065"/>
                      <wp:wrapNone/>
                      <wp:docPr id="64" name="椭圆 64"/>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65pt;height:5.95pt;width:5.95pt;z-index:251693056;mso-width-relative:page;mso-height-relative:page;" fillcolor="#FFFFFF" filled="t" stroked="t" coordsize="21600,21600" o:gfxdata="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Hlc0tQAAAAGAQAADwAAAAAAAAABACAAAAAiAAAAZHJzL2Rvd25yZXYueG1sUEsB&#10;AhQAFAAAAAgAh07iQF5TS8oyAgAAbwQAAA4AAAAAAAAAAQAgAAAAIwEAAGRycy9lMm9Eb2MueG1s&#10;UEsFBgAAAAAGAAYAWQEAAMcFA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1EF8534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9440" behindDoc="0" locked="0" layoutInCell="1" allowOverlap="1">
                      <wp:simplePos x="0" y="0"/>
                      <wp:positionH relativeFrom="column">
                        <wp:posOffset>118745</wp:posOffset>
                      </wp:positionH>
                      <wp:positionV relativeFrom="paragraph">
                        <wp:posOffset>48895</wp:posOffset>
                      </wp:positionV>
                      <wp:extent cx="76200" cy="85725"/>
                      <wp:effectExtent l="1905" t="7620" r="7620" b="1905"/>
                      <wp:wrapNone/>
                      <wp:docPr id="31" name="等腰三角形 31"/>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85pt;height:6.75pt;width:6pt;z-index:251709440;mso-width-relative:page;mso-height-relative:page;" fillcolor="#000000" filled="t" stroked="f" coordsize="21600,21600" o:gfxdata="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DDZyG0gAAAAYBAAAPAAAAAAAAAAEAIAAAACIAAABkcnMv&#10;ZG93bnJldi54bWxQSwECFAAUAAAACACHTuJAjPDr6E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0512E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074EAD86">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391" w:type="pct"/>
            <w:gridSpan w:val="2"/>
            <w:vMerge w:val="continue"/>
            <w:tcBorders>
              <w:right w:val="single" w:color="auto" w:sz="4" w:space="0"/>
              <w:tl2br w:val="nil"/>
              <w:tr2bl w:val="nil"/>
            </w:tcBorders>
            <w:vAlign w:val="center"/>
          </w:tcPr>
          <w:p w14:paraId="02209886">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576" w:type="pct"/>
            <w:tcBorders>
              <w:left w:val="single" w:color="auto" w:sz="4" w:space="0"/>
              <w:tl2br w:val="nil"/>
              <w:tr2bl w:val="nil"/>
            </w:tcBorders>
            <w:vAlign w:val="center"/>
          </w:tcPr>
          <w:p w14:paraId="7B032E35">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生产噪声</w:t>
            </w:r>
          </w:p>
        </w:tc>
        <w:tc>
          <w:tcPr>
            <w:tcW w:w="503" w:type="pct"/>
            <w:tcBorders>
              <w:tl2br w:val="nil"/>
              <w:tr2bl w:val="nil"/>
            </w:tcBorders>
            <w:vAlign w:val="center"/>
          </w:tcPr>
          <w:p w14:paraId="717D3EC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5648" behindDoc="0" locked="0" layoutInCell="1" allowOverlap="1">
                      <wp:simplePos x="0" y="0"/>
                      <wp:positionH relativeFrom="column">
                        <wp:posOffset>63500</wp:posOffset>
                      </wp:positionH>
                      <wp:positionV relativeFrom="paragraph">
                        <wp:posOffset>51435</wp:posOffset>
                      </wp:positionV>
                      <wp:extent cx="75565" cy="75565"/>
                      <wp:effectExtent l="12700" t="8255" r="6985" b="11430"/>
                      <wp:wrapNone/>
                      <wp:docPr id="30" name="椭圆 3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5pt;margin-top:4.05pt;height:5.95pt;width:5.95pt;z-index:251675648;mso-width-relative:page;mso-height-relative:page;" fillcolor="#FFFFFF" filled="t" stroked="t" coordsize="21600,21600" o:gfxdata="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nhut9QAAAAGAQAADwAAAAAAAAABACAAAAAiAAAAZHJzL2Rvd25yZXYueG1sUEsB&#10;AhQAFAAAAAgAh07iQN6lkvwyAgAAbwQAAA4AAAAAAAAAAQAgAAAAIwEAAGRycy9lMm9Eb2MueG1s&#10;UEsFBgAAAAAGAAYAWQEAAMcFAAAAAA==&#10;">
                      <v:fill on="t" focussize="0,0"/>
                      <v:stroke color="#000000" joinstyle="round"/>
                      <v:imagedata o:title=""/>
                      <o:lock v:ext="edit" aspectratio="f"/>
                    </v:shape>
                  </w:pict>
                </mc:Fallback>
              </mc:AlternateContent>
            </w:r>
          </w:p>
        </w:tc>
        <w:tc>
          <w:tcPr>
            <w:tcW w:w="484" w:type="pct"/>
            <w:tcBorders>
              <w:tl2br w:val="nil"/>
              <w:tr2bl w:val="nil"/>
            </w:tcBorders>
            <w:vAlign w:val="center"/>
          </w:tcPr>
          <w:p w14:paraId="79594F4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2576" behindDoc="0" locked="0" layoutInCell="1" allowOverlap="1">
                      <wp:simplePos x="0" y="0"/>
                      <wp:positionH relativeFrom="column">
                        <wp:posOffset>117475</wp:posOffset>
                      </wp:positionH>
                      <wp:positionV relativeFrom="paragraph">
                        <wp:posOffset>51435</wp:posOffset>
                      </wp:positionV>
                      <wp:extent cx="75565" cy="75565"/>
                      <wp:effectExtent l="12065" t="8255" r="7620" b="11430"/>
                      <wp:wrapNone/>
                      <wp:docPr id="29" name="椭圆 2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05pt;height:5.95pt;width:5.95pt;z-index:251672576;mso-width-relative:page;mso-height-relative:page;" fillcolor="#FFFFFF" filled="t" stroked="t" coordsize="21600,21600" o:gfxdata="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v2tMF0wAAAAYBAAAPAAAAAAAAAAEAIAAAACIAAABkcnMvZG93bnJldi54bWxQSwEC&#10;FAAUAAAACACHTuJAYGehGzICAABvBAAADgAAAAAAAAABACAAAAAiAQAAZHJzL2Uyb0RvYy54bWxQ&#10;SwUGAAAAAAYABgBZAQAAxgU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7FC31A3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9744" behindDoc="0" locked="0" layoutInCell="1" allowOverlap="1">
                      <wp:simplePos x="0" y="0"/>
                      <wp:positionH relativeFrom="column">
                        <wp:posOffset>94615</wp:posOffset>
                      </wp:positionH>
                      <wp:positionV relativeFrom="paragraph">
                        <wp:posOffset>51435</wp:posOffset>
                      </wp:positionV>
                      <wp:extent cx="75565" cy="75565"/>
                      <wp:effectExtent l="11430" t="8255" r="8255" b="11430"/>
                      <wp:wrapNone/>
                      <wp:docPr id="28" name="椭圆 28"/>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05pt;height:5.95pt;width:5.95pt;z-index:251679744;mso-width-relative:page;mso-height-relative:page;" fillcolor="#FFFFFF" filled="t" stroked="t" coordsize="21600,21600" o:gfxdata="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D9d7LVAAAABgEAAA8AAAAAAAAAAQAgAAAAIgAAAGRycy9kb3ducmV2LnhtbFBL&#10;AQIUABQAAAAIAIdO4kBBbSJJ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5179DCC2">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7152" behindDoc="0" locked="0" layoutInCell="1" allowOverlap="1">
                      <wp:simplePos x="0" y="0"/>
                      <wp:positionH relativeFrom="column">
                        <wp:posOffset>83185</wp:posOffset>
                      </wp:positionH>
                      <wp:positionV relativeFrom="paragraph">
                        <wp:posOffset>31750</wp:posOffset>
                      </wp:positionV>
                      <wp:extent cx="95250" cy="95250"/>
                      <wp:effectExtent l="3175" t="7620" r="6350" b="1905"/>
                      <wp:wrapNone/>
                      <wp:docPr id="27" name="菱形 27"/>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6.55pt;margin-top:2.5pt;height:7.5pt;width:7.5pt;z-index:251697152;mso-width-relative:page;mso-height-relative:page;" fillcolor="#000000" filled="t" stroked="f" coordsize="21600,21600" o:gfxdata="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jydB1gAAAAYBAAAPAAAA&#10;AAAAAAEAIAAAACIAAABkcnMvZG93bnJldi54bWxQSwECFAAUAAAACACHTuJAvhyXWhcCAAAoBAAA&#10;DgAAAAAAAAABACAAAAAlAQAAZHJzL2Uyb0RvYy54bWxQSwUGAAAAAAYABgBZAQAArgU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22" w:type="pct"/>
            <w:tcBorders>
              <w:tl2br w:val="nil"/>
              <w:tr2bl w:val="nil"/>
            </w:tcBorders>
            <w:vAlign w:val="center"/>
          </w:tcPr>
          <w:p w14:paraId="5895DB3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7936" behindDoc="0" locked="0" layoutInCell="1" allowOverlap="1">
                      <wp:simplePos x="0" y="0"/>
                      <wp:positionH relativeFrom="column">
                        <wp:posOffset>100330</wp:posOffset>
                      </wp:positionH>
                      <wp:positionV relativeFrom="paragraph">
                        <wp:posOffset>51435</wp:posOffset>
                      </wp:positionV>
                      <wp:extent cx="75565" cy="75565"/>
                      <wp:effectExtent l="11430" t="8255" r="8255" b="11430"/>
                      <wp:wrapNone/>
                      <wp:docPr id="26" name="椭圆 26"/>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05pt;height:5.95pt;width:5.95pt;z-index:251687936;mso-width-relative:page;mso-height-relative:page;" fillcolor="#FFFFFF" filled="t" stroked="t" coordsize="21600,21600" o:gfxdata="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OK/RdQAAAAGAQAADwAAAAAAAAABACAAAAAiAAAAZHJzL2Rvd25yZXYueG1sUEsB&#10;AhQAFAAAAAgAh07iQA0M0oQyAgAAbwQAAA4AAAAAAAAAAQAgAAAAIwEAAGRycy9lMm9Eb2MueG1s&#10;UEsFBgAAAAAGAAYAWQEAAMcFA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544A6AB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4080" behindDoc="0" locked="0" layoutInCell="1" allowOverlap="1">
                      <wp:simplePos x="0" y="0"/>
                      <wp:positionH relativeFrom="column">
                        <wp:posOffset>151130</wp:posOffset>
                      </wp:positionH>
                      <wp:positionV relativeFrom="paragraph">
                        <wp:posOffset>51435</wp:posOffset>
                      </wp:positionV>
                      <wp:extent cx="75565" cy="75565"/>
                      <wp:effectExtent l="10160" t="8255" r="9525" b="11430"/>
                      <wp:wrapNone/>
                      <wp:docPr id="25" name="椭圆 25"/>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05pt;height:5.95pt;width:5.95pt;z-index:251694080;mso-width-relative:page;mso-height-relative:page;" fillcolor="#FFFFFF" filled="t" stroked="t" coordsize="21600,21600" o:gfxdata="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7myEtQAAAAGAQAADwAAAAAAAAABACAAAAAiAAAAZHJzL2Rvd25yZXYueG1sUEsB&#10;AhQAFAAAAAgAh07iQG4SV3MyAgAAbwQAAA4AAAAAAAAAAQAgAAAAIwEAAGRycy9lMm9Eb2MueG1s&#10;UEsFBgAAAAAGAAYAWQEAAMcFAAAAAA==&#10;">
                      <v:fill on="t" focussize="0,0"/>
                      <v:stroke color="#000000" joinstyle="round"/>
                      <v:imagedata o:title=""/>
                      <o:lock v:ext="edit" aspectratio="f"/>
                    </v:shape>
                  </w:pict>
                </mc:Fallback>
              </mc:AlternateContent>
            </w:r>
          </w:p>
        </w:tc>
        <w:tc>
          <w:tcPr>
            <w:tcW w:w="573" w:type="pct"/>
            <w:tcBorders>
              <w:tl2br w:val="nil"/>
              <w:tr2bl w:val="nil"/>
            </w:tcBorders>
            <w:vAlign w:val="center"/>
          </w:tcPr>
          <w:p w14:paraId="76E968C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0464" behindDoc="0" locked="0" layoutInCell="1" allowOverlap="1">
                      <wp:simplePos x="0" y="0"/>
                      <wp:positionH relativeFrom="column">
                        <wp:posOffset>118745</wp:posOffset>
                      </wp:positionH>
                      <wp:positionV relativeFrom="paragraph">
                        <wp:posOffset>41275</wp:posOffset>
                      </wp:positionV>
                      <wp:extent cx="76200" cy="85725"/>
                      <wp:effectExtent l="1905" t="8255" r="7620" b="1270"/>
                      <wp:wrapNone/>
                      <wp:docPr id="24" name="等腰三角形 24"/>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25pt;height:6.75pt;width:6pt;z-index:251710464;mso-width-relative:page;mso-height-relative:page;" fillcolor="#000000" filled="t" stroked="f" coordsize="21600,21600" o:gfxdata="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M1yRtIAAAAGAQAADwAAAAAAAAABACAAAAAiAAAAZHJz&#10;L2Rvd25yZXYueG1sUEsBAhQAFAAAAAgAh07iQI7ypbFDAgAAXgQAAA4AAAAAAAAAAQAgAAAAIQEA&#10;AGRycy9lMm9Eb2MueG1sUEsFBgAAAAAGAAYAWQEAANYFA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31691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7D59C955">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968" w:type="pct"/>
            <w:gridSpan w:val="3"/>
            <w:tcBorders>
              <w:tl2br w:val="nil"/>
              <w:tr2bl w:val="nil"/>
            </w:tcBorders>
            <w:vAlign w:val="center"/>
          </w:tcPr>
          <w:p w14:paraId="26BE56D4">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固废综合利用</w:t>
            </w:r>
          </w:p>
        </w:tc>
        <w:tc>
          <w:tcPr>
            <w:tcW w:w="503" w:type="pct"/>
            <w:tcBorders>
              <w:tl2br w:val="nil"/>
              <w:tr2bl w:val="nil"/>
            </w:tcBorders>
            <w:vAlign w:val="center"/>
          </w:tcPr>
          <w:p w14:paraId="1E9284BE">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6128" behindDoc="0" locked="0" layoutInCell="1" allowOverlap="1">
                      <wp:simplePos x="0" y="0"/>
                      <wp:positionH relativeFrom="column">
                        <wp:posOffset>63500</wp:posOffset>
                      </wp:positionH>
                      <wp:positionV relativeFrom="paragraph">
                        <wp:posOffset>24765</wp:posOffset>
                      </wp:positionV>
                      <wp:extent cx="95250" cy="95250"/>
                      <wp:effectExtent l="2540" t="7620" r="6985" b="1905"/>
                      <wp:wrapNone/>
                      <wp:docPr id="23" name="菱形 23"/>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5pt;margin-top:1.95pt;height:7.5pt;width:7.5pt;z-index:251696128;mso-width-relative:page;mso-height-relative:page;" fillcolor="#000000" filled="t" stroked="f" coordsize="21600,21600" o:gfxdata="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fYva51gAAAAYBAAAPAAAA&#10;AAAAAAEAIAAAACIAAABkcnMvZG93bnJldi54bWxQSwECFAAUAAAACACHTuJAOyTyXxcCAAAoBAAA&#10;DgAAAAAAAAABACAAAAAlAQAAZHJzL2Uyb0RvYy54bWxQSwUGAAAAAAYABgBZAQAArgU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1C6B4B2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3536" behindDoc="0" locked="0" layoutInCell="1" allowOverlap="1">
                      <wp:simplePos x="0" y="0"/>
                      <wp:positionH relativeFrom="column">
                        <wp:posOffset>117475</wp:posOffset>
                      </wp:positionH>
                      <wp:positionV relativeFrom="paragraph">
                        <wp:posOffset>34290</wp:posOffset>
                      </wp:positionV>
                      <wp:extent cx="76200" cy="85725"/>
                      <wp:effectExtent l="13335" t="17780" r="15240" b="10795"/>
                      <wp:wrapNone/>
                      <wp:docPr id="22" name="等腰三角形 22"/>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25pt;margin-top:2.7pt;height:6.75pt;width:6pt;z-index:251713536;mso-width-relative:page;mso-height-relative:page;" filled="f" stroked="t" coordsize="21600,21600" o:gfxdata="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8THsXUAAAABgEA&#10;AA8AAAAAAAAAAQAgAAAAIgAAAGRycy9kb3ducmV2LnhtbFBLAQIUABQAAAAIAIdO4kBc9YobVwIA&#10;AIkEAAAOAAAAAAAAAAEAIAAAACM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18" w:type="pct"/>
            <w:tcBorders>
              <w:tl2br w:val="nil"/>
              <w:tr2bl w:val="nil"/>
            </w:tcBorders>
            <w:vAlign w:val="center"/>
          </w:tcPr>
          <w:p w14:paraId="277E7FC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4560" behindDoc="0" locked="0" layoutInCell="1" allowOverlap="1">
                      <wp:simplePos x="0" y="0"/>
                      <wp:positionH relativeFrom="column">
                        <wp:posOffset>94615</wp:posOffset>
                      </wp:positionH>
                      <wp:positionV relativeFrom="paragraph">
                        <wp:posOffset>34290</wp:posOffset>
                      </wp:positionV>
                      <wp:extent cx="76200" cy="85725"/>
                      <wp:effectExtent l="12700" t="17780" r="15875" b="10795"/>
                      <wp:wrapNone/>
                      <wp:docPr id="21" name="等腰三角形 21"/>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7.45pt;margin-top:2.7pt;height:6.75pt;width:6pt;z-index:251714560;mso-width-relative:page;mso-height-relative:page;" filled="f" stroked="t" coordsize="21600,21600" o:gfxdata="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A0unLVAAAA&#10;BgEAAA8AAAAAAAAAAQAgAAAAIgAAAGRycy9kb3ducmV2LnhtbFBLAQIUABQAAAAIAIdO4kCfM+6O&#10;WQIAAIkEAAAOAAAAAAAAAAEAIAAAACQBAABkcnMvZTJvRG9jLnhtbFBLBQYAAAAABgAGAFkBAADv&#10;BQAA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36" w:type="pct"/>
            <w:tcBorders>
              <w:tl2br w:val="nil"/>
              <w:tr2bl w:val="nil"/>
            </w:tcBorders>
            <w:vAlign w:val="center"/>
          </w:tcPr>
          <w:p w14:paraId="4648A76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4864" behindDoc="0" locked="0" layoutInCell="1" allowOverlap="1">
                      <wp:simplePos x="0" y="0"/>
                      <wp:positionH relativeFrom="column">
                        <wp:posOffset>83185</wp:posOffset>
                      </wp:positionH>
                      <wp:positionV relativeFrom="paragraph">
                        <wp:posOffset>44450</wp:posOffset>
                      </wp:positionV>
                      <wp:extent cx="75565" cy="75565"/>
                      <wp:effectExtent l="11430" t="8255" r="8255" b="11430"/>
                      <wp:wrapNone/>
                      <wp:docPr id="20" name="椭圆 20"/>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6.55pt;margin-top:3.5pt;height:5.95pt;width:5.95pt;z-index:251684864;mso-width-relative:page;mso-height-relative:page;" fillcolor="#FFFFFF" filled="t" stroked="t" coordsize="21600,21600" o:gfxdata="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iZKyrtQAAAAGAQAADwAAAAAAAAABACAAAAAiAAAAZHJzL2Rvd25yZXYueG1sUEsB&#10;AhQAFAAAAAgAh07iQIo2qbAyAgAAbwQAAA4AAAAAAAAAAQAgAAAAIwEAAGRycy9lMm9Eb2MueG1s&#10;UEsFBgAAAAAGAAYAWQEAAMcFAAAAAA==&#10;">
                      <v:fill on="t" focussize="0,0"/>
                      <v:stroke color="#000000" joinstyle="round"/>
                      <v:imagedata o:title=""/>
                      <o:lock v:ext="edit" aspectratio="f"/>
                    </v:shape>
                  </w:pict>
                </mc:Fallback>
              </mc:AlternateContent>
            </w:r>
          </w:p>
        </w:tc>
        <w:tc>
          <w:tcPr>
            <w:tcW w:w="522" w:type="pct"/>
            <w:tcBorders>
              <w:tl2br w:val="nil"/>
              <w:tr2bl w:val="nil"/>
            </w:tcBorders>
            <w:vAlign w:val="center"/>
          </w:tcPr>
          <w:p w14:paraId="41BCF2A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8960" behindDoc="0" locked="0" layoutInCell="1" allowOverlap="1">
                      <wp:simplePos x="0" y="0"/>
                      <wp:positionH relativeFrom="column">
                        <wp:posOffset>100330</wp:posOffset>
                      </wp:positionH>
                      <wp:positionV relativeFrom="paragraph">
                        <wp:posOffset>44450</wp:posOffset>
                      </wp:positionV>
                      <wp:extent cx="75565" cy="75565"/>
                      <wp:effectExtent l="11430" t="8255" r="8255" b="11430"/>
                      <wp:wrapNone/>
                      <wp:docPr id="19" name="椭圆 1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3.5pt;height:5.95pt;width:5.95pt;z-index:251688960;mso-width-relative:page;mso-height-relative:page;" fillcolor="#FFFFFF" filled="t" stroked="t" coordsize="21600,21600" o:gfxdata="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663ntQAAAAGAQAADwAAAAAAAAABACAAAAAiAAAAZHJzL2Rvd25yZXYueG1sUEsB&#10;AhQAFAAAAAgAh07iQJzS7c8yAgAAbwQAAA4AAAAAAAAAAQAgAAAAIwEAAGRycy9lMm9Eb2MueG1s&#10;UEsFBgAAAAAGAAYAWQEAAMcFAAAAAA==&#10;">
                      <v:fill on="t" focussize="0,0"/>
                      <v:stroke color="#000000" joinstyle="round"/>
                      <v:imagedata o:title=""/>
                      <o:lock v:ext="edit" aspectratio="f"/>
                    </v:shape>
                  </w:pict>
                </mc:Fallback>
              </mc:AlternateContent>
            </w:r>
          </w:p>
        </w:tc>
        <w:tc>
          <w:tcPr>
            <w:tcW w:w="582" w:type="pct"/>
            <w:tcBorders>
              <w:tl2br w:val="nil"/>
              <w:tr2bl w:val="nil"/>
            </w:tcBorders>
            <w:vAlign w:val="center"/>
          </w:tcPr>
          <w:p w14:paraId="3A562754">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6848" behindDoc="0" locked="0" layoutInCell="1" allowOverlap="1">
                      <wp:simplePos x="0" y="0"/>
                      <wp:positionH relativeFrom="column">
                        <wp:posOffset>151130</wp:posOffset>
                      </wp:positionH>
                      <wp:positionV relativeFrom="paragraph">
                        <wp:posOffset>34290</wp:posOffset>
                      </wp:positionV>
                      <wp:extent cx="76200" cy="85725"/>
                      <wp:effectExtent l="21590" t="17780" r="16510" b="10795"/>
                      <wp:wrapNone/>
                      <wp:docPr id="18" name="等腰三角形 1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1.9pt;margin-top:2.7pt;height:6.75pt;width:6pt;z-index:251726848;mso-width-relative:page;mso-height-relative:page;" filled="f" stroked="t" coordsize="21600,21600" o:gfxdata="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r7pKzWAAAABgEA&#10;AA8AAAAAAAAAAQAgAAAAIgAAAGRycy9kb3ducmV2LnhtbFBLAQIUABQAAAAIAIdO4kCYmMrQVQIA&#10;AIkEAAAOAAAAAAAAAAEAIAAAACU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73" w:type="pct"/>
            <w:tcBorders>
              <w:tl2br w:val="nil"/>
              <w:tr2bl w:val="nil"/>
            </w:tcBorders>
            <w:vAlign w:val="center"/>
          </w:tcPr>
          <w:p w14:paraId="0F82055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3776" behindDoc="0" locked="0" layoutInCell="1" allowOverlap="1">
                      <wp:simplePos x="0" y="0"/>
                      <wp:positionH relativeFrom="column">
                        <wp:posOffset>118745</wp:posOffset>
                      </wp:positionH>
                      <wp:positionV relativeFrom="paragraph">
                        <wp:posOffset>34290</wp:posOffset>
                      </wp:positionV>
                      <wp:extent cx="76200" cy="85725"/>
                      <wp:effectExtent l="20955" t="17780" r="17145" b="10795"/>
                      <wp:wrapNone/>
                      <wp:docPr id="17" name="等腰三角形 17"/>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2.7pt;height:6.75pt;width:6pt;z-index:251723776;mso-width-relative:page;mso-height-relative:page;" filled="f" stroked="t" coordsize="21600,21600" o:gfxdata="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AqBIHVAAAABgEA&#10;AA8AAAAAAAAAAQAgAAAAIgAAAGRycy9kb3ducmV2LnhtbFBLAQIUABQAAAAIAIdO4kCUT659VgIA&#10;AIkEAAAOAAAAAAAAAAEAIAAAACQBAABkcnMvZTJvRG9jLnhtbFBLBQYAAAAABgAGAFkBAADsBQAA&#10;AAA=&#10;" adj="10800">
                      <v:fill on="f" focussize="0,0"/>
                      <v:stroke weight="0.5pt" color="#000000" miterlimit="8" joinstyle="miter"/>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01C91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275" w:type="pct"/>
            <w:vMerge w:val="continue"/>
            <w:tcBorders>
              <w:tl2br w:val="nil"/>
              <w:tr2bl w:val="nil"/>
            </w:tcBorders>
            <w:vAlign w:val="center"/>
          </w:tcPr>
          <w:p w14:paraId="5CE5A5F9">
            <w:pPr>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968" w:type="pct"/>
            <w:gridSpan w:val="3"/>
            <w:tcBorders>
              <w:tl2br w:val="nil"/>
              <w:tr2bl w:val="nil"/>
            </w:tcBorders>
            <w:vAlign w:val="center"/>
          </w:tcPr>
          <w:p w14:paraId="7FBF0F11">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车辆运输</w:t>
            </w:r>
          </w:p>
        </w:tc>
        <w:tc>
          <w:tcPr>
            <w:tcW w:w="503" w:type="pct"/>
            <w:tcBorders>
              <w:tl2br w:val="nil"/>
              <w:tr2bl w:val="nil"/>
            </w:tcBorders>
            <w:vAlign w:val="center"/>
          </w:tcPr>
          <w:p w14:paraId="3AF84388">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3296" behindDoc="0" locked="0" layoutInCell="1" allowOverlap="1">
                      <wp:simplePos x="0" y="0"/>
                      <wp:positionH relativeFrom="column">
                        <wp:posOffset>63500</wp:posOffset>
                      </wp:positionH>
                      <wp:positionV relativeFrom="paragraph">
                        <wp:posOffset>45085</wp:posOffset>
                      </wp:positionV>
                      <wp:extent cx="76200" cy="85725"/>
                      <wp:effectExtent l="4445" t="7620" r="5080" b="1905"/>
                      <wp:wrapNone/>
                      <wp:docPr id="16" name="等腰三角形 16"/>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5pt;margin-top:3.55pt;height:6.75pt;width:6pt;z-index:251703296;mso-width-relative:page;mso-height-relative:page;" fillcolor="#000000" filled="t" stroked="f" coordsize="21600,21600" o:gfxdata="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C7/w0gAAAAYBAAAPAAAAAAAAAAEAIAAAACIAAABkcnMv&#10;ZG93bnJldi54bWxQSwECFAAUAAAACACHTuJA8w7cHEICAABeBAAADgAAAAAAAAABACAAAAAhAQAA&#10;ZHJzL2Uyb0RvYy54bWxQSwUGAAAAAAYABgBZAQAA1QU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484" w:type="pct"/>
            <w:tcBorders>
              <w:tl2br w:val="nil"/>
              <w:tr2bl w:val="nil"/>
            </w:tcBorders>
            <w:vAlign w:val="center"/>
          </w:tcPr>
          <w:p w14:paraId="2C6547E3">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74624" behindDoc="0" locked="0" layoutInCell="1" allowOverlap="1">
                      <wp:simplePos x="0" y="0"/>
                      <wp:positionH relativeFrom="column">
                        <wp:posOffset>117475</wp:posOffset>
                      </wp:positionH>
                      <wp:positionV relativeFrom="paragraph">
                        <wp:posOffset>55245</wp:posOffset>
                      </wp:positionV>
                      <wp:extent cx="75565" cy="75565"/>
                      <wp:effectExtent l="12065" t="7620" r="7620" b="12065"/>
                      <wp:wrapNone/>
                      <wp:docPr id="15" name="椭圆 15"/>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9.25pt;margin-top:4.35pt;height:5.95pt;width:5.95pt;z-index:251674624;mso-width-relative:page;mso-height-relative:page;" fillcolor="#FFFFFF" filled="t" stroked="t" coordsize="21600,21600" o:gfxdata="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6vYVNQAAAAGAQAADwAAAAAAAAABACAAAAAiAAAAZHJzL2Rvd25yZXYueG1sUEsB&#10;AhQAFAAAAAgAh07iQJKnG6cyAgAAbwQAAA4AAAAAAAAAAQAgAAAAIwEAAGRycy9lMm9Eb2MueG1s&#10;UEsFBgAAAAAGAAYAWQEAAMcFAAAAAA==&#10;">
                      <v:fill on="t" focussize="0,0"/>
                      <v:stroke color="#000000" joinstyle="round"/>
                      <v:imagedata o:title=""/>
                      <o:lock v:ext="edit" aspectratio="f"/>
                    </v:shape>
                  </w:pict>
                </mc:Fallback>
              </mc:AlternateContent>
            </w:r>
          </w:p>
        </w:tc>
        <w:tc>
          <w:tcPr>
            <w:tcW w:w="518" w:type="pct"/>
            <w:tcBorders>
              <w:tl2br w:val="nil"/>
              <w:tr2bl w:val="nil"/>
            </w:tcBorders>
            <w:vAlign w:val="center"/>
          </w:tcPr>
          <w:p w14:paraId="06297A87">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0768" behindDoc="0" locked="0" layoutInCell="1" allowOverlap="1">
                      <wp:simplePos x="0" y="0"/>
                      <wp:positionH relativeFrom="column">
                        <wp:posOffset>94615</wp:posOffset>
                      </wp:positionH>
                      <wp:positionV relativeFrom="paragraph">
                        <wp:posOffset>55245</wp:posOffset>
                      </wp:positionV>
                      <wp:extent cx="75565" cy="75565"/>
                      <wp:effectExtent l="11430" t="7620" r="8255" b="12065"/>
                      <wp:wrapNone/>
                      <wp:docPr id="14" name="椭圆 14"/>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45pt;margin-top:4.35pt;height:5.95pt;width:5.95pt;z-index:251680768;mso-width-relative:page;mso-height-relative:page;" fillcolor="#FFFFFF" filled="t" stroked="t" coordsize="21600,21600" o:gfxdata="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CMfOPVAAAABgEAAA8AAAAAAAAAAQAgAAAAIgAAAGRycy9kb3ducmV2LnhtbFBL&#10;AQIUABQAAAAIAIdO4kCzrZj1MgIAAG8EAAAOAAAAAAAAAAEAIAAAACQBAABkcnMvZTJvRG9jLnht&#10;bFBLBQYAAAAABgAGAFkBAADIBQAAAAA=&#10;">
                      <v:fill on="t" focussize="0,0"/>
                      <v:stroke color="#000000" joinstyle="round"/>
                      <v:imagedata o:title=""/>
                      <o:lock v:ext="edit" aspectratio="f"/>
                    </v:shape>
                  </w:pict>
                </mc:Fallback>
              </mc:AlternateContent>
            </w:r>
          </w:p>
        </w:tc>
        <w:tc>
          <w:tcPr>
            <w:tcW w:w="536" w:type="pct"/>
            <w:tcBorders>
              <w:tl2br w:val="nil"/>
              <w:tr2bl w:val="nil"/>
            </w:tcBorders>
            <w:vAlign w:val="center"/>
          </w:tcPr>
          <w:p w14:paraId="1DCD7D6A">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06368" behindDoc="0" locked="0" layoutInCell="1" allowOverlap="1">
                      <wp:simplePos x="0" y="0"/>
                      <wp:positionH relativeFrom="column">
                        <wp:posOffset>83185</wp:posOffset>
                      </wp:positionH>
                      <wp:positionV relativeFrom="paragraph">
                        <wp:posOffset>45085</wp:posOffset>
                      </wp:positionV>
                      <wp:extent cx="76200" cy="85725"/>
                      <wp:effectExtent l="3175" t="7620" r="6350" b="1905"/>
                      <wp:wrapNone/>
                      <wp:docPr id="13" name="等腰三角形 13"/>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6.55pt;margin-top:3.55pt;height:6.75pt;width:6pt;z-index:251706368;mso-width-relative:page;mso-height-relative:page;" fillcolor="#000000" filled="t" stroked="f" coordsize="21600,21600" o:gfxdata="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58N/LRAAAABgEAAA8AAAAAAAAAAQAgAAAAIgAAAGRycy9k&#10;b3ducmV2LnhtbFBLAQIUABQAAAAIAIdO4kCtkEsBQgIAAF4EAAAOAAAAAAAAAAEAIAAAACABAABk&#10;cnMvZTJvRG9jLnhtbFBLBQYAAAAABgAGAFkBAADU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c>
          <w:tcPr>
            <w:tcW w:w="522" w:type="pct"/>
            <w:tcBorders>
              <w:tl2br w:val="nil"/>
              <w:tr2bl w:val="nil"/>
            </w:tcBorders>
            <w:vAlign w:val="center"/>
          </w:tcPr>
          <w:p w14:paraId="0DD750CD">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89984" behindDoc="0" locked="0" layoutInCell="1" allowOverlap="1">
                      <wp:simplePos x="0" y="0"/>
                      <wp:positionH relativeFrom="column">
                        <wp:posOffset>100330</wp:posOffset>
                      </wp:positionH>
                      <wp:positionV relativeFrom="paragraph">
                        <wp:posOffset>55245</wp:posOffset>
                      </wp:positionV>
                      <wp:extent cx="75565" cy="75565"/>
                      <wp:effectExtent l="11430" t="7620" r="8255" b="12065"/>
                      <wp:wrapNone/>
                      <wp:docPr id="12" name="椭圆 12"/>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7.9pt;margin-top:4.35pt;height:5.95pt;width:5.95pt;z-index:251689984;mso-width-relative:page;mso-height-relative:page;" fillcolor="#FFFFFF" filled="t" stroked="t" coordsize="21600,21600" o:gfxdata="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JO0FNQAAAAGAQAADwAAAAAAAAABACAAAAAiAAAAZHJzL2Rvd25yZXYueG1sUEsB&#10;AhQAFAAAAAgAh07iQDSX48EyAgAAbwQAAA4AAAAAAAAAAQAgAAAAIwEAAGRycy9lMm9Eb2MueG1s&#10;UEsFBgAAAAAGAAYAWQEAAMcFAAAAAA==&#10;">
                      <v:fill on="t" focussize="0,0"/>
                      <v:stroke color="#000000" joinstyle="round"/>
                      <v:imagedata o:title=""/>
                      <o:lock v:ext="edit" aspectratio="f"/>
                    </v:shape>
                  </w:pict>
                </mc:Fallback>
              </mc:AlternateContent>
            </w:r>
          </w:p>
        </w:tc>
        <w:tc>
          <w:tcPr>
            <w:tcW w:w="582" w:type="pct"/>
            <w:tcBorders>
              <w:right w:val="single" w:color="auto" w:sz="4" w:space="0"/>
              <w:tl2br w:val="nil"/>
              <w:tr2bl w:val="nil"/>
            </w:tcBorders>
            <w:vAlign w:val="center"/>
          </w:tcPr>
          <w:p w14:paraId="767900C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695104" behindDoc="0" locked="0" layoutInCell="1" allowOverlap="1">
                      <wp:simplePos x="0" y="0"/>
                      <wp:positionH relativeFrom="column">
                        <wp:posOffset>151130</wp:posOffset>
                      </wp:positionH>
                      <wp:positionV relativeFrom="paragraph">
                        <wp:posOffset>55245</wp:posOffset>
                      </wp:positionV>
                      <wp:extent cx="75565" cy="75565"/>
                      <wp:effectExtent l="10160" t="7620" r="9525" b="12065"/>
                      <wp:wrapNone/>
                      <wp:docPr id="11" name="椭圆 11"/>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11.9pt;margin-top:4.35pt;height:5.95pt;width:5.95pt;z-index:251695104;mso-width-relative:page;mso-height-relative:page;" fillcolor="#FFFFFF" filled="t" stroked="t" coordsize="21600,21600" o:gfxdata="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t8i5Q9QAAAAGAQAADwAAAAAAAAABACAAAAAiAAAAZHJzL2Rvd25yZXYueG1sUEsB&#10;AhQAFAAAAAgAh07iQFeJZjYyAgAAbwQAAA4AAAAAAAAAAQAgAAAAIwEAAGRycy9lMm9Eb2MueG1s&#10;UEsFBgAAAAAGAAYAWQEAAMcFAAAAAA==&#10;">
                      <v:fill on="t" focussize="0,0"/>
                      <v:stroke color="#000000" joinstyle="round"/>
                      <v:imagedata o:title=""/>
                      <o:lock v:ext="edit" aspectratio="f"/>
                    </v:shape>
                  </w:pict>
                </mc:Fallback>
              </mc:AlternateContent>
            </w:r>
          </w:p>
        </w:tc>
        <w:tc>
          <w:tcPr>
            <w:tcW w:w="573" w:type="pct"/>
            <w:tcBorders>
              <w:left w:val="single" w:color="auto" w:sz="4" w:space="0"/>
              <w:tl2br w:val="nil"/>
              <w:tr2bl w:val="nil"/>
            </w:tcBorders>
            <w:vAlign w:val="center"/>
          </w:tcPr>
          <w:p w14:paraId="5BD63B2F">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11488" behindDoc="0" locked="0" layoutInCell="1" allowOverlap="1">
                      <wp:simplePos x="0" y="0"/>
                      <wp:positionH relativeFrom="column">
                        <wp:posOffset>118745</wp:posOffset>
                      </wp:positionH>
                      <wp:positionV relativeFrom="paragraph">
                        <wp:posOffset>45085</wp:posOffset>
                      </wp:positionV>
                      <wp:extent cx="76200" cy="85725"/>
                      <wp:effectExtent l="1905" t="7620" r="7620" b="1905"/>
                      <wp:wrapNone/>
                      <wp:docPr id="10" name="等腰三角形 10"/>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9.35pt;margin-top:3.55pt;height:6.75pt;width:6pt;z-index:251711488;mso-width-relative:page;mso-height-relative:page;" fillcolor="#000000" filled="t" stroked="f" coordsize="21600,21600" o:gfxdata="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RBRMbSAAAABgEAAA8AAAAAAAAAAQAgAAAAIgAAAGRycy9k&#10;b3ducmV2LnhtbFBLAQIUABQAAAAIAIdO4kBY5+m8QQIAAF4EAAAOAAAAAAAAAAEAIAAAACEBAABk&#10;cnMvZTJvRG9jLnhtbFBLBQYAAAAABgAGAFkBAADUBQAAAAA=&#10;" adj="1080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L</w:t>
            </w:r>
          </w:p>
        </w:tc>
      </w:tr>
      <w:tr w14:paraId="6BAE6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gridAfter w:val="1"/>
          <w:wAfter w:w="36" w:type="pct"/>
          <w:trHeight w:val="20" w:hRule="atLeast"/>
          <w:jc w:val="center"/>
        </w:trPr>
        <w:tc>
          <w:tcPr>
            <w:tcW w:w="4963" w:type="pct"/>
            <w:gridSpan w:val="11"/>
            <w:tcBorders>
              <w:tl2br w:val="nil"/>
              <w:tr2bl w:val="nil"/>
            </w:tcBorders>
            <w:vAlign w:val="center"/>
          </w:tcPr>
          <w:p w14:paraId="4DA8DBCB">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30944" behindDoc="0" locked="0" layoutInCell="1" allowOverlap="1">
                      <wp:simplePos x="0" y="0"/>
                      <wp:positionH relativeFrom="column">
                        <wp:posOffset>2721610</wp:posOffset>
                      </wp:positionH>
                      <wp:positionV relativeFrom="paragraph">
                        <wp:posOffset>62230</wp:posOffset>
                      </wp:positionV>
                      <wp:extent cx="75565" cy="75565"/>
                      <wp:effectExtent l="10795" t="8255" r="8890" b="11430"/>
                      <wp:wrapNone/>
                      <wp:docPr id="9" name="椭圆 9"/>
                      <wp:cNvGraphicFramePr/>
                      <a:graphic xmlns:a="http://schemas.openxmlformats.org/drawingml/2006/main">
                        <a:graphicData uri="http://schemas.microsoft.com/office/word/2010/wordprocessingShape">
                          <wps:wsp>
                            <wps:cNvSpPr>
                              <a:spLocks noChangeArrowheads="1"/>
                            </wps:cNvSpPr>
                            <wps:spPr bwMode="auto">
                              <a:xfrm>
                                <a:off x="0" y="0"/>
                                <a:ext cx="75565" cy="75565"/>
                              </a:xfrm>
                              <a:prstGeom prst="ellipse">
                                <a:avLst/>
                              </a:prstGeom>
                              <a:solidFill>
                                <a:srgbClr val="FFFFFF"/>
                              </a:solidFill>
                              <a:ln w="9525" cmpd="sng">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3" type="#_x0000_t3" style="position:absolute;left:0pt;margin-left:214.3pt;margin-top:4.9pt;height:5.95pt;width:5.95pt;z-index:251730944;mso-width-relative:page;mso-height-relative:page;" fillcolor="#FFFFFF" filled="t" stroked="t" coordsize="21600,21600" o:gfxdata="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XlXxtYAAAAIAQAADwAAAAAAAAABACAAAAAiAAAAZHJzL2Rvd25yZXYueG1sUEsB&#10;AhQAFAAAAAgAh07iQP5zfZIwAgAAbQQAAA4AAAAAAAAAAQAgAAAAJQEAAGRycy9lMm9Eb2MueG1s&#10;UEsFBgAAAAAGAAYAWQEAAMcFAAAAAA==&#10;">
                      <v:fill on="t" focussize="0,0"/>
                      <v:stroke color="#000000" joinstyle="round"/>
                      <v:imagedata o:title=""/>
                      <o:lock v:ext="edit" aspectratio="f"/>
                    </v:shape>
                  </w:pict>
                </mc:Fallback>
              </mc:AlternateContent>
            </w: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9920" behindDoc="0" locked="0" layoutInCell="1" allowOverlap="1">
                      <wp:simplePos x="0" y="0"/>
                      <wp:positionH relativeFrom="column">
                        <wp:posOffset>1778635</wp:posOffset>
                      </wp:positionH>
                      <wp:positionV relativeFrom="paragraph">
                        <wp:posOffset>53975</wp:posOffset>
                      </wp:positionV>
                      <wp:extent cx="76200" cy="85725"/>
                      <wp:effectExtent l="20955" t="17780" r="17145" b="10795"/>
                      <wp:wrapNone/>
                      <wp:docPr id="8" name="等腰三角形 8"/>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noFill/>
                              <a:ln w="6350"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140.05pt;margin-top:4.25pt;height:6.75pt;width:6pt;z-index:251729920;mso-width-relative:page;mso-height-relative:page;" filled="f" stroked="t" coordsize="21600,21600" o:gfxdata="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4CZz7XAAAACAEA&#10;AA8AAAAAAAAAAQAgAAAAIgAAAGRycy9kb3ducmV2LnhtbFBLAQIUABQAAAAIAIdO4kBma7ZuVAIA&#10;AIcEAAAOAAAAAAAAAAEAIAAAACYBAABkcnMvZTJvRG9jLnhtbFBLBQYAAAAABgAGAFkBAADsBQAA&#10;AAA=&#10;" adj="10800">
                      <v:fill on="f" focussize="0,0"/>
                      <v:stroke weight="0.5pt" color="#000000" miterlimit="8" joinstyle="miter"/>
                      <v:imagedata o:title=""/>
                      <o:lock v:ext="edit" aspectratio="f"/>
                    </v:shape>
                  </w:pict>
                </mc:Fallback>
              </mc:AlternateContent>
            </w: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8896" behindDoc="0" locked="0" layoutInCell="1" allowOverlap="1">
                      <wp:simplePos x="0" y="0"/>
                      <wp:positionH relativeFrom="column">
                        <wp:posOffset>847725</wp:posOffset>
                      </wp:positionH>
                      <wp:positionV relativeFrom="paragraph">
                        <wp:posOffset>45720</wp:posOffset>
                      </wp:positionV>
                      <wp:extent cx="76200" cy="85725"/>
                      <wp:effectExtent l="3175" t="8255" r="6350" b="1270"/>
                      <wp:wrapNone/>
                      <wp:docPr id="7" name="等腰三角形 7"/>
                      <wp:cNvGraphicFramePr/>
                      <a:graphic xmlns:a="http://schemas.openxmlformats.org/drawingml/2006/main">
                        <a:graphicData uri="http://schemas.microsoft.com/office/word/2010/wordprocessingShape">
                          <wps:wsp>
                            <wps:cNvSpPr>
                              <a:spLocks noChangeArrowheads="1"/>
                            </wps:cNvSpPr>
                            <wps:spPr bwMode="auto">
                              <a:xfrm>
                                <a:off x="0" y="0"/>
                                <a:ext cx="76200" cy="85725"/>
                              </a:xfrm>
                              <a:prstGeom prst="triangle">
                                <a:avLst>
                                  <a:gd name="adj" fmla="val 50000"/>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5" type="#_x0000_t5" style="position:absolute;left:0pt;margin-left:66.75pt;margin-top:3.6pt;height:6.75pt;width:6pt;z-index:251728896;mso-width-relative:page;mso-height-relative:page;" fillcolor="#000000" filled="t" stroked="f" coordsize="21600,21600" o:gfxdata="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&#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H1DIYPVAAAACAEAAA8AAAAAAAAAAQAgAAAAIgAAAGRy&#10;cy9kb3ducmV2LnhtbFBLAQIUABQAAAAIAIdO4kCWUl5kQQIAAFwEAAAOAAAAAAAAAAEAIAAAACQB&#10;AABkcnMvZTJvRG9jLnhtbFBLBQYAAAAABgAGAFkBAADXBQAAAAA=&#10;" adj="10800">
                      <v:fill on="t" focussize="0,0"/>
                      <v:stroke on="f"/>
                      <v:imagedata o:title=""/>
                      <o:lock v:ext="edit" aspectratio="f"/>
                    </v:shape>
                  </w:pict>
                </mc:Fallback>
              </mc:AlternateContent>
            </w:r>
            <w:r>
              <w:rPr>
                <w:rFonts w:ascii="Times New Roman" w:hAnsi="Times New Roman" w:eastAsia="宋体"/>
                <w:strike w:val="0"/>
                <w:dstrike w:val="0"/>
                <w:color w:val="auto"/>
                <w:sz w:val="21"/>
                <w:szCs w:val="24"/>
                <w:highlight w:val="none"/>
              </w:rPr>
              <mc:AlternateContent>
                <mc:Choice Requires="wps">
                  <w:drawing>
                    <wp:anchor distT="0" distB="0" distL="114300" distR="114300" simplePos="0" relativeHeight="251727872" behindDoc="0" locked="0" layoutInCell="1" allowOverlap="1">
                      <wp:simplePos x="0" y="0"/>
                      <wp:positionH relativeFrom="column">
                        <wp:posOffset>158115</wp:posOffset>
                      </wp:positionH>
                      <wp:positionV relativeFrom="paragraph">
                        <wp:posOffset>51435</wp:posOffset>
                      </wp:positionV>
                      <wp:extent cx="95250" cy="95250"/>
                      <wp:effectExtent l="1905" t="7620" r="7620" b="1905"/>
                      <wp:wrapNone/>
                      <wp:docPr id="6" name="菱形 6"/>
                      <wp:cNvGraphicFramePr/>
                      <a:graphic xmlns:a="http://schemas.openxmlformats.org/drawingml/2006/main">
                        <a:graphicData uri="http://schemas.microsoft.com/office/word/2010/wordprocessingShape">
                          <wps:wsp>
                            <wps:cNvSpPr>
                              <a:spLocks noChangeArrowheads="1"/>
                            </wps:cNvSpPr>
                            <wps:spPr bwMode="auto">
                              <a:xfrm>
                                <a:off x="0" y="0"/>
                                <a:ext cx="95250" cy="95250"/>
                              </a:xfrm>
                              <a:prstGeom prst="diamond">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shape id="_x0000_s1026" o:spid="_x0000_s1026" o:spt="4" type="#_x0000_t4" style="position:absolute;left:0pt;margin-left:12.45pt;margin-top:4.05pt;height:7.5pt;width:7.5pt;z-index:251727872;mso-width-relative:page;mso-height-relative:page;" fillcolor="#000000" filled="t" stroked="f" coordsize="21600,21600" o:gfxdata="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Ugq/LVAAAABgEAAA8AAAAA&#10;AAAAAQAgAAAAIgAAAGRycy9kb3ducmV2LnhtbFBLAQIUABQAAAAIAIdO4kCs2X0uFwIAACYEAAAO&#10;AAAAAAAAAAEAIAAAACQBAABkcnMvZTJvRG9jLnhtbFBLBQYAAAAABgAGAFkBAACtBQAAAAA=&#10;">
                      <v:fill on="t" focussize="0,0"/>
                      <v:stroke on="f"/>
                      <v:imagedata o:title=""/>
                      <o:lock v:ext="edit" aspectratio="f"/>
                    </v:shape>
                  </w:pict>
                </mc:Fallback>
              </mc:AlternateContent>
            </w:r>
            <w:r>
              <w:rPr>
                <w:rFonts w:hint="eastAsia" w:ascii="Times New Roman" w:hAnsi="Times New Roman" w:eastAsia="宋体"/>
                <w:strike w:val="0"/>
                <w:dstrike w:val="0"/>
                <w:color w:val="auto"/>
                <w:sz w:val="21"/>
                <w:szCs w:val="21"/>
                <w:highlight w:val="none"/>
              </w:rPr>
              <w:t>：有影响，：有轻微影响，：可能有影响，：没有影响，S短期影响，L长期影响</w:t>
            </w:r>
          </w:p>
        </w:tc>
      </w:tr>
    </w:tbl>
    <w:p w14:paraId="5387187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项目施工期对环境空气及水环境、声环境等均有短期的不利影响，但其会随着施工期的结束而消失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运营期的影响为长期影响，其主要环境影响要素为环境空气及水环境，其次为声环境、固体废物</w:t>
      </w:r>
      <w:r>
        <w:rPr>
          <w:rFonts w:hint="eastAsia" w:ascii="Times New Roman" w:hAnsi="Times New Roman" w:eastAsia="宋体"/>
          <w:strike w:val="0"/>
          <w:dstrike w:val="0"/>
          <w:color w:val="auto"/>
          <w:highlight w:val="none"/>
          <w:lang w:eastAsia="zh-CN"/>
        </w:rPr>
        <w:t>。</w:t>
      </w:r>
    </w:p>
    <w:p w14:paraId="23959E39">
      <w:pPr>
        <w:pStyle w:val="4"/>
        <w:rPr>
          <w:rFonts w:ascii="Times New Roman" w:hAnsi="Times New Roman" w:eastAsia="宋体"/>
          <w:strike w:val="0"/>
          <w:dstrike w:val="0"/>
          <w:color w:val="auto"/>
          <w:highlight w:val="none"/>
        </w:rPr>
      </w:pPr>
      <w:bookmarkStart w:id="63" w:name="_Toc29135"/>
      <w:bookmarkStart w:id="64" w:name="_Toc106663437"/>
      <w:r>
        <w:rPr>
          <w:rFonts w:hint="eastAsia" w:ascii="Times New Roman" w:hAnsi="Times New Roman" w:eastAsia="宋体"/>
          <w:strike w:val="0"/>
          <w:dstrike w:val="0"/>
          <w:color w:val="auto"/>
          <w:highlight w:val="none"/>
        </w:rPr>
        <w:t>2.4.2评价因子筛选</w:t>
      </w:r>
      <w:bookmarkEnd w:id="63"/>
      <w:bookmarkEnd w:id="64"/>
    </w:p>
    <w:p w14:paraId="543A35C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根据本项目污染物的产生及排放情况，确定的本项目常规污染物和特征污染物表2.4-2</w:t>
      </w:r>
      <w:r>
        <w:rPr>
          <w:rFonts w:hint="eastAsia" w:ascii="Times New Roman" w:hAnsi="Times New Roman" w:eastAsia="宋体"/>
          <w:strike w:val="0"/>
          <w:dstrike w:val="0"/>
          <w:color w:val="auto"/>
          <w:highlight w:val="none"/>
          <w:lang w:eastAsia="zh-CN"/>
        </w:rPr>
        <w:t>。</w:t>
      </w:r>
    </w:p>
    <w:p w14:paraId="6A1493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表2.4-2常规污染物和特征污染物确定情况一览表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512"/>
        <w:gridCol w:w="2889"/>
        <w:gridCol w:w="1734"/>
        <w:gridCol w:w="1497"/>
      </w:tblGrid>
      <w:tr w14:paraId="7B14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4" w:type="dxa"/>
            <w:vAlign w:val="center"/>
          </w:tcPr>
          <w:p w14:paraId="5A67017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序号</w:t>
            </w:r>
          </w:p>
        </w:tc>
        <w:tc>
          <w:tcPr>
            <w:tcW w:w="1512" w:type="dxa"/>
            <w:vAlign w:val="center"/>
          </w:tcPr>
          <w:p w14:paraId="0746772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评价项目</w:t>
            </w:r>
          </w:p>
        </w:tc>
        <w:tc>
          <w:tcPr>
            <w:tcW w:w="2889" w:type="dxa"/>
            <w:vAlign w:val="center"/>
          </w:tcPr>
          <w:p w14:paraId="1A55E8E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现状评价因子</w:t>
            </w:r>
          </w:p>
        </w:tc>
        <w:tc>
          <w:tcPr>
            <w:tcW w:w="1734" w:type="dxa"/>
            <w:vAlign w:val="center"/>
          </w:tcPr>
          <w:p w14:paraId="378B4C0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影响评价因子</w:t>
            </w:r>
          </w:p>
        </w:tc>
        <w:tc>
          <w:tcPr>
            <w:tcW w:w="1497" w:type="dxa"/>
            <w:vAlign w:val="center"/>
          </w:tcPr>
          <w:p w14:paraId="08F602E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总量控制因子</w:t>
            </w:r>
          </w:p>
        </w:tc>
      </w:tr>
      <w:tr w14:paraId="5F2A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23F2C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w:t>
            </w:r>
          </w:p>
        </w:tc>
        <w:tc>
          <w:tcPr>
            <w:tcW w:w="1512" w:type="dxa"/>
            <w:vAlign w:val="center"/>
          </w:tcPr>
          <w:p w14:paraId="618BF0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环境空气</w:t>
            </w:r>
          </w:p>
        </w:tc>
        <w:tc>
          <w:tcPr>
            <w:tcW w:w="2889" w:type="dxa"/>
            <w:vAlign w:val="center"/>
          </w:tcPr>
          <w:p w14:paraId="55747CD4">
            <w:pPr>
              <w:spacing w:line="240" w:lineRule="auto"/>
              <w:ind w:firstLine="0" w:firstLineChars="0"/>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rPr>
              <w:t>SO</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、NO</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、PM</w:t>
            </w:r>
            <w:r>
              <w:rPr>
                <w:rFonts w:hint="eastAsia" w:ascii="Times New Roman" w:hAnsi="Times New Roman" w:eastAsia="宋体"/>
                <w:strike w:val="0"/>
                <w:dstrike w:val="0"/>
                <w:color w:val="auto"/>
                <w:sz w:val="21"/>
                <w:szCs w:val="21"/>
                <w:highlight w:val="none"/>
                <w:vertAlign w:val="subscript"/>
              </w:rPr>
              <w:t>10</w:t>
            </w:r>
            <w:r>
              <w:rPr>
                <w:rFonts w:hint="eastAsia" w:ascii="Times New Roman" w:hAnsi="Times New Roman" w:eastAsia="宋体"/>
                <w:strike w:val="0"/>
                <w:dstrike w:val="0"/>
                <w:color w:val="auto"/>
                <w:sz w:val="21"/>
                <w:szCs w:val="21"/>
                <w:highlight w:val="none"/>
              </w:rPr>
              <w:t>、PM</w:t>
            </w:r>
            <w:r>
              <w:rPr>
                <w:rFonts w:hint="eastAsia" w:ascii="Times New Roman" w:hAnsi="Times New Roman" w:eastAsia="宋体"/>
                <w:strike w:val="0"/>
                <w:dstrike w:val="0"/>
                <w:color w:val="auto"/>
                <w:sz w:val="21"/>
                <w:szCs w:val="21"/>
                <w:highlight w:val="none"/>
                <w:vertAlign w:val="subscript"/>
              </w:rPr>
              <w:t>2.5</w:t>
            </w:r>
            <w:r>
              <w:rPr>
                <w:rFonts w:hint="eastAsia" w:ascii="Times New Roman" w:hAnsi="Times New Roman" w:eastAsia="宋体"/>
                <w:strike w:val="0"/>
                <w:dstrike w:val="0"/>
                <w:color w:val="auto"/>
                <w:sz w:val="21"/>
                <w:szCs w:val="21"/>
                <w:highlight w:val="none"/>
              </w:rPr>
              <w:t>、CO、O</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S、NH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vertAlign w:val="baseline"/>
                <w:lang w:eastAsia="zh-CN"/>
              </w:rPr>
              <w:t>、</w:t>
            </w:r>
            <w:r>
              <w:rPr>
                <w:rFonts w:hint="eastAsia" w:ascii="Times New Roman" w:hAnsi="Times New Roman" w:eastAsia="宋体"/>
                <w:strike w:val="0"/>
                <w:dstrike w:val="0"/>
                <w:color w:val="auto"/>
                <w:sz w:val="21"/>
                <w:szCs w:val="21"/>
                <w:highlight w:val="none"/>
                <w:vertAlign w:val="baseline"/>
                <w:lang w:val="en-US" w:eastAsia="zh-CN"/>
              </w:rPr>
              <w:t>臭气浓度</w:t>
            </w:r>
          </w:p>
        </w:tc>
        <w:tc>
          <w:tcPr>
            <w:tcW w:w="1734" w:type="dxa"/>
            <w:vAlign w:val="center"/>
          </w:tcPr>
          <w:p w14:paraId="1EA43413">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S、NH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vertAlign w:val="baseline"/>
                <w:lang w:eastAsia="zh-CN"/>
              </w:rPr>
              <w:t>、</w:t>
            </w:r>
            <w:r>
              <w:rPr>
                <w:rFonts w:hint="eastAsia" w:ascii="Times New Roman" w:hAnsi="Times New Roman" w:eastAsia="宋体"/>
                <w:strike w:val="0"/>
                <w:dstrike w:val="0"/>
                <w:color w:val="auto"/>
                <w:sz w:val="21"/>
                <w:szCs w:val="21"/>
                <w:highlight w:val="none"/>
                <w:vertAlign w:val="baseline"/>
                <w:lang w:val="en-US" w:eastAsia="zh-CN"/>
              </w:rPr>
              <w:t>TSP、臭气浓度</w:t>
            </w:r>
          </w:p>
        </w:tc>
        <w:tc>
          <w:tcPr>
            <w:tcW w:w="1497" w:type="dxa"/>
            <w:vAlign w:val="center"/>
          </w:tcPr>
          <w:p w14:paraId="3EAF454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3B57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14C6F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w:t>
            </w:r>
          </w:p>
        </w:tc>
        <w:tc>
          <w:tcPr>
            <w:tcW w:w="1512" w:type="dxa"/>
            <w:vAlign w:val="center"/>
          </w:tcPr>
          <w:p w14:paraId="19F6A12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地下水</w:t>
            </w:r>
          </w:p>
        </w:tc>
        <w:tc>
          <w:tcPr>
            <w:tcW w:w="2889" w:type="dxa"/>
            <w:vAlign w:val="center"/>
          </w:tcPr>
          <w:p w14:paraId="5EA3CFE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pH、耗氧量、溶解性总固体、挥发性酚类、阴离子表面活性剂、氯化物、硫化物、石油类、汞、镉、砷、六价铬、铅、总大肠菌群、菌落总数</w:t>
            </w:r>
          </w:p>
        </w:tc>
        <w:tc>
          <w:tcPr>
            <w:tcW w:w="1734" w:type="dxa"/>
            <w:vAlign w:val="center"/>
          </w:tcPr>
          <w:p w14:paraId="42505BA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pH、COD</w:t>
            </w:r>
            <w:r>
              <w:rPr>
                <w:rFonts w:hint="eastAsia" w:ascii="Times New Roman" w:hAnsi="Times New Roman" w:eastAsia="宋体"/>
                <w:strike w:val="0"/>
                <w:dstrike w:val="0"/>
                <w:color w:val="auto"/>
                <w:sz w:val="21"/>
                <w:szCs w:val="21"/>
                <w:highlight w:val="none"/>
                <w:vertAlign w:val="subscript"/>
              </w:rPr>
              <w:t>cr</w:t>
            </w:r>
            <w:r>
              <w:rPr>
                <w:rFonts w:hint="eastAsia" w:ascii="Times New Roman" w:hAnsi="Times New Roman" w:eastAsia="宋体"/>
                <w:strike w:val="0"/>
                <w:dstrike w:val="0"/>
                <w:color w:val="auto"/>
                <w:sz w:val="21"/>
                <w:szCs w:val="21"/>
                <w:highlight w:val="none"/>
              </w:rPr>
              <w:t>、BOD</w:t>
            </w:r>
            <w:r>
              <w:rPr>
                <w:rFonts w:hint="eastAsia" w:ascii="Times New Roman" w:hAnsi="Times New Roman" w:eastAsia="宋体"/>
                <w:strike w:val="0"/>
                <w:dstrike w:val="0"/>
                <w:color w:val="auto"/>
                <w:sz w:val="21"/>
                <w:szCs w:val="21"/>
                <w:highlight w:val="none"/>
                <w:vertAlign w:val="subscript"/>
              </w:rPr>
              <w:t>5</w:t>
            </w:r>
            <w:r>
              <w:rPr>
                <w:rFonts w:hint="eastAsia" w:ascii="Times New Roman" w:hAnsi="Times New Roman" w:eastAsia="宋体"/>
                <w:strike w:val="0"/>
                <w:dstrike w:val="0"/>
                <w:color w:val="auto"/>
                <w:sz w:val="21"/>
                <w:szCs w:val="21"/>
                <w:highlight w:val="none"/>
              </w:rPr>
              <w:t>、NH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-N等</w:t>
            </w:r>
          </w:p>
        </w:tc>
        <w:tc>
          <w:tcPr>
            <w:tcW w:w="1497" w:type="dxa"/>
            <w:vAlign w:val="center"/>
          </w:tcPr>
          <w:p w14:paraId="196BD71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163B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FED39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w:t>
            </w:r>
          </w:p>
        </w:tc>
        <w:tc>
          <w:tcPr>
            <w:tcW w:w="1512" w:type="dxa"/>
            <w:vAlign w:val="center"/>
          </w:tcPr>
          <w:p w14:paraId="0038B97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声环境</w:t>
            </w:r>
          </w:p>
        </w:tc>
        <w:tc>
          <w:tcPr>
            <w:tcW w:w="2889" w:type="dxa"/>
            <w:vAlign w:val="center"/>
          </w:tcPr>
          <w:p w14:paraId="641AF3E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等效连续A声级</w:t>
            </w:r>
          </w:p>
        </w:tc>
        <w:tc>
          <w:tcPr>
            <w:tcW w:w="1734" w:type="dxa"/>
            <w:vAlign w:val="center"/>
          </w:tcPr>
          <w:p w14:paraId="559AB7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等效连续A声级</w:t>
            </w:r>
          </w:p>
        </w:tc>
        <w:tc>
          <w:tcPr>
            <w:tcW w:w="1497" w:type="dxa"/>
            <w:vAlign w:val="center"/>
          </w:tcPr>
          <w:p w14:paraId="7F1B6E3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29F1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86F0C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w:t>
            </w:r>
          </w:p>
        </w:tc>
        <w:tc>
          <w:tcPr>
            <w:tcW w:w="1512" w:type="dxa"/>
            <w:vAlign w:val="center"/>
          </w:tcPr>
          <w:p w14:paraId="31CA5B0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固体废物</w:t>
            </w:r>
          </w:p>
        </w:tc>
        <w:tc>
          <w:tcPr>
            <w:tcW w:w="2889" w:type="dxa"/>
            <w:vAlign w:val="center"/>
          </w:tcPr>
          <w:p w14:paraId="4059523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c>
          <w:tcPr>
            <w:tcW w:w="1734" w:type="dxa"/>
            <w:vAlign w:val="center"/>
          </w:tcPr>
          <w:p w14:paraId="4500E41B">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骆驼粪便</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分娩废弃物（胎衣、死胎、胎盘附属物）、废弃包装物、生活垃圾、医疗废物</w:t>
            </w:r>
            <w:r>
              <w:rPr>
                <w:rFonts w:ascii="Times New Roman" w:hAnsi="Times New Roman" w:eastAsia="宋体"/>
                <w:strike w:val="0"/>
                <w:dstrike w:val="0"/>
                <w:color w:val="auto"/>
                <w:sz w:val="21"/>
                <w:szCs w:val="21"/>
                <w:highlight w:val="none"/>
              </w:rPr>
              <w:t>等固体废物处置措施与处理效率</w:t>
            </w:r>
          </w:p>
        </w:tc>
        <w:tc>
          <w:tcPr>
            <w:tcW w:w="1497" w:type="dxa"/>
            <w:vAlign w:val="center"/>
          </w:tcPr>
          <w:p w14:paraId="19456B4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3760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9A9EC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w:t>
            </w:r>
          </w:p>
        </w:tc>
        <w:tc>
          <w:tcPr>
            <w:tcW w:w="1512" w:type="dxa"/>
            <w:vAlign w:val="center"/>
          </w:tcPr>
          <w:p w14:paraId="05B9635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土壤环境</w:t>
            </w:r>
          </w:p>
        </w:tc>
        <w:tc>
          <w:tcPr>
            <w:tcW w:w="2889" w:type="dxa"/>
            <w:vAlign w:val="center"/>
          </w:tcPr>
          <w:p w14:paraId="296B518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《土壤环境质量农业用地土壤污染物风险管控标准》p</w:t>
            </w:r>
            <w:r>
              <w:rPr>
                <w:rFonts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rPr>
              <w:t>、砷、镉、铬、铜、锌、铅、汞、镍</w:t>
            </w:r>
          </w:p>
        </w:tc>
        <w:tc>
          <w:tcPr>
            <w:tcW w:w="1734" w:type="dxa"/>
            <w:vAlign w:val="center"/>
          </w:tcPr>
          <w:p w14:paraId="0892D4B6">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w:t>
            </w:r>
            <w:r>
              <w:rPr>
                <w:rFonts w:ascii="Times New Roman" w:hAnsi="Times New Roman" w:eastAsia="宋体"/>
                <w:strike w:val="0"/>
                <w:dstrike w:val="0"/>
                <w:color w:val="auto"/>
                <w:sz w:val="21"/>
                <w:szCs w:val="21"/>
                <w:highlight w:val="none"/>
              </w:rPr>
              <w:t>H</w:t>
            </w:r>
            <w:r>
              <w:rPr>
                <w:rFonts w:hint="eastAsia" w:ascii="Times New Roman" w:hAnsi="Times New Roman" w:eastAsia="宋体"/>
                <w:strike w:val="0"/>
                <w:dstrike w:val="0"/>
                <w:color w:val="auto"/>
                <w:sz w:val="21"/>
                <w:szCs w:val="21"/>
                <w:highlight w:val="none"/>
              </w:rPr>
              <w:t>、砷、镉、铬、铜、锌、铅、汞、镍</w:t>
            </w:r>
          </w:p>
        </w:tc>
        <w:tc>
          <w:tcPr>
            <w:tcW w:w="1497" w:type="dxa"/>
            <w:vAlign w:val="center"/>
          </w:tcPr>
          <w:p w14:paraId="4DC7D28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460A5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0238D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w:t>
            </w:r>
          </w:p>
        </w:tc>
        <w:tc>
          <w:tcPr>
            <w:tcW w:w="1512" w:type="dxa"/>
            <w:vAlign w:val="center"/>
          </w:tcPr>
          <w:p w14:paraId="0AE4C55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生态环境</w:t>
            </w:r>
          </w:p>
        </w:tc>
        <w:tc>
          <w:tcPr>
            <w:tcW w:w="2889" w:type="dxa"/>
            <w:vAlign w:val="center"/>
          </w:tcPr>
          <w:p w14:paraId="3ACE6FF4">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土地利用、土壤、植被、野生动物</w:t>
            </w:r>
          </w:p>
        </w:tc>
        <w:tc>
          <w:tcPr>
            <w:tcW w:w="1734" w:type="dxa"/>
            <w:vAlign w:val="center"/>
          </w:tcPr>
          <w:p w14:paraId="722B7C9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土地利用、土壤、植被、水土流失</w:t>
            </w:r>
          </w:p>
        </w:tc>
        <w:tc>
          <w:tcPr>
            <w:tcW w:w="1497" w:type="dxa"/>
            <w:vAlign w:val="center"/>
          </w:tcPr>
          <w:p w14:paraId="520AB14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443A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9668A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w:t>
            </w:r>
          </w:p>
        </w:tc>
        <w:tc>
          <w:tcPr>
            <w:tcW w:w="1512" w:type="dxa"/>
            <w:vAlign w:val="center"/>
          </w:tcPr>
          <w:p w14:paraId="76AE601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环境风险评价</w:t>
            </w:r>
          </w:p>
        </w:tc>
        <w:tc>
          <w:tcPr>
            <w:tcW w:w="2889" w:type="dxa"/>
            <w:vAlign w:val="center"/>
          </w:tcPr>
          <w:p w14:paraId="5879511E">
            <w:pPr>
              <w:spacing w:line="240" w:lineRule="auto"/>
              <w:ind w:firstLine="0" w:firstLineChars="0"/>
              <w:jc w:val="center"/>
              <w:rPr>
                <w:rFonts w:hint="eastAsia"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c>
          <w:tcPr>
            <w:tcW w:w="1734" w:type="dxa"/>
            <w:vAlign w:val="center"/>
          </w:tcPr>
          <w:p w14:paraId="22B42C88">
            <w:pPr>
              <w:spacing w:line="240" w:lineRule="auto"/>
              <w:ind w:firstLine="0" w:firstLineChars="0"/>
              <w:jc w:val="center"/>
              <w:rPr>
                <w:rFonts w:hint="eastAsia"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骆驼尸体</w:t>
            </w:r>
            <w:r>
              <w:rPr>
                <w:rFonts w:hint="eastAsia"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管网和黑膜池泄露、</w:t>
            </w:r>
            <w:r>
              <w:rPr>
                <w:rFonts w:hint="default" w:ascii="Times New Roman" w:hAnsi="Times New Roman" w:eastAsia="宋体"/>
                <w:strike w:val="0"/>
                <w:dstrike w:val="0"/>
                <w:color w:val="auto"/>
                <w:sz w:val="21"/>
                <w:szCs w:val="21"/>
                <w:highlight w:val="none"/>
                <w:lang w:val="en-US" w:eastAsia="zh-CN"/>
              </w:rPr>
              <w:t>医疗废物污染</w:t>
            </w:r>
            <w:r>
              <w:rPr>
                <w:rFonts w:hint="eastAsia" w:ascii="Times New Roman" w:hAnsi="Times New Roman" w:eastAsia="宋体"/>
                <w:strike w:val="0"/>
                <w:dstrike w:val="0"/>
                <w:color w:val="auto"/>
                <w:sz w:val="21"/>
                <w:szCs w:val="21"/>
                <w:highlight w:val="none"/>
                <w:lang w:val="en-US" w:eastAsia="zh-CN"/>
              </w:rPr>
              <w:t>、</w:t>
            </w:r>
            <w:r>
              <w:rPr>
                <w:rFonts w:hint="default" w:ascii="Times New Roman" w:hAnsi="Times New Roman" w:eastAsia="宋体"/>
                <w:strike w:val="0"/>
                <w:dstrike w:val="0"/>
                <w:color w:val="auto"/>
                <w:sz w:val="21"/>
                <w:szCs w:val="21"/>
                <w:highlight w:val="none"/>
                <w:lang w:val="en-US" w:eastAsia="zh-CN"/>
              </w:rPr>
              <w:t>疾病疫情</w:t>
            </w:r>
          </w:p>
        </w:tc>
        <w:tc>
          <w:tcPr>
            <w:tcW w:w="1497" w:type="dxa"/>
            <w:vAlign w:val="center"/>
          </w:tcPr>
          <w:p w14:paraId="7402013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bl>
    <w:p w14:paraId="05709CCF">
      <w:pPr>
        <w:pStyle w:val="3"/>
        <w:rPr>
          <w:rFonts w:ascii="Times New Roman" w:hAnsi="Times New Roman" w:eastAsia="宋体"/>
          <w:strike w:val="0"/>
          <w:dstrike w:val="0"/>
          <w:color w:val="auto"/>
          <w:highlight w:val="none"/>
        </w:rPr>
      </w:pPr>
      <w:bookmarkStart w:id="65" w:name="_Toc89619328"/>
      <w:bookmarkStart w:id="66" w:name="_Toc21435"/>
      <w:r>
        <w:rPr>
          <w:rFonts w:hint="eastAsia" w:ascii="Times New Roman" w:hAnsi="Times New Roman" w:eastAsia="宋体"/>
          <w:strike w:val="0"/>
          <w:dstrike w:val="0"/>
          <w:color w:val="auto"/>
          <w:highlight w:val="none"/>
        </w:rPr>
        <w:t>2.5环境功能区划及评价标准</w:t>
      </w:r>
      <w:bookmarkEnd w:id="65"/>
      <w:bookmarkEnd w:id="66"/>
    </w:p>
    <w:p w14:paraId="5653BB59">
      <w:pPr>
        <w:pStyle w:val="4"/>
        <w:rPr>
          <w:rFonts w:ascii="Times New Roman" w:hAnsi="Times New Roman" w:eastAsia="宋体"/>
          <w:strike w:val="0"/>
          <w:dstrike w:val="0"/>
          <w:color w:val="auto"/>
          <w:highlight w:val="none"/>
        </w:rPr>
      </w:pPr>
      <w:bookmarkStart w:id="67" w:name="_Toc106663439"/>
      <w:bookmarkStart w:id="68" w:name="_Toc27805"/>
      <w:r>
        <w:rPr>
          <w:rFonts w:hint="eastAsia" w:ascii="Times New Roman" w:hAnsi="Times New Roman" w:eastAsia="宋体"/>
          <w:strike w:val="0"/>
          <w:dstrike w:val="0"/>
          <w:color w:val="auto"/>
          <w:highlight w:val="none"/>
        </w:rPr>
        <w:t>2.5.1环境功能区划</w:t>
      </w:r>
      <w:bookmarkEnd w:id="67"/>
      <w:bookmarkEnd w:id="68"/>
    </w:p>
    <w:p w14:paraId="4C6B7AB3">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2.5.1.1环境空气功能区划</w:t>
      </w:r>
    </w:p>
    <w:p w14:paraId="662B3B8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本项目位于</w:t>
      </w:r>
      <w:r>
        <w:rPr>
          <w:rFonts w:hint="eastAsia" w:ascii="Times New Roman" w:hAnsi="Times New Roman" w:eastAsia="宋体"/>
          <w:strike w:val="0"/>
          <w:dstrike w:val="0"/>
          <w:color w:val="auto"/>
          <w:highlight w:val="none"/>
          <w:lang w:eastAsia="zh-CN"/>
        </w:rPr>
        <w:t>木垒县博斯坦乡</w:t>
      </w:r>
      <w:r>
        <w:rPr>
          <w:rFonts w:hint="eastAsia" w:ascii="Times New Roman" w:hAnsi="Times New Roman" w:eastAsia="宋体"/>
          <w:strike w:val="0"/>
          <w:dstrike w:val="0"/>
          <w:color w:val="auto"/>
          <w:highlight w:val="none"/>
          <w:lang w:val="en-US" w:eastAsia="zh-CN"/>
        </w:rPr>
        <w:t>阿克卓勒村</w:t>
      </w:r>
      <w:r>
        <w:rPr>
          <w:rFonts w:ascii="Times New Roman" w:hAnsi="Times New Roman" w:eastAsia="宋体"/>
          <w:strike w:val="0"/>
          <w:dstrike w:val="0"/>
          <w:color w:val="auto"/>
          <w:highlight w:val="none"/>
        </w:rPr>
        <w:t>，周边无自然保护区、风景名胜区和其他需要特殊保护的区域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根据环境空气功能区分类，评价区环境空气功能区为二类区，执行</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w:t>
      </w:r>
      <w:r>
        <w:rPr>
          <w:rFonts w:hint="eastAsia" w:ascii="Times New Roman" w:hAnsi="Times New Roman" w:eastAsia="宋体"/>
          <w:strike w:val="0"/>
          <w:dstrike w:val="0"/>
          <w:color w:val="auto"/>
          <w:highlight w:val="none"/>
          <w:lang w:eastAsia="zh-CN"/>
        </w:rPr>
        <w:t>。</w:t>
      </w:r>
    </w:p>
    <w:p w14:paraId="66951425">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2.5.1.2水环境功能区划</w:t>
      </w:r>
    </w:p>
    <w:p w14:paraId="58330B7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根据《地下水质量标准》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GB/T14848-2017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中地下水质量分类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以人体健康基准值为依据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的要求，主要适用于集中式生活饮用水水源及工、农业用水的地下水为Ⅲ类水质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本项目所在区域地下水执行《地下水质量标准》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GB/T14848-2017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中的Ⅲ类标准</w:t>
      </w:r>
      <w:r>
        <w:rPr>
          <w:rFonts w:hint="eastAsia" w:ascii="Times New Roman" w:hAnsi="Times New Roman" w:eastAsia="宋体"/>
          <w:strike w:val="0"/>
          <w:dstrike w:val="0"/>
          <w:color w:val="auto"/>
          <w:highlight w:val="none"/>
          <w:lang w:eastAsia="zh-CN"/>
        </w:rPr>
        <w:t>。</w:t>
      </w:r>
    </w:p>
    <w:p w14:paraId="66C2BB6F">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2.5.1.3声环境功能区划</w:t>
      </w:r>
    </w:p>
    <w:p w14:paraId="08D2DC7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根据声环境功能区划分，项目所在地为2类声环境功能区，执行《声环境质量标准》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GB3096-2008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中2类标准要求</w:t>
      </w:r>
      <w:r>
        <w:rPr>
          <w:rFonts w:hint="eastAsia" w:ascii="Times New Roman" w:hAnsi="Times New Roman" w:eastAsia="宋体"/>
          <w:strike w:val="0"/>
          <w:dstrike w:val="0"/>
          <w:color w:val="auto"/>
          <w:highlight w:val="none"/>
          <w:lang w:eastAsia="zh-CN"/>
        </w:rPr>
        <w:t>。</w:t>
      </w:r>
    </w:p>
    <w:p w14:paraId="4CA2922A">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2.5.1.4生态环境功能区划</w:t>
      </w:r>
    </w:p>
    <w:p w14:paraId="2E2F754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根据《新疆生态功能区划》，本项目所在区域属于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II准噶尔盆地温性荒漠与绿洲农业生态区：II</w:t>
      </w:r>
      <w:r>
        <w:rPr>
          <w:rFonts w:hint="eastAsia" w:ascii="Times New Roman" w:hAnsi="Times New Roman" w:eastAsia="宋体"/>
          <w:strike w:val="0"/>
          <w:dstrike w:val="0"/>
          <w:color w:val="auto"/>
          <w:highlight w:val="none"/>
          <w:vertAlign w:val="subscript"/>
          <w:lang w:val="en-US" w:eastAsia="zh-CN"/>
        </w:rPr>
        <w:t>5</w:t>
      </w:r>
      <w:r>
        <w:rPr>
          <w:rFonts w:hint="eastAsia" w:ascii="Times New Roman" w:hAnsi="Times New Roman" w:eastAsia="宋体"/>
          <w:strike w:val="0"/>
          <w:dstrike w:val="0"/>
          <w:color w:val="auto"/>
          <w:highlight w:val="none"/>
          <w:vertAlign w:val="baseline"/>
          <w:lang w:val="en-US" w:eastAsia="zh-CN"/>
        </w:rPr>
        <w:t>准噶尔盆地南部荒漠绿洲农业生态亚区</w:t>
      </w:r>
      <w:r>
        <w:rPr>
          <w:rFonts w:hint="eastAsia" w:ascii="Times New Roman" w:hAnsi="Times New Roman" w:eastAsia="宋体"/>
          <w:strike w:val="0"/>
          <w:dstrike w:val="0"/>
          <w:color w:val="auto"/>
          <w:highlight w:val="none"/>
          <w:lang w:eastAsia="zh-CN"/>
        </w:rPr>
        <w:t>”。</w:t>
      </w:r>
    </w:p>
    <w:p w14:paraId="1C7D64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表2.5-1本项目所属生态功能区主要特征</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6548"/>
      </w:tblGrid>
      <w:tr w14:paraId="3140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6A4355EE">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功能区</w:t>
            </w:r>
          </w:p>
        </w:tc>
        <w:tc>
          <w:tcPr>
            <w:tcW w:w="3841" w:type="pct"/>
          </w:tcPr>
          <w:p w14:paraId="5922143D">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28.阜康-木垒绿洲农业、荒漠草地保护生态功能区</w:t>
            </w:r>
          </w:p>
        </w:tc>
      </w:tr>
      <w:tr w14:paraId="7EEB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7A7E8D49">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主要生态服务功能</w:t>
            </w:r>
          </w:p>
        </w:tc>
        <w:tc>
          <w:tcPr>
            <w:tcW w:w="3841" w:type="pct"/>
          </w:tcPr>
          <w:p w14:paraId="47A63EDE">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农牧业产品生产、人居环境、荒漠化控制</w:t>
            </w:r>
          </w:p>
        </w:tc>
      </w:tr>
      <w:tr w14:paraId="66FB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499CA3B1">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主要生态环境问题</w:t>
            </w:r>
          </w:p>
        </w:tc>
        <w:tc>
          <w:tcPr>
            <w:tcW w:w="3841" w:type="pct"/>
          </w:tcPr>
          <w:p w14:paraId="35F04FA3">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地下水超采、荒漠植被退化、沙漠化威胁、局部土壤盐渍化、河流萎缩、滥开荒地</w:t>
            </w:r>
          </w:p>
        </w:tc>
      </w:tr>
      <w:tr w14:paraId="5378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61BDB5C1">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主要生态敏感因子、敏感程度</w:t>
            </w:r>
          </w:p>
        </w:tc>
        <w:tc>
          <w:tcPr>
            <w:tcW w:w="3841" w:type="pct"/>
          </w:tcPr>
          <w:p w14:paraId="49E05372">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生物多样性及其生态环境中敏感程度，土壤侵蚀轻度敏感，土地沙漠化中度敏感，土壤盐渍化轻度敏感</w:t>
            </w:r>
          </w:p>
        </w:tc>
      </w:tr>
      <w:tr w14:paraId="2F30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5390C28C">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主要保护目标</w:t>
            </w:r>
          </w:p>
        </w:tc>
        <w:tc>
          <w:tcPr>
            <w:tcW w:w="3841" w:type="pct"/>
          </w:tcPr>
          <w:p w14:paraId="162F2846">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保护基本农田、保护荒漠植被、保护土壤环境质量</w:t>
            </w:r>
          </w:p>
        </w:tc>
      </w:tr>
      <w:tr w14:paraId="4144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4C215C55">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主要保护措施</w:t>
            </w:r>
          </w:p>
        </w:tc>
        <w:tc>
          <w:tcPr>
            <w:tcW w:w="3841" w:type="pct"/>
          </w:tcPr>
          <w:p w14:paraId="4BE87580">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节水灌溉、草场休牧、对坡耕地和沙化土地实施退耕还林（草），在水源无保障、植被稀少、生态脆弱地带禁止开荒、加强农田投入品的使用管理</w:t>
            </w:r>
          </w:p>
        </w:tc>
      </w:tr>
      <w:tr w14:paraId="7D21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8" w:type="pct"/>
          </w:tcPr>
          <w:p w14:paraId="40B4E477">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适宜发展方向</w:t>
            </w:r>
          </w:p>
        </w:tc>
        <w:tc>
          <w:tcPr>
            <w:tcW w:w="3841" w:type="pct"/>
          </w:tcPr>
          <w:p w14:paraId="335DE764">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农牧结合，发展优质、高效特色农业和畜牧业</w:t>
            </w:r>
          </w:p>
        </w:tc>
      </w:tr>
    </w:tbl>
    <w:p w14:paraId="2D819DD0">
      <w:pPr>
        <w:pStyle w:val="4"/>
        <w:rPr>
          <w:rFonts w:ascii="Times New Roman" w:hAnsi="Times New Roman" w:eastAsia="宋体"/>
          <w:strike w:val="0"/>
          <w:dstrike w:val="0"/>
          <w:color w:val="auto"/>
          <w:highlight w:val="none"/>
        </w:rPr>
      </w:pPr>
      <w:bookmarkStart w:id="69" w:name="_Toc106663440"/>
      <w:bookmarkStart w:id="70" w:name="_Toc16184"/>
      <w:r>
        <w:rPr>
          <w:rFonts w:hint="eastAsia" w:ascii="Times New Roman" w:hAnsi="Times New Roman" w:eastAsia="宋体"/>
          <w:strike w:val="0"/>
          <w:dstrike w:val="0"/>
          <w:color w:val="auto"/>
          <w:highlight w:val="none"/>
        </w:rPr>
        <w:t>2.5.2评价标准</w:t>
      </w:r>
      <w:bookmarkEnd w:id="69"/>
      <w:bookmarkEnd w:id="70"/>
    </w:p>
    <w:p w14:paraId="731D67EA">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2.5.2.1环境质量标准</w:t>
      </w:r>
    </w:p>
    <w:p w14:paraId="7F54A9F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（1）环境空气质量标准</w:t>
      </w:r>
    </w:p>
    <w:p w14:paraId="74519EE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本项目所在地点所属环境空气区域为二类区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故评价区域大气环境质量常规污染物选用《环境空气质量标准》（GB3095-20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二级标准；氨和硫化氢选用《环境影响评价技术导则-大气环境》（HJ2.2-2018）中附录D氨和硫化氢的1h浓度限值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标准值见表2.5-</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5B0501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表2.5-2环境空气污染物浓度限值</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853"/>
        <w:gridCol w:w="1985"/>
        <w:gridCol w:w="992"/>
        <w:gridCol w:w="851"/>
        <w:gridCol w:w="2318"/>
      </w:tblGrid>
      <w:tr w14:paraId="7EDE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dxa"/>
            <w:vAlign w:val="center"/>
          </w:tcPr>
          <w:p w14:paraId="591C8618">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序号</w:t>
            </w:r>
          </w:p>
        </w:tc>
        <w:tc>
          <w:tcPr>
            <w:tcW w:w="1853" w:type="dxa"/>
            <w:vAlign w:val="center"/>
          </w:tcPr>
          <w:p w14:paraId="3C45C93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污染物项目</w:t>
            </w:r>
          </w:p>
        </w:tc>
        <w:tc>
          <w:tcPr>
            <w:tcW w:w="1985" w:type="dxa"/>
            <w:vAlign w:val="center"/>
          </w:tcPr>
          <w:p w14:paraId="4AA8F60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平均时间</w:t>
            </w:r>
          </w:p>
        </w:tc>
        <w:tc>
          <w:tcPr>
            <w:tcW w:w="992" w:type="dxa"/>
            <w:vAlign w:val="center"/>
          </w:tcPr>
          <w:p w14:paraId="7F48FD2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浓度限值</w:t>
            </w:r>
          </w:p>
        </w:tc>
        <w:tc>
          <w:tcPr>
            <w:tcW w:w="851" w:type="dxa"/>
            <w:vAlign w:val="center"/>
          </w:tcPr>
          <w:p w14:paraId="4A995FF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单位</w:t>
            </w:r>
          </w:p>
        </w:tc>
        <w:tc>
          <w:tcPr>
            <w:tcW w:w="2318" w:type="dxa"/>
            <w:vAlign w:val="center"/>
          </w:tcPr>
          <w:p w14:paraId="05CB50C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标准来源</w:t>
            </w:r>
          </w:p>
        </w:tc>
      </w:tr>
      <w:tr w14:paraId="17CB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5470C09E">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w:t>
            </w:r>
          </w:p>
        </w:tc>
        <w:tc>
          <w:tcPr>
            <w:tcW w:w="1853" w:type="dxa"/>
            <w:vMerge w:val="restart"/>
            <w:vAlign w:val="center"/>
          </w:tcPr>
          <w:p w14:paraId="29F99FE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二氧化硫（SO</w:t>
            </w:r>
            <w:r>
              <w:rPr>
                <w:rFonts w:hint="eastAsia"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w:t>
            </w:r>
          </w:p>
        </w:tc>
        <w:tc>
          <w:tcPr>
            <w:tcW w:w="1985" w:type="dxa"/>
            <w:vAlign w:val="center"/>
          </w:tcPr>
          <w:p w14:paraId="4A45A169">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5E500625">
            <w:pPr>
              <w:spacing w:line="240" w:lineRule="auto"/>
              <w:ind w:left="-120" w:leftChars="-50" w:right="-120" w:rightChars="-50" w:firstLine="0" w:firstLineChars="0"/>
              <w:jc w:val="center"/>
              <w:rPr>
                <w:rFonts w:hint="default" w:ascii="Times New Roman" w:hAnsi="Times New Roman" w:eastAsia="宋体"/>
                <w:color w:val="auto"/>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60</w:t>
            </w:r>
          </w:p>
        </w:tc>
        <w:tc>
          <w:tcPr>
            <w:tcW w:w="851" w:type="dxa"/>
            <w:vMerge w:val="restart"/>
            <w:vAlign w:val="center"/>
          </w:tcPr>
          <w:p w14:paraId="6896926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μg/m</w:t>
            </w:r>
            <w:r>
              <w:rPr>
                <w:rFonts w:ascii="Times New Roman" w:hAnsi="Times New Roman" w:eastAsia="宋体"/>
                <w:strike w:val="0"/>
                <w:dstrike w:val="0"/>
                <w:color w:val="auto"/>
                <w:sz w:val="21"/>
                <w:szCs w:val="21"/>
                <w:highlight w:val="none"/>
                <w:vertAlign w:val="superscript"/>
              </w:rPr>
              <w:t>3</w:t>
            </w:r>
          </w:p>
        </w:tc>
        <w:tc>
          <w:tcPr>
            <w:tcW w:w="2318" w:type="dxa"/>
            <w:vMerge w:val="restart"/>
            <w:vAlign w:val="center"/>
          </w:tcPr>
          <w:p w14:paraId="6410EAB5">
            <w:pPr>
              <w:spacing w:line="240" w:lineRule="auto"/>
              <w:ind w:left="-120" w:leftChars="-50" w:right="-120" w:rightChars="-50"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《环境空气质量标准》（GB3095-2026）中过渡阶段浓度限值二级标准</w:t>
            </w:r>
          </w:p>
        </w:tc>
      </w:tr>
      <w:tr w14:paraId="29E1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1815F45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773A166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11DB65FE">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71D7FD60">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150</w:t>
            </w:r>
          </w:p>
        </w:tc>
        <w:tc>
          <w:tcPr>
            <w:tcW w:w="851" w:type="dxa"/>
            <w:vMerge w:val="continue"/>
            <w:vAlign w:val="center"/>
          </w:tcPr>
          <w:p w14:paraId="5E143E3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1E121E8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E7E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0092C74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637F832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3B90AEB9">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28B6C7CF">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500</w:t>
            </w:r>
          </w:p>
        </w:tc>
        <w:tc>
          <w:tcPr>
            <w:tcW w:w="851" w:type="dxa"/>
            <w:vMerge w:val="continue"/>
            <w:vAlign w:val="center"/>
          </w:tcPr>
          <w:p w14:paraId="74445F0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6363F72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1198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287468F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w:t>
            </w:r>
          </w:p>
        </w:tc>
        <w:tc>
          <w:tcPr>
            <w:tcW w:w="1853" w:type="dxa"/>
            <w:vMerge w:val="restart"/>
            <w:vAlign w:val="center"/>
          </w:tcPr>
          <w:p w14:paraId="5C95B27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二氧化氮（</w:t>
            </w:r>
            <w:r>
              <w:rPr>
                <w:rFonts w:ascii="Times New Roman" w:hAnsi="Times New Roman" w:eastAsia="宋体"/>
                <w:strike w:val="0"/>
                <w:dstrike w:val="0"/>
                <w:color w:val="auto"/>
                <w:sz w:val="21"/>
                <w:szCs w:val="21"/>
                <w:highlight w:val="none"/>
              </w:rPr>
              <w:t>NO</w:t>
            </w:r>
            <w:r>
              <w:rPr>
                <w:rFonts w:ascii="Times New Roman" w:hAnsi="Times New Roman" w:eastAsia="宋体"/>
                <w:strike w:val="0"/>
                <w:dstrike w:val="0"/>
                <w:color w:val="auto"/>
                <w:sz w:val="21"/>
                <w:szCs w:val="21"/>
                <w:highlight w:val="none"/>
                <w:vertAlign w:val="subscript"/>
              </w:rPr>
              <w:t>2</w:t>
            </w:r>
            <w:r>
              <w:rPr>
                <w:rFonts w:hint="eastAsia" w:ascii="Times New Roman" w:hAnsi="Times New Roman" w:eastAsia="宋体"/>
                <w:strike w:val="0"/>
                <w:dstrike w:val="0"/>
                <w:color w:val="auto"/>
                <w:sz w:val="21"/>
                <w:szCs w:val="21"/>
                <w:highlight w:val="none"/>
              </w:rPr>
              <w:t>）</w:t>
            </w:r>
          </w:p>
        </w:tc>
        <w:tc>
          <w:tcPr>
            <w:tcW w:w="1985" w:type="dxa"/>
            <w:vAlign w:val="center"/>
          </w:tcPr>
          <w:p w14:paraId="183EF826">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1C24A324">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40</w:t>
            </w:r>
          </w:p>
        </w:tc>
        <w:tc>
          <w:tcPr>
            <w:tcW w:w="851" w:type="dxa"/>
            <w:vMerge w:val="continue"/>
            <w:vAlign w:val="center"/>
          </w:tcPr>
          <w:p w14:paraId="159B42D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70BF395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6212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58C9985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164D0B1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1168B096">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1023E095">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80</w:t>
            </w:r>
          </w:p>
        </w:tc>
        <w:tc>
          <w:tcPr>
            <w:tcW w:w="851" w:type="dxa"/>
            <w:vMerge w:val="continue"/>
            <w:vAlign w:val="center"/>
          </w:tcPr>
          <w:p w14:paraId="58C4590A">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76CBD60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6110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4720526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24E7DA8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07263EC9">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46E9CDB0">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200</w:t>
            </w:r>
          </w:p>
        </w:tc>
        <w:tc>
          <w:tcPr>
            <w:tcW w:w="851" w:type="dxa"/>
            <w:vMerge w:val="continue"/>
            <w:vAlign w:val="center"/>
          </w:tcPr>
          <w:p w14:paraId="1A98412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FB05EC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3B9D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6FE4F45A">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w:t>
            </w:r>
          </w:p>
        </w:tc>
        <w:tc>
          <w:tcPr>
            <w:tcW w:w="1853" w:type="dxa"/>
            <w:vMerge w:val="restart"/>
            <w:vAlign w:val="center"/>
          </w:tcPr>
          <w:p w14:paraId="7494688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一氧化碳（CO）</w:t>
            </w:r>
          </w:p>
        </w:tc>
        <w:tc>
          <w:tcPr>
            <w:tcW w:w="1985" w:type="dxa"/>
            <w:vAlign w:val="center"/>
          </w:tcPr>
          <w:p w14:paraId="0183737D">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43E7447B">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4</w:t>
            </w:r>
          </w:p>
        </w:tc>
        <w:tc>
          <w:tcPr>
            <w:tcW w:w="851" w:type="dxa"/>
            <w:vMerge w:val="restart"/>
            <w:vAlign w:val="center"/>
          </w:tcPr>
          <w:p w14:paraId="195EA22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mg/m</w:t>
            </w:r>
            <w:r>
              <w:rPr>
                <w:rFonts w:hint="eastAsia" w:ascii="Times New Roman" w:hAnsi="Times New Roman" w:eastAsia="宋体"/>
                <w:strike w:val="0"/>
                <w:dstrike w:val="0"/>
                <w:color w:val="auto"/>
                <w:sz w:val="21"/>
                <w:szCs w:val="21"/>
                <w:highlight w:val="none"/>
                <w:vertAlign w:val="superscript"/>
              </w:rPr>
              <w:t>3</w:t>
            </w:r>
          </w:p>
        </w:tc>
        <w:tc>
          <w:tcPr>
            <w:tcW w:w="2318" w:type="dxa"/>
            <w:vMerge w:val="continue"/>
            <w:vAlign w:val="center"/>
          </w:tcPr>
          <w:p w14:paraId="0C4C27E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59F0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305E99CA">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5C8947E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2F10FD23">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27F23A9B">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10</w:t>
            </w:r>
          </w:p>
        </w:tc>
        <w:tc>
          <w:tcPr>
            <w:tcW w:w="851" w:type="dxa"/>
            <w:vMerge w:val="continue"/>
            <w:vAlign w:val="center"/>
          </w:tcPr>
          <w:p w14:paraId="582B950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0E7E998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4165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0B1644D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w:t>
            </w:r>
          </w:p>
        </w:tc>
        <w:tc>
          <w:tcPr>
            <w:tcW w:w="1853" w:type="dxa"/>
            <w:vMerge w:val="restart"/>
            <w:vAlign w:val="center"/>
          </w:tcPr>
          <w:p w14:paraId="03378B3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臭氧（O</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w:t>
            </w:r>
          </w:p>
        </w:tc>
        <w:tc>
          <w:tcPr>
            <w:tcW w:w="1985" w:type="dxa"/>
            <w:vAlign w:val="center"/>
          </w:tcPr>
          <w:p w14:paraId="60520698">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日最大8小时平均</w:t>
            </w:r>
          </w:p>
        </w:tc>
        <w:tc>
          <w:tcPr>
            <w:tcW w:w="992" w:type="dxa"/>
            <w:vAlign w:val="center"/>
          </w:tcPr>
          <w:p w14:paraId="5AFC0CC0">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160</w:t>
            </w:r>
          </w:p>
        </w:tc>
        <w:tc>
          <w:tcPr>
            <w:tcW w:w="851" w:type="dxa"/>
            <w:vMerge w:val="restart"/>
            <w:vAlign w:val="center"/>
          </w:tcPr>
          <w:p w14:paraId="6B09F3C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μg/m</w:t>
            </w:r>
            <w:r>
              <w:rPr>
                <w:rFonts w:ascii="Times New Roman" w:hAnsi="Times New Roman" w:eastAsia="宋体"/>
                <w:strike w:val="0"/>
                <w:dstrike w:val="0"/>
                <w:color w:val="auto"/>
                <w:sz w:val="21"/>
                <w:szCs w:val="21"/>
                <w:highlight w:val="none"/>
                <w:vertAlign w:val="superscript"/>
              </w:rPr>
              <w:t>3</w:t>
            </w:r>
          </w:p>
        </w:tc>
        <w:tc>
          <w:tcPr>
            <w:tcW w:w="2318" w:type="dxa"/>
            <w:vMerge w:val="continue"/>
            <w:vAlign w:val="center"/>
          </w:tcPr>
          <w:p w14:paraId="5D161F6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3CB02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6265FC3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19FD5ED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7015C97D">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1小时平均</w:t>
            </w:r>
          </w:p>
        </w:tc>
        <w:tc>
          <w:tcPr>
            <w:tcW w:w="992" w:type="dxa"/>
            <w:vAlign w:val="center"/>
          </w:tcPr>
          <w:p w14:paraId="2FE413DB">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200</w:t>
            </w:r>
          </w:p>
        </w:tc>
        <w:tc>
          <w:tcPr>
            <w:tcW w:w="851" w:type="dxa"/>
            <w:vMerge w:val="continue"/>
            <w:vAlign w:val="center"/>
          </w:tcPr>
          <w:p w14:paraId="73350F7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A6372C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09AE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2B8E7A0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w:t>
            </w:r>
          </w:p>
        </w:tc>
        <w:tc>
          <w:tcPr>
            <w:tcW w:w="1853" w:type="dxa"/>
            <w:vMerge w:val="restart"/>
            <w:vAlign w:val="center"/>
          </w:tcPr>
          <w:p w14:paraId="6CE702C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颗粒物（粒径小于等于10</w:t>
            </w:r>
            <w:r>
              <w:rPr>
                <w:rFonts w:ascii="Times New Roman" w:hAnsi="Times New Roman" w:eastAsia="宋体"/>
                <w:strike w:val="0"/>
                <w:dstrike w:val="0"/>
                <w:color w:val="auto"/>
                <w:sz w:val="21"/>
                <w:szCs w:val="21"/>
                <w:highlight w:val="none"/>
              </w:rPr>
              <w:t>μm</w:t>
            </w:r>
            <w:r>
              <w:rPr>
                <w:rFonts w:hint="eastAsia" w:ascii="Times New Roman" w:hAnsi="Times New Roman" w:eastAsia="宋体"/>
                <w:strike w:val="0"/>
                <w:dstrike w:val="0"/>
                <w:color w:val="auto"/>
                <w:sz w:val="21"/>
                <w:szCs w:val="21"/>
                <w:highlight w:val="none"/>
              </w:rPr>
              <w:t>）</w:t>
            </w:r>
          </w:p>
        </w:tc>
        <w:tc>
          <w:tcPr>
            <w:tcW w:w="1985" w:type="dxa"/>
            <w:vAlign w:val="center"/>
          </w:tcPr>
          <w:p w14:paraId="092EB330">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52A7659B">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60</w:t>
            </w:r>
          </w:p>
        </w:tc>
        <w:tc>
          <w:tcPr>
            <w:tcW w:w="851" w:type="dxa"/>
            <w:vMerge w:val="continue"/>
            <w:vAlign w:val="center"/>
          </w:tcPr>
          <w:p w14:paraId="2CD9586F">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0C42F08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5F3D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1679AAAE">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130F787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178204F1">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2322668C">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120</w:t>
            </w:r>
          </w:p>
        </w:tc>
        <w:tc>
          <w:tcPr>
            <w:tcW w:w="851" w:type="dxa"/>
            <w:vMerge w:val="continue"/>
            <w:vAlign w:val="center"/>
          </w:tcPr>
          <w:p w14:paraId="0427AB9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5CD7AB0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540F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2AA83EA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w:t>
            </w:r>
          </w:p>
        </w:tc>
        <w:tc>
          <w:tcPr>
            <w:tcW w:w="1853" w:type="dxa"/>
            <w:vMerge w:val="restart"/>
            <w:vAlign w:val="center"/>
          </w:tcPr>
          <w:p w14:paraId="760BB2F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颗粒物（粒径小于等于2.5</w:t>
            </w:r>
            <w:r>
              <w:rPr>
                <w:rFonts w:ascii="Times New Roman" w:hAnsi="Times New Roman" w:eastAsia="宋体"/>
                <w:strike w:val="0"/>
                <w:dstrike w:val="0"/>
                <w:color w:val="auto"/>
                <w:sz w:val="21"/>
                <w:szCs w:val="21"/>
                <w:highlight w:val="none"/>
              </w:rPr>
              <w:t>μm</w:t>
            </w:r>
            <w:r>
              <w:rPr>
                <w:rFonts w:hint="eastAsia" w:ascii="Times New Roman" w:hAnsi="Times New Roman" w:eastAsia="宋体"/>
                <w:strike w:val="0"/>
                <w:dstrike w:val="0"/>
                <w:color w:val="auto"/>
                <w:sz w:val="21"/>
                <w:szCs w:val="21"/>
                <w:highlight w:val="none"/>
              </w:rPr>
              <w:t>）</w:t>
            </w:r>
          </w:p>
        </w:tc>
        <w:tc>
          <w:tcPr>
            <w:tcW w:w="1985" w:type="dxa"/>
            <w:vAlign w:val="center"/>
          </w:tcPr>
          <w:p w14:paraId="471A330E">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122B97B9">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30</w:t>
            </w:r>
          </w:p>
        </w:tc>
        <w:tc>
          <w:tcPr>
            <w:tcW w:w="851" w:type="dxa"/>
            <w:vMerge w:val="continue"/>
            <w:vAlign w:val="center"/>
          </w:tcPr>
          <w:p w14:paraId="30D1D23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53D10F9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0B1D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660EED0C">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04EEF5F2">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5905699A">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1ADF8E9D">
            <w:pPr>
              <w:spacing w:line="240" w:lineRule="auto"/>
              <w:ind w:left="-120" w:leftChars="-50" w:right="-120" w:rightChars="-50"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60</w:t>
            </w:r>
          </w:p>
        </w:tc>
        <w:tc>
          <w:tcPr>
            <w:tcW w:w="851" w:type="dxa"/>
            <w:vMerge w:val="continue"/>
            <w:vAlign w:val="center"/>
          </w:tcPr>
          <w:p w14:paraId="41B8D7C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D940F4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A39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restart"/>
            <w:vAlign w:val="center"/>
          </w:tcPr>
          <w:p w14:paraId="3561AB86">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w:t>
            </w:r>
          </w:p>
        </w:tc>
        <w:tc>
          <w:tcPr>
            <w:tcW w:w="1853" w:type="dxa"/>
            <w:vMerge w:val="restart"/>
            <w:vAlign w:val="center"/>
          </w:tcPr>
          <w:p w14:paraId="79C3E108">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总悬浮颗粒物（TSP）</w:t>
            </w:r>
          </w:p>
        </w:tc>
        <w:tc>
          <w:tcPr>
            <w:tcW w:w="1985" w:type="dxa"/>
            <w:vAlign w:val="center"/>
          </w:tcPr>
          <w:p w14:paraId="21392195">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年平均</w:t>
            </w:r>
          </w:p>
        </w:tc>
        <w:tc>
          <w:tcPr>
            <w:tcW w:w="992" w:type="dxa"/>
            <w:vAlign w:val="center"/>
          </w:tcPr>
          <w:p w14:paraId="04A47E9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200</w:t>
            </w:r>
          </w:p>
        </w:tc>
        <w:tc>
          <w:tcPr>
            <w:tcW w:w="851" w:type="dxa"/>
            <w:vMerge w:val="continue"/>
            <w:vAlign w:val="center"/>
          </w:tcPr>
          <w:p w14:paraId="7683A5FB">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3C5D7B5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2CC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Merge w:val="continue"/>
            <w:vAlign w:val="center"/>
          </w:tcPr>
          <w:p w14:paraId="4938DAF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853" w:type="dxa"/>
            <w:vMerge w:val="continue"/>
            <w:vAlign w:val="center"/>
          </w:tcPr>
          <w:p w14:paraId="01E9152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1985" w:type="dxa"/>
            <w:vAlign w:val="center"/>
          </w:tcPr>
          <w:p w14:paraId="65350EDC">
            <w:pPr>
              <w:spacing w:line="240" w:lineRule="auto"/>
              <w:ind w:left="-120" w:leftChars="-50" w:right="-120" w:rightChars="-50"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日平均</w:t>
            </w:r>
          </w:p>
        </w:tc>
        <w:tc>
          <w:tcPr>
            <w:tcW w:w="992" w:type="dxa"/>
            <w:vAlign w:val="center"/>
          </w:tcPr>
          <w:p w14:paraId="314B780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300</w:t>
            </w:r>
          </w:p>
        </w:tc>
        <w:tc>
          <w:tcPr>
            <w:tcW w:w="851" w:type="dxa"/>
            <w:vMerge w:val="continue"/>
            <w:vAlign w:val="center"/>
          </w:tcPr>
          <w:p w14:paraId="45A49413">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432CF8D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r w14:paraId="7123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Align w:val="center"/>
          </w:tcPr>
          <w:p w14:paraId="5F6C085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w:t>
            </w:r>
          </w:p>
        </w:tc>
        <w:tc>
          <w:tcPr>
            <w:tcW w:w="1853" w:type="dxa"/>
            <w:vAlign w:val="center"/>
          </w:tcPr>
          <w:p w14:paraId="6A71F71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硫化氢（</w:t>
            </w:r>
            <w:r>
              <w:rPr>
                <w:rFonts w:ascii="Times New Roman" w:hAnsi="Times New Roman" w:eastAsia="宋体"/>
                <w:strike w:val="0"/>
                <w:dstrike w:val="0"/>
                <w:color w:val="auto"/>
                <w:sz w:val="21"/>
                <w:szCs w:val="21"/>
                <w:highlight w:val="none"/>
              </w:rPr>
              <w:t>H</w:t>
            </w:r>
            <w:r>
              <w:rPr>
                <w:rFonts w:ascii="Times New Roman" w:hAnsi="Times New Roman" w:eastAsia="宋体"/>
                <w:strike w:val="0"/>
                <w:dstrike w:val="0"/>
                <w:color w:val="auto"/>
                <w:sz w:val="21"/>
                <w:szCs w:val="21"/>
                <w:highlight w:val="none"/>
                <w:vertAlign w:val="subscript"/>
              </w:rPr>
              <w:t>2</w:t>
            </w:r>
            <w:r>
              <w:rPr>
                <w:rFonts w:ascii="Times New Roman" w:hAnsi="Times New Roman" w:eastAsia="宋体"/>
                <w:strike w:val="0"/>
                <w:dstrike w:val="0"/>
                <w:color w:val="auto"/>
                <w:sz w:val="21"/>
                <w:szCs w:val="21"/>
                <w:highlight w:val="none"/>
              </w:rPr>
              <w:t>S</w:t>
            </w:r>
            <w:r>
              <w:rPr>
                <w:rFonts w:hint="eastAsia" w:ascii="Times New Roman" w:hAnsi="Times New Roman" w:eastAsia="宋体"/>
                <w:strike w:val="0"/>
                <w:dstrike w:val="0"/>
                <w:color w:val="auto"/>
                <w:sz w:val="21"/>
                <w:szCs w:val="21"/>
                <w:highlight w:val="none"/>
              </w:rPr>
              <w:t>）</w:t>
            </w:r>
          </w:p>
        </w:tc>
        <w:tc>
          <w:tcPr>
            <w:tcW w:w="1985" w:type="dxa"/>
            <w:vAlign w:val="center"/>
          </w:tcPr>
          <w:p w14:paraId="51DE4571">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1小时平均</w:t>
            </w:r>
          </w:p>
        </w:tc>
        <w:tc>
          <w:tcPr>
            <w:tcW w:w="992" w:type="dxa"/>
            <w:vAlign w:val="center"/>
          </w:tcPr>
          <w:p w14:paraId="1FE5888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0.01</w:t>
            </w:r>
          </w:p>
        </w:tc>
        <w:tc>
          <w:tcPr>
            <w:tcW w:w="851" w:type="dxa"/>
            <w:vMerge w:val="restart"/>
            <w:vAlign w:val="center"/>
          </w:tcPr>
          <w:p w14:paraId="6AF6191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mg/m</w:t>
            </w:r>
            <w:r>
              <w:rPr>
                <w:rFonts w:hint="eastAsia" w:ascii="Times New Roman" w:hAnsi="Times New Roman" w:eastAsia="宋体"/>
                <w:strike w:val="0"/>
                <w:dstrike w:val="0"/>
                <w:color w:val="auto"/>
                <w:sz w:val="21"/>
                <w:szCs w:val="21"/>
                <w:highlight w:val="none"/>
                <w:vertAlign w:val="superscript"/>
              </w:rPr>
              <w:t>3</w:t>
            </w:r>
          </w:p>
        </w:tc>
        <w:tc>
          <w:tcPr>
            <w:tcW w:w="2318" w:type="dxa"/>
            <w:vMerge w:val="restart"/>
            <w:vAlign w:val="center"/>
          </w:tcPr>
          <w:p w14:paraId="4E16FF2E">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《环境影响评价技术导则-大气环境》（HJ2.2-2018）附录D</w:t>
            </w:r>
          </w:p>
        </w:tc>
      </w:tr>
      <w:tr w14:paraId="4708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3" w:type="dxa"/>
            <w:vAlign w:val="center"/>
          </w:tcPr>
          <w:p w14:paraId="3F822A35">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9</w:t>
            </w:r>
          </w:p>
        </w:tc>
        <w:tc>
          <w:tcPr>
            <w:tcW w:w="1853" w:type="dxa"/>
            <w:vAlign w:val="center"/>
          </w:tcPr>
          <w:p w14:paraId="180C4EE4">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氨（NH</w:t>
            </w:r>
            <w:r>
              <w:rPr>
                <w:rFonts w:hint="eastAsia"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w:t>
            </w:r>
          </w:p>
        </w:tc>
        <w:tc>
          <w:tcPr>
            <w:tcW w:w="1985" w:type="dxa"/>
            <w:vAlign w:val="center"/>
          </w:tcPr>
          <w:p w14:paraId="3C737069">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1小时平均</w:t>
            </w:r>
          </w:p>
        </w:tc>
        <w:tc>
          <w:tcPr>
            <w:tcW w:w="992" w:type="dxa"/>
            <w:vAlign w:val="center"/>
          </w:tcPr>
          <w:p w14:paraId="084E5557">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0.20</w:t>
            </w:r>
          </w:p>
        </w:tc>
        <w:tc>
          <w:tcPr>
            <w:tcW w:w="851" w:type="dxa"/>
            <w:vMerge w:val="continue"/>
            <w:vAlign w:val="center"/>
          </w:tcPr>
          <w:p w14:paraId="3AC2F150">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c>
          <w:tcPr>
            <w:tcW w:w="2318" w:type="dxa"/>
            <w:vMerge w:val="continue"/>
            <w:vAlign w:val="center"/>
          </w:tcPr>
          <w:p w14:paraId="406F226D">
            <w:pPr>
              <w:spacing w:line="240" w:lineRule="auto"/>
              <w:ind w:left="-120" w:leftChars="-50" w:right="-120" w:rightChars="-50" w:firstLine="0" w:firstLineChars="0"/>
              <w:jc w:val="center"/>
              <w:rPr>
                <w:rFonts w:ascii="Times New Roman" w:hAnsi="Times New Roman" w:eastAsia="宋体"/>
                <w:strike w:val="0"/>
                <w:dstrike w:val="0"/>
                <w:color w:val="auto"/>
                <w:sz w:val="21"/>
                <w:szCs w:val="21"/>
                <w:highlight w:val="none"/>
              </w:rPr>
            </w:pPr>
          </w:p>
        </w:tc>
      </w:tr>
    </w:tbl>
    <w:p w14:paraId="4BBC204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）地下水执行《地下水质量标准》（GB/T14848-2017）中的Ⅲ类标准，标准值见表2.5-</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eastAsia="zh-CN"/>
        </w:rPr>
        <w:t>。</w:t>
      </w:r>
    </w:p>
    <w:p w14:paraId="1EA75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表2.5-3地下水质量指标及标准限值</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473"/>
        <w:gridCol w:w="2474"/>
        <w:gridCol w:w="2474"/>
      </w:tblGrid>
      <w:tr w14:paraId="3AC0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Align w:val="center"/>
          </w:tcPr>
          <w:p w14:paraId="74C5332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序号</w:t>
            </w:r>
          </w:p>
        </w:tc>
        <w:tc>
          <w:tcPr>
            <w:tcW w:w="2473" w:type="dxa"/>
            <w:vAlign w:val="center"/>
          </w:tcPr>
          <w:p w14:paraId="46B360C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w:t>
            </w:r>
          </w:p>
        </w:tc>
        <w:tc>
          <w:tcPr>
            <w:tcW w:w="2474" w:type="dxa"/>
            <w:vAlign w:val="center"/>
          </w:tcPr>
          <w:p w14:paraId="7F3A671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单位</w:t>
            </w:r>
          </w:p>
        </w:tc>
        <w:tc>
          <w:tcPr>
            <w:tcW w:w="2474" w:type="dxa"/>
            <w:vAlign w:val="center"/>
          </w:tcPr>
          <w:p w14:paraId="57A33AE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标准限值</w:t>
            </w:r>
          </w:p>
        </w:tc>
      </w:tr>
      <w:tr w14:paraId="1A49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65A37BA">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1</w:t>
            </w:r>
          </w:p>
        </w:tc>
        <w:tc>
          <w:tcPr>
            <w:tcW w:w="2473" w:type="dxa"/>
          </w:tcPr>
          <w:p w14:paraId="5FEA47CA">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pH</w:t>
            </w:r>
          </w:p>
        </w:tc>
        <w:tc>
          <w:tcPr>
            <w:tcW w:w="2474" w:type="dxa"/>
          </w:tcPr>
          <w:p w14:paraId="5C9733FF">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w:t>
            </w:r>
          </w:p>
        </w:tc>
        <w:tc>
          <w:tcPr>
            <w:tcW w:w="2474" w:type="dxa"/>
          </w:tcPr>
          <w:p w14:paraId="3CA14CAE">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6.5</w:t>
            </w:r>
            <w:r>
              <w:rPr>
                <w:rFonts w:hint="eastAsia" w:ascii="Times New Roman" w:hAnsi="Times New Roman" w:eastAsia="宋体"/>
                <w:strike w:val="0"/>
                <w:dstrike w:val="0"/>
                <w:color w:val="auto"/>
                <w:sz w:val="21"/>
                <w:szCs w:val="21"/>
                <w:highlight w:val="none"/>
              </w:rPr>
              <w:t>~</w:t>
            </w:r>
            <w:r>
              <w:rPr>
                <w:rFonts w:ascii="Times New Roman" w:hAnsi="Times New Roman" w:eastAsia="宋体"/>
                <w:strike w:val="0"/>
                <w:dstrike w:val="0"/>
                <w:color w:val="auto"/>
                <w:sz w:val="21"/>
                <w:szCs w:val="21"/>
                <w:highlight w:val="none"/>
              </w:rPr>
              <w:t>8.5</w:t>
            </w:r>
          </w:p>
        </w:tc>
      </w:tr>
      <w:tr w14:paraId="5B1E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6C8BBE16">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2</w:t>
            </w:r>
          </w:p>
        </w:tc>
        <w:tc>
          <w:tcPr>
            <w:tcW w:w="2473" w:type="dxa"/>
          </w:tcPr>
          <w:p w14:paraId="69AEFE3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阴离子表面活性剂</w:t>
            </w:r>
          </w:p>
        </w:tc>
        <w:tc>
          <w:tcPr>
            <w:tcW w:w="2474" w:type="dxa"/>
          </w:tcPr>
          <w:p w14:paraId="5A3668C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tcPr>
          <w:p w14:paraId="65354AD4">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lang w:eastAsia="zh-CN"/>
              </w:rPr>
            </w:pPr>
            <w:r>
              <w:rPr>
                <w:rFonts w:hint="eastAsia" w:ascii="Times New Roman" w:hAnsi="Times New Roman" w:eastAsia="宋体" w:cs="Times New Roman"/>
                <w:strike w:val="0"/>
                <w:dstrike w:val="0"/>
                <w:color w:val="auto"/>
                <w:sz w:val="21"/>
                <w:szCs w:val="21"/>
                <w:highlight w:val="none"/>
              </w:rPr>
              <w:t>≤0.</w:t>
            </w:r>
            <w:r>
              <w:rPr>
                <w:rFonts w:hint="eastAsia" w:ascii="Times New Roman" w:hAnsi="Times New Roman" w:eastAsia="宋体" w:cs="Times New Roman"/>
                <w:strike w:val="0"/>
                <w:dstrike w:val="0"/>
                <w:color w:val="auto"/>
                <w:sz w:val="21"/>
                <w:szCs w:val="21"/>
                <w:highlight w:val="none"/>
                <w:lang w:val="en-US" w:eastAsia="zh-CN"/>
              </w:rPr>
              <w:t>3</w:t>
            </w:r>
          </w:p>
        </w:tc>
      </w:tr>
      <w:tr w14:paraId="5B14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7E1E636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3</w:t>
            </w:r>
          </w:p>
        </w:tc>
        <w:tc>
          <w:tcPr>
            <w:tcW w:w="2473" w:type="dxa"/>
          </w:tcPr>
          <w:p w14:paraId="5B793FD4">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挥发酚</w:t>
            </w:r>
          </w:p>
        </w:tc>
        <w:tc>
          <w:tcPr>
            <w:tcW w:w="2474" w:type="dxa"/>
          </w:tcPr>
          <w:p w14:paraId="3ADE9A0F">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tcPr>
          <w:p w14:paraId="355ED90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≤0.002</w:t>
            </w:r>
          </w:p>
        </w:tc>
      </w:tr>
      <w:tr w14:paraId="06AC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50C2661C">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4</w:t>
            </w:r>
          </w:p>
        </w:tc>
        <w:tc>
          <w:tcPr>
            <w:tcW w:w="2473" w:type="dxa"/>
          </w:tcPr>
          <w:p w14:paraId="72575D1B">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六价铬</w:t>
            </w:r>
          </w:p>
        </w:tc>
        <w:tc>
          <w:tcPr>
            <w:tcW w:w="2474" w:type="dxa"/>
          </w:tcPr>
          <w:p w14:paraId="3B02917E">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个/L</w:t>
            </w:r>
          </w:p>
        </w:tc>
        <w:tc>
          <w:tcPr>
            <w:tcW w:w="2474" w:type="dxa"/>
          </w:tcPr>
          <w:p w14:paraId="6315195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≤0.05</w:t>
            </w:r>
          </w:p>
        </w:tc>
      </w:tr>
      <w:tr w14:paraId="290C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783E648E">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5</w:t>
            </w:r>
          </w:p>
        </w:tc>
        <w:tc>
          <w:tcPr>
            <w:tcW w:w="2473" w:type="dxa"/>
          </w:tcPr>
          <w:p w14:paraId="742DCC4C">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lang w:eastAsia="zh-CN"/>
              </w:rPr>
            </w:pPr>
            <w:r>
              <w:rPr>
                <w:rFonts w:hint="eastAsia" w:ascii="Times New Roman" w:hAnsi="Times New Roman" w:eastAsia="宋体" w:cs="Times New Roman"/>
                <w:strike w:val="0"/>
                <w:dstrike w:val="0"/>
                <w:color w:val="auto"/>
                <w:sz w:val="21"/>
                <w:szCs w:val="21"/>
                <w:highlight w:val="none"/>
                <w:lang w:val="en-US" w:eastAsia="zh-CN"/>
              </w:rPr>
              <w:t>硫化物</w:t>
            </w:r>
          </w:p>
        </w:tc>
        <w:tc>
          <w:tcPr>
            <w:tcW w:w="2474" w:type="dxa"/>
          </w:tcPr>
          <w:p w14:paraId="04DF822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tcPr>
          <w:p w14:paraId="06F0BEA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≤0.02</w:t>
            </w:r>
          </w:p>
        </w:tc>
      </w:tr>
      <w:tr w14:paraId="56915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1144EC4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6</w:t>
            </w:r>
          </w:p>
        </w:tc>
        <w:tc>
          <w:tcPr>
            <w:tcW w:w="2473" w:type="dxa"/>
          </w:tcPr>
          <w:p w14:paraId="27772799">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菌落总数</w:t>
            </w:r>
          </w:p>
        </w:tc>
        <w:tc>
          <w:tcPr>
            <w:tcW w:w="2474" w:type="dxa"/>
          </w:tcPr>
          <w:p w14:paraId="2A98E705">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CFU/mL</w:t>
            </w:r>
          </w:p>
        </w:tc>
        <w:tc>
          <w:tcPr>
            <w:tcW w:w="2474" w:type="dxa"/>
          </w:tcPr>
          <w:p w14:paraId="534225F4">
            <w:pPr>
              <w:spacing w:line="240" w:lineRule="auto"/>
              <w:ind w:firstLine="0" w:firstLineChars="0"/>
              <w:jc w:val="center"/>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rPr>
              <w:t>≤</w:t>
            </w:r>
            <w:r>
              <w:rPr>
                <w:rFonts w:hint="eastAsia" w:ascii="Times New Roman" w:hAnsi="Times New Roman" w:eastAsia="宋体" w:cs="Times New Roman"/>
                <w:strike w:val="0"/>
                <w:dstrike w:val="0"/>
                <w:color w:val="auto"/>
                <w:sz w:val="21"/>
                <w:szCs w:val="21"/>
                <w:highlight w:val="none"/>
                <w:lang w:val="en-US" w:eastAsia="zh-CN"/>
              </w:rPr>
              <w:t>100</w:t>
            </w:r>
          </w:p>
        </w:tc>
      </w:tr>
      <w:tr w14:paraId="297D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7D2DC497">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7</w:t>
            </w:r>
          </w:p>
        </w:tc>
        <w:tc>
          <w:tcPr>
            <w:tcW w:w="2473" w:type="dxa"/>
            <w:vAlign w:val="top"/>
          </w:tcPr>
          <w:p w14:paraId="55052A5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溶解性总固体</w:t>
            </w:r>
          </w:p>
        </w:tc>
        <w:tc>
          <w:tcPr>
            <w:tcW w:w="2474" w:type="dxa"/>
            <w:vAlign w:val="top"/>
          </w:tcPr>
          <w:p w14:paraId="6D68F48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4B6AAC8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≤1000</w:t>
            </w:r>
          </w:p>
        </w:tc>
      </w:tr>
      <w:tr w14:paraId="2383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53CD566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8</w:t>
            </w:r>
          </w:p>
        </w:tc>
        <w:tc>
          <w:tcPr>
            <w:tcW w:w="2473" w:type="dxa"/>
            <w:vAlign w:val="top"/>
          </w:tcPr>
          <w:p w14:paraId="54747BF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氯化物</w:t>
            </w:r>
          </w:p>
        </w:tc>
        <w:tc>
          <w:tcPr>
            <w:tcW w:w="2474" w:type="dxa"/>
            <w:vAlign w:val="top"/>
          </w:tcPr>
          <w:p w14:paraId="6865E43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5304CF5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≤250</w:t>
            </w:r>
          </w:p>
        </w:tc>
      </w:tr>
      <w:tr w14:paraId="3606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55D82885">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9</w:t>
            </w:r>
          </w:p>
        </w:tc>
        <w:tc>
          <w:tcPr>
            <w:tcW w:w="2473" w:type="dxa"/>
            <w:vAlign w:val="top"/>
          </w:tcPr>
          <w:p w14:paraId="0EBC8D4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砷</w:t>
            </w:r>
          </w:p>
        </w:tc>
        <w:tc>
          <w:tcPr>
            <w:tcW w:w="2474" w:type="dxa"/>
            <w:vAlign w:val="top"/>
          </w:tcPr>
          <w:p w14:paraId="6A7B3D69">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480BB932">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≤0.01</w:t>
            </w:r>
          </w:p>
        </w:tc>
      </w:tr>
      <w:tr w14:paraId="3AF2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D9E76CC">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10</w:t>
            </w:r>
          </w:p>
        </w:tc>
        <w:tc>
          <w:tcPr>
            <w:tcW w:w="2473" w:type="dxa"/>
            <w:vAlign w:val="top"/>
          </w:tcPr>
          <w:p w14:paraId="08FC7C9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汞</w:t>
            </w:r>
          </w:p>
        </w:tc>
        <w:tc>
          <w:tcPr>
            <w:tcW w:w="2474" w:type="dxa"/>
            <w:vAlign w:val="top"/>
          </w:tcPr>
          <w:p w14:paraId="3AA4BB7A">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4946CE9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≤0.001</w:t>
            </w:r>
          </w:p>
        </w:tc>
      </w:tr>
      <w:tr w14:paraId="1CE0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1A671DB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11</w:t>
            </w:r>
          </w:p>
        </w:tc>
        <w:tc>
          <w:tcPr>
            <w:tcW w:w="2473" w:type="dxa"/>
            <w:vAlign w:val="top"/>
          </w:tcPr>
          <w:p w14:paraId="0FE32CF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铅</w:t>
            </w:r>
          </w:p>
        </w:tc>
        <w:tc>
          <w:tcPr>
            <w:tcW w:w="2474" w:type="dxa"/>
            <w:vAlign w:val="top"/>
          </w:tcPr>
          <w:p w14:paraId="3D2EE6A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327E24E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≤0.01</w:t>
            </w:r>
          </w:p>
        </w:tc>
      </w:tr>
      <w:tr w14:paraId="6576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C51FB16">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12</w:t>
            </w:r>
          </w:p>
        </w:tc>
        <w:tc>
          <w:tcPr>
            <w:tcW w:w="2473" w:type="dxa"/>
            <w:vAlign w:val="top"/>
          </w:tcPr>
          <w:p w14:paraId="43629B89">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镉</w:t>
            </w:r>
          </w:p>
        </w:tc>
        <w:tc>
          <w:tcPr>
            <w:tcW w:w="2474" w:type="dxa"/>
            <w:vAlign w:val="top"/>
          </w:tcPr>
          <w:p w14:paraId="71192E9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0D846B56">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≤0.005</w:t>
            </w:r>
          </w:p>
        </w:tc>
      </w:tr>
      <w:tr w14:paraId="52BB3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408387F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13</w:t>
            </w:r>
          </w:p>
        </w:tc>
        <w:tc>
          <w:tcPr>
            <w:tcW w:w="2473" w:type="dxa"/>
            <w:vAlign w:val="top"/>
          </w:tcPr>
          <w:p w14:paraId="71C64E20">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耗氧量</w:t>
            </w:r>
          </w:p>
        </w:tc>
        <w:tc>
          <w:tcPr>
            <w:tcW w:w="2474" w:type="dxa"/>
            <w:vAlign w:val="top"/>
          </w:tcPr>
          <w:p w14:paraId="4353E421">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mg/L</w:t>
            </w:r>
          </w:p>
        </w:tc>
        <w:tc>
          <w:tcPr>
            <w:tcW w:w="2474" w:type="dxa"/>
            <w:vAlign w:val="top"/>
          </w:tcPr>
          <w:p w14:paraId="16ECD023">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≤3.0</w:t>
            </w:r>
          </w:p>
        </w:tc>
      </w:tr>
      <w:tr w14:paraId="26ED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tcPr>
          <w:p w14:paraId="292BE6C8">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14</w:t>
            </w:r>
          </w:p>
        </w:tc>
        <w:tc>
          <w:tcPr>
            <w:tcW w:w="2473" w:type="dxa"/>
            <w:vAlign w:val="top"/>
          </w:tcPr>
          <w:p w14:paraId="6857C34D">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总大肠菌群</w:t>
            </w:r>
          </w:p>
        </w:tc>
        <w:tc>
          <w:tcPr>
            <w:tcW w:w="2474" w:type="dxa"/>
            <w:vAlign w:val="top"/>
          </w:tcPr>
          <w:p w14:paraId="61F344FA">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MPN/100ml</w:t>
            </w:r>
          </w:p>
        </w:tc>
        <w:tc>
          <w:tcPr>
            <w:tcW w:w="2474" w:type="dxa"/>
            <w:vAlign w:val="top"/>
          </w:tcPr>
          <w:p w14:paraId="0AC1CC24">
            <w:pPr>
              <w:spacing w:line="240" w:lineRule="auto"/>
              <w:ind w:firstLine="0" w:firstLineChars="0"/>
              <w:jc w:val="center"/>
              <w:rPr>
                <w:rFonts w:hint="eastAsia" w:ascii="Times New Roman" w:hAnsi="Times New Roman" w:eastAsia="宋体" w:cs="Times New Roman"/>
                <w:strike w:val="0"/>
                <w:dstrike w:val="0"/>
                <w:color w:val="auto"/>
                <w:sz w:val="21"/>
                <w:szCs w:val="21"/>
                <w:highlight w:val="none"/>
              </w:rPr>
            </w:pPr>
            <w:r>
              <w:rPr>
                <w:rFonts w:hint="eastAsia" w:ascii="Times New Roman" w:hAnsi="Times New Roman" w:eastAsia="宋体" w:cs="Times New Roman"/>
                <w:strike w:val="0"/>
                <w:dstrike w:val="0"/>
                <w:color w:val="auto"/>
                <w:sz w:val="21"/>
                <w:szCs w:val="21"/>
                <w:highlight w:val="none"/>
              </w:rPr>
              <w:t>≤3.0</w:t>
            </w:r>
          </w:p>
        </w:tc>
      </w:tr>
    </w:tbl>
    <w:p w14:paraId="18928EB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）声环境质量标准</w:t>
      </w:r>
    </w:p>
    <w:p w14:paraId="399EC4E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根据声环境功能区划分，项目所在地为2类声环境功能区，执行《声环境质量标准》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GB3096-2008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的2类标准标准限值见表2.5-</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p>
    <w:p w14:paraId="105E3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表2.5-4声环境质量标准限值</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313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restart"/>
            <w:vAlign w:val="center"/>
          </w:tcPr>
          <w:p w14:paraId="540F57A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声环境功能区类别</w:t>
            </w:r>
          </w:p>
        </w:tc>
        <w:tc>
          <w:tcPr>
            <w:tcW w:w="5682" w:type="dxa"/>
            <w:gridSpan w:val="2"/>
            <w:vAlign w:val="center"/>
          </w:tcPr>
          <w:p w14:paraId="25F1852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时段</w:t>
            </w:r>
          </w:p>
        </w:tc>
      </w:tr>
      <w:tr w14:paraId="433C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Merge w:val="continue"/>
            <w:vAlign w:val="center"/>
          </w:tcPr>
          <w:p w14:paraId="11C798BB">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841" w:type="dxa"/>
            <w:vAlign w:val="center"/>
          </w:tcPr>
          <w:p w14:paraId="6258AE7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昼间、dB（A）</w:t>
            </w:r>
          </w:p>
        </w:tc>
        <w:tc>
          <w:tcPr>
            <w:tcW w:w="2841" w:type="dxa"/>
            <w:vAlign w:val="center"/>
          </w:tcPr>
          <w:p w14:paraId="76EC980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夜间、dB（A）</w:t>
            </w:r>
          </w:p>
        </w:tc>
      </w:tr>
      <w:tr w14:paraId="5A7F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40" w:type="dxa"/>
            <w:vAlign w:val="center"/>
          </w:tcPr>
          <w:p w14:paraId="03BD67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2</w:t>
            </w:r>
            <w:r>
              <w:rPr>
                <w:rFonts w:hint="eastAsia" w:ascii="Times New Roman" w:hAnsi="Times New Roman" w:eastAsia="宋体"/>
                <w:strike w:val="0"/>
                <w:dstrike w:val="0"/>
                <w:color w:val="auto"/>
                <w:sz w:val="21"/>
                <w:szCs w:val="21"/>
                <w:highlight w:val="none"/>
              </w:rPr>
              <w:t>类</w:t>
            </w:r>
          </w:p>
        </w:tc>
        <w:tc>
          <w:tcPr>
            <w:tcW w:w="2841" w:type="dxa"/>
            <w:vAlign w:val="center"/>
          </w:tcPr>
          <w:p w14:paraId="22BF6782">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60</w:t>
            </w:r>
          </w:p>
        </w:tc>
        <w:tc>
          <w:tcPr>
            <w:tcW w:w="2841" w:type="dxa"/>
            <w:vAlign w:val="center"/>
          </w:tcPr>
          <w:p w14:paraId="35D95DE7">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50</w:t>
            </w:r>
          </w:p>
        </w:tc>
      </w:tr>
    </w:tbl>
    <w:p w14:paraId="6CFA71D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）土壤环境质量标准</w:t>
      </w:r>
    </w:p>
    <w:p w14:paraId="2CB929D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本项目土壤环境执行</w:t>
      </w:r>
      <w:r>
        <w:rPr>
          <w:rFonts w:ascii="Times New Roman" w:hAnsi="Times New Roman" w:eastAsia="宋体" w:cs="宋体"/>
          <w:strike w:val="0"/>
          <w:dstrike w:val="0"/>
          <w:color w:val="auto"/>
          <w:spacing w:val="0"/>
          <w:sz w:val="24"/>
          <w:szCs w:val="24"/>
          <w:highlight w:val="none"/>
        </w:rPr>
        <w:t>《土壤环境质量农用地土壤污染风险管控标准</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试行</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GB15618-2018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中其他</w:t>
      </w:r>
      <w:r>
        <w:rPr>
          <w:rFonts w:hint="eastAsia" w:ascii="Times New Roman" w:hAnsi="Times New Roman" w:eastAsia="宋体" w:cs="宋体"/>
          <w:strike w:val="0"/>
          <w:dstrike w:val="0"/>
          <w:color w:val="auto"/>
          <w:spacing w:val="0"/>
          <w:sz w:val="24"/>
          <w:szCs w:val="24"/>
          <w:highlight w:val="none"/>
          <w:lang w:val="en-US" w:eastAsia="zh-CN"/>
        </w:rPr>
        <w:t>农</w:t>
      </w:r>
      <w:r>
        <w:rPr>
          <w:rFonts w:ascii="Times New Roman" w:hAnsi="Times New Roman" w:eastAsia="宋体" w:cs="宋体"/>
          <w:strike w:val="0"/>
          <w:dstrike w:val="0"/>
          <w:color w:val="auto"/>
          <w:spacing w:val="0"/>
          <w:sz w:val="24"/>
          <w:szCs w:val="24"/>
          <w:highlight w:val="none"/>
        </w:rPr>
        <w:t>用地风险筛选值</w:t>
      </w:r>
      <w:r>
        <w:rPr>
          <w:rFonts w:hint="eastAsia" w:ascii="Times New Roman" w:hAnsi="Times New Roman" w:eastAsia="宋体"/>
          <w:strike w:val="0"/>
          <w:dstrike w:val="0"/>
          <w:color w:val="auto"/>
          <w:highlight w:val="none"/>
        </w:rPr>
        <w:t>，其标准值见表2.5-</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w:t>
      </w:r>
    </w:p>
    <w:p w14:paraId="57B509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表2.5-5</w:t>
      </w:r>
      <w:r>
        <w:rPr>
          <w:rFonts w:hint="eastAsia" w:ascii="Times New Roman" w:hAnsi="Times New Roman" w:eastAsia="宋体"/>
          <w:b/>
          <w:bCs/>
          <w:strike w:val="0"/>
          <w:dstrike w:val="0"/>
          <w:color w:val="auto"/>
          <w:highlight w:val="none"/>
          <w:lang w:val="en-US" w:eastAsia="zh-CN"/>
        </w:rPr>
        <w:t xml:space="preserve"> </w:t>
      </w:r>
      <w:r>
        <w:rPr>
          <w:rFonts w:hint="eastAsia" w:ascii="Times New Roman" w:hAnsi="Times New Roman" w:eastAsia="宋体"/>
          <w:b/>
          <w:bCs/>
          <w:strike w:val="0"/>
          <w:dstrike w:val="0"/>
          <w:color w:val="auto"/>
          <w:highlight w:val="none"/>
          <w:lang w:val="en-US" w:eastAsia="zh-CN"/>
        </w:rPr>
        <w:t>GB15618-2018农用地土壤污染风险筛选值</w:t>
      </w:r>
    </w:p>
    <w:tbl>
      <w:tblPr>
        <w:tblStyle w:val="183"/>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95"/>
        <w:gridCol w:w="1726"/>
        <w:gridCol w:w="1048"/>
        <w:gridCol w:w="1818"/>
        <w:gridCol w:w="1818"/>
        <w:gridCol w:w="1209"/>
      </w:tblGrid>
      <w:tr w14:paraId="757D1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49" w:hRule="atLeast"/>
          <w:jc w:val="center"/>
        </w:trPr>
        <w:tc>
          <w:tcPr>
            <w:tcW w:w="418" w:type="pct"/>
            <w:vMerge w:val="restart"/>
            <w:vAlign w:val="center"/>
          </w:tcPr>
          <w:p w14:paraId="03F5A67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1038" w:type="pct"/>
            <w:vMerge w:val="restart"/>
            <w:vAlign w:val="center"/>
          </w:tcPr>
          <w:p w14:paraId="59A6AE6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污染物项目</w:t>
            </w:r>
          </w:p>
        </w:tc>
        <w:tc>
          <w:tcPr>
            <w:tcW w:w="3543" w:type="pct"/>
            <w:gridSpan w:val="4"/>
            <w:vAlign w:val="center"/>
          </w:tcPr>
          <w:p w14:paraId="2EEFB82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筛选值</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mg/kg</w:t>
            </w:r>
            <w:r>
              <w:rPr>
                <w:rFonts w:hint="eastAsia" w:ascii="Times New Roman" w:hAnsi="Times New Roman" w:eastAsia="宋体" w:cs="宋体"/>
                <w:strike w:val="0"/>
                <w:dstrike w:val="0"/>
                <w:color w:val="auto"/>
                <w:spacing w:val="0"/>
                <w:sz w:val="21"/>
                <w:szCs w:val="21"/>
                <w:highlight w:val="none"/>
                <w:lang w:eastAsia="zh-CN"/>
              </w:rPr>
              <w:t>）</w:t>
            </w:r>
          </w:p>
        </w:tc>
      </w:tr>
      <w:tr w14:paraId="54A16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418" w:type="pct"/>
            <w:vMerge w:val="continue"/>
            <w:vAlign w:val="center"/>
          </w:tcPr>
          <w:p w14:paraId="76ED6EB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038" w:type="pct"/>
            <w:vMerge w:val="continue"/>
            <w:vAlign w:val="center"/>
          </w:tcPr>
          <w:p w14:paraId="48FB64C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30" w:type="pct"/>
            <w:vAlign w:val="center"/>
          </w:tcPr>
          <w:p w14:paraId="607C033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5.5</w:t>
            </w:r>
          </w:p>
        </w:tc>
        <w:tc>
          <w:tcPr>
            <w:tcW w:w="1093" w:type="pct"/>
            <w:vAlign w:val="center"/>
          </w:tcPr>
          <w:p w14:paraId="74E8F32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5.5</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6.5</w:t>
            </w:r>
          </w:p>
        </w:tc>
        <w:tc>
          <w:tcPr>
            <w:tcW w:w="1093" w:type="pct"/>
            <w:vAlign w:val="center"/>
          </w:tcPr>
          <w:p w14:paraId="36C439C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6.5</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7.5</w:t>
            </w:r>
          </w:p>
        </w:tc>
        <w:tc>
          <w:tcPr>
            <w:tcW w:w="725" w:type="pct"/>
            <w:vAlign w:val="center"/>
          </w:tcPr>
          <w:p w14:paraId="5B15AC1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pH</w:t>
            </w:r>
            <w:r>
              <w:rPr>
                <w:rFonts w:ascii="Times New Roman" w:hAnsi="Times New Roman" w:eastAsia="宋体" w:cs="宋体"/>
                <w:strike w:val="0"/>
                <w:dstrike w:val="0"/>
                <w:color w:val="auto"/>
                <w:spacing w:val="0"/>
                <w:sz w:val="21"/>
                <w:szCs w:val="21"/>
                <w:highlight w:val="none"/>
              </w:rPr>
              <w:t>＞</w:t>
            </w:r>
            <w:r>
              <w:rPr>
                <w:rFonts w:ascii="Times New Roman" w:hAnsi="Times New Roman" w:eastAsia="宋体" w:cs="Times New Roman"/>
                <w:strike w:val="0"/>
                <w:dstrike w:val="0"/>
                <w:color w:val="auto"/>
                <w:spacing w:val="0"/>
                <w:sz w:val="21"/>
                <w:szCs w:val="21"/>
                <w:highlight w:val="none"/>
              </w:rPr>
              <w:t>7.5</w:t>
            </w:r>
          </w:p>
        </w:tc>
      </w:tr>
      <w:tr w14:paraId="49E333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418" w:type="pct"/>
            <w:vAlign w:val="center"/>
          </w:tcPr>
          <w:p w14:paraId="2C7D037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1038" w:type="pct"/>
            <w:vAlign w:val="center"/>
          </w:tcPr>
          <w:p w14:paraId="4CD4183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镉</w:t>
            </w:r>
          </w:p>
        </w:tc>
        <w:tc>
          <w:tcPr>
            <w:tcW w:w="630" w:type="pct"/>
            <w:vAlign w:val="center"/>
          </w:tcPr>
          <w:p w14:paraId="73058D2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0.3</w:t>
            </w:r>
          </w:p>
        </w:tc>
        <w:tc>
          <w:tcPr>
            <w:tcW w:w="1093" w:type="pct"/>
            <w:vAlign w:val="center"/>
          </w:tcPr>
          <w:p w14:paraId="01A779A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0.3</w:t>
            </w:r>
          </w:p>
        </w:tc>
        <w:tc>
          <w:tcPr>
            <w:tcW w:w="1093" w:type="pct"/>
            <w:vAlign w:val="center"/>
          </w:tcPr>
          <w:p w14:paraId="54A1172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0.3</w:t>
            </w:r>
          </w:p>
        </w:tc>
        <w:tc>
          <w:tcPr>
            <w:tcW w:w="725" w:type="pct"/>
            <w:vAlign w:val="center"/>
          </w:tcPr>
          <w:p w14:paraId="293AD6F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0.6</w:t>
            </w:r>
          </w:p>
        </w:tc>
      </w:tr>
      <w:tr w14:paraId="7FC7E7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71053C2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w:t>
            </w:r>
          </w:p>
        </w:tc>
        <w:tc>
          <w:tcPr>
            <w:tcW w:w="1038" w:type="pct"/>
            <w:vAlign w:val="center"/>
          </w:tcPr>
          <w:p w14:paraId="1B401B9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汞</w:t>
            </w:r>
          </w:p>
        </w:tc>
        <w:tc>
          <w:tcPr>
            <w:tcW w:w="630" w:type="pct"/>
            <w:vAlign w:val="center"/>
          </w:tcPr>
          <w:p w14:paraId="124DB1F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1.3</w:t>
            </w:r>
          </w:p>
        </w:tc>
        <w:tc>
          <w:tcPr>
            <w:tcW w:w="1093" w:type="pct"/>
            <w:vAlign w:val="center"/>
          </w:tcPr>
          <w:p w14:paraId="7E1735D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1.8</w:t>
            </w:r>
          </w:p>
        </w:tc>
        <w:tc>
          <w:tcPr>
            <w:tcW w:w="1093" w:type="pct"/>
            <w:vAlign w:val="center"/>
          </w:tcPr>
          <w:p w14:paraId="2AA2E18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2.4</w:t>
            </w:r>
          </w:p>
        </w:tc>
        <w:tc>
          <w:tcPr>
            <w:tcW w:w="725" w:type="pct"/>
            <w:vAlign w:val="center"/>
          </w:tcPr>
          <w:p w14:paraId="11BB8C0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3.4</w:t>
            </w:r>
          </w:p>
        </w:tc>
      </w:tr>
      <w:tr w14:paraId="56A11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7E8F6B4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w:t>
            </w:r>
          </w:p>
        </w:tc>
        <w:tc>
          <w:tcPr>
            <w:tcW w:w="1038" w:type="pct"/>
            <w:vAlign w:val="center"/>
          </w:tcPr>
          <w:p w14:paraId="2A726F5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砷</w:t>
            </w:r>
          </w:p>
        </w:tc>
        <w:tc>
          <w:tcPr>
            <w:tcW w:w="630" w:type="pct"/>
            <w:vAlign w:val="center"/>
          </w:tcPr>
          <w:p w14:paraId="7D0BD16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40</w:t>
            </w:r>
          </w:p>
        </w:tc>
        <w:tc>
          <w:tcPr>
            <w:tcW w:w="1093" w:type="pct"/>
            <w:vAlign w:val="center"/>
          </w:tcPr>
          <w:p w14:paraId="0A4CEFE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40</w:t>
            </w:r>
          </w:p>
        </w:tc>
        <w:tc>
          <w:tcPr>
            <w:tcW w:w="1093" w:type="pct"/>
            <w:vAlign w:val="center"/>
          </w:tcPr>
          <w:p w14:paraId="5E262B8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30</w:t>
            </w:r>
          </w:p>
        </w:tc>
        <w:tc>
          <w:tcPr>
            <w:tcW w:w="725" w:type="pct"/>
            <w:vAlign w:val="center"/>
          </w:tcPr>
          <w:p w14:paraId="3FBA1A3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25</w:t>
            </w:r>
          </w:p>
        </w:tc>
      </w:tr>
      <w:tr w14:paraId="0BF9B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418" w:type="pct"/>
            <w:vAlign w:val="center"/>
          </w:tcPr>
          <w:p w14:paraId="61F7AC2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w:t>
            </w:r>
          </w:p>
        </w:tc>
        <w:tc>
          <w:tcPr>
            <w:tcW w:w="1038" w:type="pct"/>
            <w:vAlign w:val="center"/>
          </w:tcPr>
          <w:p w14:paraId="32A0AA1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铅</w:t>
            </w:r>
          </w:p>
        </w:tc>
        <w:tc>
          <w:tcPr>
            <w:tcW w:w="630" w:type="pct"/>
            <w:vAlign w:val="center"/>
          </w:tcPr>
          <w:p w14:paraId="722DDE5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70</w:t>
            </w:r>
          </w:p>
        </w:tc>
        <w:tc>
          <w:tcPr>
            <w:tcW w:w="1093" w:type="pct"/>
            <w:vAlign w:val="center"/>
          </w:tcPr>
          <w:p w14:paraId="5BFB357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90</w:t>
            </w:r>
          </w:p>
        </w:tc>
        <w:tc>
          <w:tcPr>
            <w:tcW w:w="1093" w:type="pct"/>
            <w:vAlign w:val="center"/>
          </w:tcPr>
          <w:p w14:paraId="4252D21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120</w:t>
            </w:r>
          </w:p>
        </w:tc>
        <w:tc>
          <w:tcPr>
            <w:tcW w:w="725" w:type="pct"/>
            <w:vAlign w:val="center"/>
          </w:tcPr>
          <w:p w14:paraId="6038390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170</w:t>
            </w:r>
          </w:p>
        </w:tc>
      </w:tr>
      <w:tr w14:paraId="40E95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6E75D4F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w:t>
            </w:r>
          </w:p>
        </w:tc>
        <w:tc>
          <w:tcPr>
            <w:tcW w:w="1038" w:type="pct"/>
            <w:vAlign w:val="center"/>
          </w:tcPr>
          <w:p w14:paraId="0E77104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铬</w:t>
            </w:r>
          </w:p>
        </w:tc>
        <w:tc>
          <w:tcPr>
            <w:tcW w:w="630" w:type="pct"/>
            <w:vAlign w:val="center"/>
          </w:tcPr>
          <w:p w14:paraId="3890611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150</w:t>
            </w:r>
          </w:p>
        </w:tc>
        <w:tc>
          <w:tcPr>
            <w:tcW w:w="1093" w:type="pct"/>
            <w:vAlign w:val="center"/>
          </w:tcPr>
          <w:p w14:paraId="6AE4F00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150</w:t>
            </w:r>
          </w:p>
        </w:tc>
        <w:tc>
          <w:tcPr>
            <w:tcW w:w="1093" w:type="pct"/>
            <w:vAlign w:val="center"/>
          </w:tcPr>
          <w:p w14:paraId="33FCDC5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200</w:t>
            </w:r>
          </w:p>
        </w:tc>
        <w:tc>
          <w:tcPr>
            <w:tcW w:w="725" w:type="pct"/>
            <w:vAlign w:val="center"/>
          </w:tcPr>
          <w:p w14:paraId="2212340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250</w:t>
            </w:r>
          </w:p>
        </w:tc>
      </w:tr>
      <w:tr w14:paraId="72D0E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43E2CE5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6</w:t>
            </w:r>
          </w:p>
        </w:tc>
        <w:tc>
          <w:tcPr>
            <w:tcW w:w="1038" w:type="pct"/>
            <w:vAlign w:val="center"/>
          </w:tcPr>
          <w:p w14:paraId="42CA703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铜</w:t>
            </w:r>
          </w:p>
        </w:tc>
        <w:tc>
          <w:tcPr>
            <w:tcW w:w="630" w:type="pct"/>
            <w:vAlign w:val="center"/>
          </w:tcPr>
          <w:p w14:paraId="2AE5A89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50</w:t>
            </w:r>
          </w:p>
        </w:tc>
        <w:tc>
          <w:tcPr>
            <w:tcW w:w="1093" w:type="pct"/>
            <w:vAlign w:val="center"/>
          </w:tcPr>
          <w:p w14:paraId="05BAC91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50</w:t>
            </w:r>
          </w:p>
        </w:tc>
        <w:tc>
          <w:tcPr>
            <w:tcW w:w="1093" w:type="pct"/>
            <w:vAlign w:val="center"/>
          </w:tcPr>
          <w:p w14:paraId="392A936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100</w:t>
            </w:r>
          </w:p>
        </w:tc>
        <w:tc>
          <w:tcPr>
            <w:tcW w:w="725" w:type="pct"/>
            <w:vAlign w:val="center"/>
          </w:tcPr>
          <w:p w14:paraId="6044C74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100</w:t>
            </w:r>
          </w:p>
        </w:tc>
      </w:tr>
      <w:tr w14:paraId="1C2FF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418" w:type="pct"/>
            <w:vAlign w:val="center"/>
          </w:tcPr>
          <w:p w14:paraId="7827F8E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7</w:t>
            </w:r>
          </w:p>
        </w:tc>
        <w:tc>
          <w:tcPr>
            <w:tcW w:w="1038" w:type="pct"/>
            <w:vAlign w:val="center"/>
          </w:tcPr>
          <w:p w14:paraId="7C601D4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镍</w:t>
            </w:r>
          </w:p>
        </w:tc>
        <w:tc>
          <w:tcPr>
            <w:tcW w:w="630" w:type="pct"/>
            <w:vAlign w:val="center"/>
          </w:tcPr>
          <w:p w14:paraId="78D786C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60</w:t>
            </w:r>
          </w:p>
        </w:tc>
        <w:tc>
          <w:tcPr>
            <w:tcW w:w="1093" w:type="pct"/>
            <w:vAlign w:val="center"/>
          </w:tcPr>
          <w:p w14:paraId="14CF101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70</w:t>
            </w:r>
          </w:p>
        </w:tc>
        <w:tc>
          <w:tcPr>
            <w:tcW w:w="1093" w:type="pct"/>
            <w:vAlign w:val="center"/>
          </w:tcPr>
          <w:p w14:paraId="6263CCC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100</w:t>
            </w:r>
          </w:p>
        </w:tc>
        <w:tc>
          <w:tcPr>
            <w:tcW w:w="725" w:type="pct"/>
            <w:vAlign w:val="center"/>
          </w:tcPr>
          <w:p w14:paraId="3A2E819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190</w:t>
            </w:r>
          </w:p>
        </w:tc>
      </w:tr>
      <w:tr w14:paraId="3FC747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418" w:type="pct"/>
            <w:vAlign w:val="center"/>
          </w:tcPr>
          <w:p w14:paraId="10AC134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8</w:t>
            </w:r>
          </w:p>
        </w:tc>
        <w:tc>
          <w:tcPr>
            <w:tcW w:w="1038" w:type="pct"/>
            <w:vAlign w:val="center"/>
          </w:tcPr>
          <w:p w14:paraId="2E5038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锌</w:t>
            </w:r>
          </w:p>
        </w:tc>
        <w:tc>
          <w:tcPr>
            <w:tcW w:w="630" w:type="pct"/>
            <w:vAlign w:val="center"/>
          </w:tcPr>
          <w:p w14:paraId="59D1F03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200</w:t>
            </w:r>
          </w:p>
        </w:tc>
        <w:tc>
          <w:tcPr>
            <w:tcW w:w="1093" w:type="pct"/>
            <w:vAlign w:val="center"/>
          </w:tcPr>
          <w:p w14:paraId="333FBDC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200</w:t>
            </w:r>
          </w:p>
        </w:tc>
        <w:tc>
          <w:tcPr>
            <w:tcW w:w="1093" w:type="pct"/>
            <w:vAlign w:val="center"/>
          </w:tcPr>
          <w:p w14:paraId="79E41D9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250</w:t>
            </w:r>
          </w:p>
        </w:tc>
        <w:tc>
          <w:tcPr>
            <w:tcW w:w="725" w:type="pct"/>
            <w:vAlign w:val="center"/>
          </w:tcPr>
          <w:p w14:paraId="08977EA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300</w:t>
            </w:r>
          </w:p>
        </w:tc>
      </w:tr>
    </w:tbl>
    <w:p w14:paraId="21A20528">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2.5.2.2污染物排放标准</w:t>
      </w:r>
    </w:p>
    <w:p w14:paraId="35115C9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（1）废气</w:t>
      </w:r>
    </w:p>
    <w:p w14:paraId="1138F6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①</w:t>
      </w:r>
      <w:r>
        <w:rPr>
          <w:rFonts w:hint="eastAsia" w:ascii="Times New Roman" w:hAnsi="Times New Roman" w:eastAsia="宋体"/>
          <w:strike w:val="0"/>
          <w:dstrike w:val="0"/>
          <w:color w:val="auto"/>
          <w:highlight w:val="none"/>
        </w:rPr>
        <w:t>施工期</w:t>
      </w:r>
    </w:p>
    <w:p w14:paraId="4E3A62A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项目施工期施工场地扬尘排放执行《大气污染物综合排放标准》（GB16297-1996）表2中无组织排放监控浓度限值（周界外浓度最高点≤1.0mg/m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p>
    <w:p w14:paraId="18D3BE3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②</w:t>
      </w:r>
      <w:r>
        <w:rPr>
          <w:rFonts w:hint="eastAsia" w:ascii="Times New Roman" w:hAnsi="Times New Roman" w:eastAsia="宋体"/>
          <w:strike w:val="0"/>
          <w:dstrike w:val="0"/>
          <w:color w:val="auto"/>
          <w:highlight w:val="none"/>
        </w:rPr>
        <w:t>运营期</w:t>
      </w:r>
    </w:p>
    <w:p w14:paraId="317C374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养殖场</w:t>
      </w:r>
      <w:r>
        <w:rPr>
          <w:rFonts w:hint="eastAsia" w:ascii="Times New Roman" w:hAnsi="Times New Roman" w:eastAsia="宋体"/>
          <w:strike w:val="0"/>
          <w:dstrike w:val="0"/>
          <w:color w:val="auto"/>
          <w:highlight w:val="none"/>
        </w:rPr>
        <w:t>界恶臭污染物排放标准执行《恶臭污染物排放标准》（GB14554-1993）表1恶臭污染物厂界标准二级标准；臭气浓度无组织排放执行《畜禽养殖业污染物排放标准》（GB18596-2001）中集约化畜禽养殖业恶臭污染物排放标准；</w:t>
      </w:r>
    </w:p>
    <w:p w14:paraId="05D98BD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大气污染物排放限值见表2.5-</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w:t>
      </w:r>
    </w:p>
    <w:p w14:paraId="68A08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表2.5-6大气污染物排放限值</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3826"/>
        <w:gridCol w:w="2746"/>
      </w:tblGrid>
      <w:tr w14:paraId="1D80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Merge w:val="restart"/>
            <w:vAlign w:val="center"/>
          </w:tcPr>
          <w:p w14:paraId="25237BB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污染物种类</w:t>
            </w:r>
          </w:p>
        </w:tc>
        <w:tc>
          <w:tcPr>
            <w:tcW w:w="3855" w:type="pct"/>
            <w:gridSpan w:val="2"/>
            <w:vAlign w:val="center"/>
          </w:tcPr>
          <w:p w14:paraId="0CC30F0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国家或地方污染物排放标准</w:t>
            </w:r>
          </w:p>
        </w:tc>
      </w:tr>
      <w:tr w14:paraId="0C9F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4" w:type="pct"/>
            <w:vMerge w:val="continue"/>
            <w:vAlign w:val="center"/>
          </w:tcPr>
          <w:p w14:paraId="1C3F074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244" w:type="pct"/>
            <w:vAlign w:val="center"/>
          </w:tcPr>
          <w:p w14:paraId="71EC828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名称</w:t>
            </w:r>
          </w:p>
        </w:tc>
        <w:tc>
          <w:tcPr>
            <w:tcW w:w="1610" w:type="pct"/>
            <w:vAlign w:val="center"/>
          </w:tcPr>
          <w:p w14:paraId="19ACF80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浓度限值（mg/m</w:t>
            </w:r>
            <w:r>
              <w:rPr>
                <w:rFonts w:hint="eastAsia" w:ascii="Times New Roman" w:hAnsi="Times New Roman" w:eastAsia="宋体"/>
                <w:strike w:val="0"/>
                <w:dstrike w:val="0"/>
                <w:color w:val="auto"/>
                <w:sz w:val="21"/>
                <w:szCs w:val="21"/>
                <w:highlight w:val="none"/>
                <w:vertAlign w:val="superscript"/>
              </w:rPr>
              <w:t>3</w:t>
            </w:r>
            <w:r>
              <w:rPr>
                <w:rFonts w:hint="eastAsia" w:ascii="Times New Roman" w:hAnsi="Times New Roman" w:eastAsia="宋体"/>
                <w:strike w:val="0"/>
                <w:dstrike w:val="0"/>
                <w:color w:val="auto"/>
                <w:sz w:val="21"/>
                <w:szCs w:val="21"/>
                <w:highlight w:val="none"/>
              </w:rPr>
              <w:t>）</w:t>
            </w:r>
          </w:p>
        </w:tc>
      </w:tr>
      <w:tr w14:paraId="5253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Align w:val="center"/>
          </w:tcPr>
          <w:p w14:paraId="4B68484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臭气浓度</w:t>
            </w:r>
          </w:p>
        </w:tc>
        <w:tc>
          <w:tcPr>
            <w:tcW w:w="2244" w:type="pct"/>
            <w:vAlign w:val="center"/>
          </w:tcPr>
          <w:p w14:paraId="450E3F9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《畜禽养殖业污染物排放标准》（GB18596-2001）表7中的标准</w:t>
            </w:r>
          </w:p>
        </w:tc>
        <w:tc>
          <w:tcPr>
            <w:tcW w:w="1610" w:type="pct"/>
            <w:vAlign w:val="center"/>
          </w:tcPr>
          <w:p w14:paraId="4BE6D11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70（无量纲）</w:t>
            </w:r>
          </w:p>
        </w:tc>
      </w:tr>
      <w:tr w14:paraId="3C15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Align w:val="center"/>
          </w:tcPr>
          <w:p w14:paraId="79D820DE">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H</w:t>
            </w:r>
            <w:r>
              <w:rPr>
                <w:rFonts w:ascii="Times New Roman" w:hAnsi="Times New Roman" w:eastAsia="宋体"/>
                <w:strike w:val="0"/>
                <w:dstrike w:val="0"/>
                <w:color w:val="auto"/>
                <w:sz w:val="21"/>
                <w:szCs w:val="21"/>
                <w:highlight w:val="none"/>
                <w:vertAlign w:val="subscript"/>
              </w:rPr>
              <w:t>2</w:t>
            </w:r>
            <w:r>
              <w:rPr>
                <w:rFonts w:ascii="Times New Roman" w:hAnsi="Times New Roman" w:eastAsia="宋体"/>
                <w:strike w:val="0"/>
                <w:dstrike w:val="0"/>
                <w:color w:val="auto"/>
                <w:sz w:val="21"/>
                <w:szCs w:val="21"/>
                <w:highlight w:val="none"/>
              </w:rPr>
              <w:t>S</w:t>
            </w:r>
            <w:r>
              <w:rPr>
                <w:rFonts w:hint="eastAsia" w:ascii="Times New Roman" w:hAnsi="Times New Roman" w:eastAsia="宋体"/>
                <w:strike w:val="0"/>
                <w:dstrike w:val="0"/>
                <w:color w:val="auto"/>
                <w:sz w:val="21"/>
                <w:szCs w:val="21"/>
                <w:highlight w:val="none"/>
              </w:rPr>
              <w:t>（厂界）</w:t>
            </w:r>
          </w:p>
        </w:tc>
        <w:tc>
          <w:tcPr>
            <w:tcW w:w="2244" w:type="pct"/>
            <w:vMerge w:val="restart"/>
            <w:vAlign w:val="center"/>
          </w:tcPr>
          <w:p w14:paraId="20FBA4CD">
            <w:pPr>
              <w:spacing w:line="240" w:lineRule="auto"/>
              <w:ind w:firstLine="42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《恶臭污染物排放标准》（GB14554-1993）表1中二级新改扩建标准</w:t>
            </w:r>
          </w:p>
        </w:tc>
        <w:tc>
          <w:tcPr>
            <w:tcW w:w="1610" w:type="pct"/>
            <w:vAlign w:val="center"/>
          </w:tcPr>
          <w:p w14:paraId="49DD2D7F">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0.06</w:t>
            </w:r>
          </w:p>
        </w:tc>
      </w:tr>
      <w:tr w14:paraId="6F66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4" w:type="pct"/>
            <w:vAlign w:val="center"/>
          </w:tcPr>
          <w:p w14:paraId="21BAB7AF">
            <w:pPr>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NH</w:t>
            </w:r>
            <w:r>
              <w:rPr>
                <w:rFonts w:ascii="Times New Roman" w:hAnsi="Times New Roman" w:eastAsia="宋体"/>
                <w:strike w:val="0"/>
                <w:dstrike w:val="0"/>
                <w:color w:val="auto"/>
                <w:sz w:val="21"/>
                <w:szCs w:val="21"/>
                <w:highlight w:val="none"/>
                <w:vertAlign w:val="subscript"/>
              </w:rPr>
              <w:t>3</w:t>
            </w:r>
            <w:r>
              <w:rPr>
                <w:rFonts w:hint="eastAsia" w:ascii="Times New Roman" w:hAnsi="Times New Roman" w:eastAsia="宋体"/>
                <w:strike w:val="0"/>
                <w:dstrike w:val="0"/>
                <w:color w:val="auto"/>
                <w:sz w:val="21"/>
                <w:szCs w:val="21"/>
                <w:highlight w:val="none"/>
              </w:rPr>
              <w:t>（厂界）</w:t>
            </w:r>
          </w:p>
        </w:tc>
        <w:tc>
          <w:tcPr>
            <w:tcW w:w="2244" w:type="pct"/>
            <w:vMerge w:val="continue"/>
            <w:vAlign w:val="center"/>
          </w:tcPr>
          <w:p w14:paraId="67E979E7">
            <w:pPr>
              <w:spacing w:line="240" w:lineRule="auto"/>
              <w:ind w:firstLine="420"/>
              <w:jc w:val="center"/>
              <w:rPr>
                <w:rFonts w:ascii="Times New Roman" w:hAnsi="Times New Roman" w:eastAsia="宋体"/>
                <w:strike w:val="0"/>
                <w:dstrike w:val="0"/>
                <w:color w:val="auto"/>
                <w:sz w:val="21"/>
                <w:szCs w:val="21"/>
                <w:highlight w:val="none"/>
              </w:rPr>
            </w:pPr>
          </w:p>
        </w:tc>
        <w:tc>
          <w:tcPr>
            <w:tcW w:w="1610" w:type="pct"/>
            <w:vAlign w:val="center"/>
          </w:tcPr>
          <w:p w14:paraId="520ED85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1.5</w:t>
            </w:r>
          </w:p>
        </w:tc>
      </w:tr>
    </w:tbl>
    <w:p w14:paraId="2AFC8CD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（2）废水污染物排放标准</w:t>
      </w:r>
    </w:p>
    <w:p w14:paraId="655C80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本项目生活污水和生产废水经黑膜池发酵处理后用于项目区周边林带施肥</w:t>
      </w:r>
      <w:r>
        <w:rPr>
          <w:rFonts w:ascii="Times New Roman" w:hAnsi="Times New Roman" w:eastAsia="宋体"/>
          <w:strike w:val="0"/>
          <w:dstrike w:val="0"/>
          <w:color w:val="auto"/>
          <w:highlight w:val="none"/>
        </w:rPr>
        <w:t>；</w:t>
      </w:r>
    </w:p>
    <w:p w14:paraId="1EC8C35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（3）噪声排放标准</w:t>
      </w:r>
    </w:p>
    <w:p w14:paraId="387791F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本项目运营期厂界噪声排放执行《工业企业厂界环境噪声排放标准》（GB12348-2008）</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类标准；建设期施工噪声排放执行《建筑施工厂界环境噪声排放标准》（GB12523-20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标准限值见表2.5-</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093D47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表2.5-7噪声排放标准单位：dB（A）</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1378"/>
        <w:gridCol w:w="3458"/>
        <w:gridCol w:w="1231"/>
        <w:gridCol w:w="1231"/>
      </w:tblGrid>
      <w:tr w14:paraId="7460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8" w:type="pct"/>
            <w:vMerge w:val="restart"/>
            <w:vAlign w:val="center"/>
          </w:tcPr>
          <w:p w14:paraId="22327D3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排放口/源名称</w:t>
            </w:r>
          </w:p>
        </w:tc>
        <w:tc>
          <w:tcPr>
            <w:tcW w:w="808" w:type="pct"/>
            <w:vMerge w:val="restart"/>
            <w:vAlign w:val="center"/>
          </w:tcPr>
          <w:p w14:paraId="5ABA01B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污染物种类</w:t>
            </w:r>
          </w:p>
        </w:tc>
        <w:tc>
          <w:tcPr>
            <w:tcW w:w="3472" w:type="pct"/>
            <w:gridSpan w:val="3"/>
            <w:vAlign w:val="center"/>
          </w:tcPr>
          <w:p w14:paraId="663277E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国家或地方污染物排放标准</w:t>
            </w:r>
          </w:p>
        </w:tc>
      </w:tr>
      <w:tr w14:paraId="4A74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18" w:type="pct"/>
            <w:vMerge w:val="continue"/>
            <w:vAlign w:val="center"/>
          </w:tcPr>
          <w:p w14:paraId="46663E8C">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808" w:type="pct"/>
            <w:vMerge w:val="continue"/>
            <w:vAlign w:val="center"/>
          </w:tcPr>
          <w:p w14:paraId="28EB83B3">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028" w:type="pct"/>
            <w:vMerge w:val="restart"/>
            <w:vAlign w:val="center"/>
          </w:tcPr>
          <w:p w14:paraId="1E939D2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名称</w:t>
            </w:r>
          </w:p>
        </w:tc>
        <w:tc>
          <w:tcPr>
            <w:tcW w:w="1444" w:type="pct"/>
            <w:gridSpan w:val="2"/>
            <w:vAlign w:val="center"/>
          </w:tcPr>
          <w:p w14:paraId="4572A2D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标准限值</w:t>
            </w:r>
          </w:p>
        </w:tc>
      </w:tr>
      <w:tr w14:paraId="2069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18" w:type="pct"/>
            <w:vMerge w:val="continue"/>
            <w:vAlign w:val="center"/>
          </w:tcPr>
          <w:p w14:paraId="7E5D4A20">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808" w:type="pct"/>
            <w:vMerge w:val="continue"/>
            <w:vAlign w:val="center"/>
          </w:tcPr>
          <w:p w14:paraId="44BD7118">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028" w:type="pct"/>
            <w:vMerge w:val="continue"/>
            <w:vAlign w:val="center"/>
          </w:tcPr>
          <w:p w14:paraId="366BD6C2">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722" w:type="pct"/>
            <w:vAlign w:val="center"/>
          </w:tcPr>
          <w:p w14:paraId="7DE28AD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昼间</w:t>
            </w:r>
          </w:p>
        </w:tc>
        <w:tc>
          <w:tcPr>
            <w:tcW w:w="722" w:type="pct"/>
            <w:vAlign w:val="center"/>
          </w:tcPr>
          <w:p w14:paraId="581E7AA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夜间</w:t>
            </w:r>
          </w:p>
        </w:tc>
      </w:tr>
      <w:tr w14:paraId="7184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18" w:type="pct"/>
            <w:vMerge w:val="restart"/>
            <w:tcBorders>
              <w:bottom w:val="single" w:color="auto" w:sz="4" w:space="0"/>
            </w:tcBorders>
            <w:vAlign w:val="center"/>
          </w:tcPr>
          <w:p w14:paraId="4356B8C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厂界噪声</w:t>
            </w:r>
          </w:p>
        </w:tc>
        <w:tc>
          <w:tcPr>
            <w:tcW w:w="808" w:type="pct"/>
            <w:vAlign w:val="center"/>
          </w:tcPr>
          <w:p w14:paraId="4327FE9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w:t>
            </w:r>
          </w:p>
        </w:tc>
        <w:tc>
          <w:tcPr>
            <w:tcW w:w="2028" w:type="pct"/>
            <w:tcBorders>
              <w:bottom w:val="single" w:color="auto" w:sz="4" w:space="0"/>
            </w:tcBorders>
            <w:vAlign w:val="center"/>
          </w:tcPr>
          <w:p w14:paraId="2D528F3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《建筑施工场界环境噪声排放标准》（GB12523-20</w:t>
            </w:r>
            <w:r>
              <w:rPr>
                <w:rFonts w:hint="eastAsia" w:ascii="Times New Roman" w:hAnsi="Times New Roman" w:eastAsia="宋体"/>
                <w:strike w:val="0"/>
                <w:dstrike w:val="0"/>
                <w:color w:val="auto"/>
                <w:sz w:val="21"/>
                <w:szCs w:val="21"/>
                <w:highlight w:val="none"/>
                <w:lang w:val="en-US" w:eastAsia="zh-CN"/>
              </w:rPr>
              <w:t>25</w:t>
            </w:r>
            <w:r>
              <w:rPr>
                <w:rFonts w:hint="eastAsia" w:ascii="Times New Roman" w:hAnsi="Times New Roman" w:eastAsia="宋体"/>
                <w:strike w:val="0"/>
                <w:dstrike w:val="0"/>
                <w:color w:val="auto"/>
                <w:sz w:val="21"/>
                <w:szCs w:val="21"/>
                <w:highlight w:val="none"/>
              </w:rPr>
              <w:t>）</w:t>
            </w:r>
          </w:p>
        </w:tc>
        <w:tc>
          <w:tcPr>
            <w:tcW w:w="722" w:type="pct"/>
            <w:tcBorders>
              <w:bottom w:val="single" w:color="auto" w:sz="4" w:space="0"/>
            </w:tcBorders>
            <w:vAlign w:val="center"/>
          </w:tcPr>
          <w:p w14:paraId="369A688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w:t>
            </w:r>
          </w:p>
        </w:tc>
        <w:tc>
          <w:tcPr>
            <w:tcW w:w="722" w:type="pct"/>
            <w:tcBorders>
              <w:bottom w:val="single" w:color="auto" w:sz="4" w:space="0"/>
            </w:tcBorders>
            <w:vAlign w:val="center"/>
          </w:tcPr>
          <w:p w14:paraId="71553E1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55</w:t>
            </w:r>
          </w:p>
        </w:tc>
      </w:tr>
      <w:tr w14:paraId="1DAB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pct"/>
            <w:vMerge w:val="continue"/>
            <w:vAlign w:val="center"/>
          </w:tcPr>
          <w:p w14:paraId="4DF73BFA">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808" w:type="pct"/>
            <w:vAlign w:val="center"/>
          </w:tcPr>
          <w:p w14:paraId="31CE4A2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w:t>
            </w:r>
          </w:p>
        </w:tc>
        <w:tc>
          <w:tcPr>
            <w:tcW w:w="2028" w:type="pct"/>
            <w:vAlign w:val="center"/>
          </w:tcPr>
          <w:p w14:paraId="2E5C9DF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《工业企业厂界环境噪声排放标准》（GB12348-2008）中</w:t>
            </w:r>
            <w:r>
              <w:rPr>
                <w:rFonts w:hint="eastAsia" w:ascii="Times New Roman" w:hAnsi="Times New Roman" w:eastAsia="宋体"/>
                <w:strike w:val="0"/>
                <w:dstrike w:val="0"/>
                <w:color w:val="auto"/>
                <w:sz w:val="21"/>
                <w:szCs w:val="21"/>
                <w:highlight w:val="none"/>
                <w:lang w:val="en-US" w:eastAsia="zh-CN"/>
              </w:rPr>
              <w:t>2</w:t>
            </w:r>
            <w:r>
              <w:rPr>
                <w:rFonts w:hint="eastAsia" w:ascii="Times New Roman" w:hAnsi="Times New Roman" w:eastAsia="宋体"/>
                <w:strike w:val="0"/>
                <w:dstrike w:val="0"/>
                <w:color w:val="auto"/>
                <w:sz w:val="21"/>
                <w:szCs w:val="21"/>
                <w:highlight w:val="none"/>
              </w:rPr>
              <w:t>类标准</w:t>
            </w:r>
          </w:p>
        </w:tc>
        <w:tc>
          <w:tcPr>
            <w:tcW w:w="722" w:type="pct"/>
            <w:vAlign w:val="center"/>
          </w:tcPr>
          <w:p w14:paraId="5963ABA0">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60</w:t>
            </w:r>
          </w:p>
        </w:tc>
        <w:tc>
          <w:tcPr>
            <w:tcW w:w="722" w:type="pct"/>
            <w:vAlign w:val="center"/>
          </w:tcPr>
          <w:p w14:paraId="3EA3FFA1">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50</w:t>
            </w:r>
          </w:p>
        </w:tc>
      </w:tr>
    </w:tbl>
    <w:p w14:paraId="2EC3D9E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（4）固体废物</w:t>
      </w:r>
    </w:p>
    <w:p w14:paraId="3AEF5B4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一般工业固体废物执行《一般工业固体废物贮存和填埋污染控制标准》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GB18599-2020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中有关规定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医疗</w:t>
      </w:r>
      <w:r>
        <w:rPr>
          <w:rFonts w:ascii="Times New Roman" w:hAnsi="Times New Roman" w:eastAsia="宋体"/>
          <w:strike w:val="0"/>
          <w:dstrike w:val="0"/>
          <w:color w:val="auto"/>
          <w:highlight w:val="none"/>
        </w:rPr>
        <w:t>废物执行《</w:t>
      </w:r>
      <w:r>
        <w:rPr>
          <w:rFonts w:hint="eastAsia" w:ascii="Times New Roman" w:hAnsi="Times New Roman" w:eastAsia="宋体"/>
          <w:strike w:val="0"/>
          <w:dstrike w:val="0"/>
          <w:color w:val="auto"/>
          <w:highlight w:val="none"/>
        </w:rPr>
        <w:t>医疗废物处理处置污染控制标准</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（GB 39707—2020）</w:t>
      </w:r>
      <w:r>
        <w:rPr>
          <w:rFonts w:ascii="Times New Roman" w:hAnsi="Times New Roman" w:eastAsia="宋体"/>
          <w:strike w:val="0"/>
          <w:dstrike w:val="0"/>
          <w:color w:val="auto"/>
          <w:highlight w:val="none"/>
        </w:rPr>
        <w:t>中要求</w:t>
      </w:r>
      <w:r>
        <w:rPr>
          <w:rFonts w:hint="eastAsia" w:ascii="Times New Roman" w:hAnsi="Times New Roman" w:eastAsia="宋体"/>
          <w:strike w:val="0"/>
          <w:dstrike w:val="0"/>
          <w:color w:val="auto"/>
          <w:highlight w:val="none"/>
          <w:lang w:eastAsia="zh-CN"/>
        </w:rPr>
        <w:t>。</w:t>
      </w:r>
    </w:p>
    <w:p w14:paraId="1AA22DE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病死</w:t>
      </w:r>
      <w:r>
        <w:rPr>
          <w:rFonts w:hint="eastAsia" w:ascii="Times New Roman" w:hAnsi="Times New Roman" w:eastAsia="宋体"/>
          <w:strike w:val="0"/>
          <w:dstrike w:val="0"/>
          <w:color w:val="auto"/>
          <w:highlight w:val="none"/>
          <w:lang w:eastAsia="zh-CN"/>
        </w:rPr>
        <w:t>骆驼、分娩废弃物（胎衣、死胎、胎盘附属物）</w:t>
      </w:r>
      <w:r>
        <w:rPr>
          <w:rFonts w:ascii="Times New Roman" w:hAnsi="Times New Roman" w:eastAsia="宋体"/>
          <w:strike w:val="0"/>
          <w:dstrike w:val="0"/>
          <w:color w:val="auto"/>
          <w:highlight w:val="none"/>
        </w:rPr>
        <w:t>参照执行《畜禽养殖业污染防治技术规范》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和《病死及病害动物无害化处理技术规范》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农医发〔2017〕25号</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中相关规定</w:t>
      </w:r>
      <w:r>
        <w:rPr>
          <w:rFonts w:hint="eastAsia" w:ascii="Times New Roman" w:hAnsi="Times New Roman" w:eastAsia="宋体"/>
          <w:strike w:val="0"/>
          <w:dstrike w:val="0"/>
          <w:color w:val="auto"/>
          <w:highlight w:val="none"/>
          <w:lang w:eastAsia="zh-CN"/>
        </w:rPr>
        <w:t>。</w:t>
      </w:r>
    </w:p>
    <w:p w14:paraId="2C7B369A">
      <w:pPr>
        <w:pStyle w:val="3"/>
        <w:rPr>
          <w:rFonts w:ascii="Times New Roman" w:hAnsi="Times New Roman" w:eastAsia="宋体"/>
          <w:strike w:val="0"/>
          <w:dstrike w:val="0"/>
          <w:color w:val="auto"/>
          <w:highlight w:val="none"/>
        </w:rPr>
      </w:pPr>
      <w:bookmarkStart w:id="71" w:name="_Toc9231"/>
      <w:bookmarkStart w:id="72" w:name="_Toc89619329"/>
      <w:r>
        <w:rPr>
          <w:rFonts w:hint="eastAsia" w:ascii="Times New Roman" w:hAnsi="Times New Roman" w:eastAsia="宋体"/>
          <w:strike w:val="0"/>
          <w:dstrike w:val="0"/>
          <w:color w:val="auto"/>
          <w:highlight w:val="none"/>
        </w:rPr>
        <w:t>2.6评价等级及评价范围</w:t>
      </w:r>
      <w:bookmarkEnd w:id="71"/>
      <w:bookmarkEnd w:id="72"/>
    </w:p>
    <w:p w14:paraId="32544E73">
      <w:pPr>
        <w:pStyle w:val="4"/>
        <w:rPr>
          <w:rFonts w:ascii="Times New Roman" w:hAnsi="Times New Roman" w:eastAsia="宋体"/>
          <w:strike w:val="0"/>
          <w:dstrike w:val="0"/>
          <w:color w:val="auto"/>
          <w:highlight w:val="none"/>
        </w:rPr>
      </w:pPr>
      <w:bookmarkStart w:id="73" w:name="_Toc576"/>
      <w:bookmarkStart w:id="74" w:name="_Toc106663442"/>
      <w:r>
        <w:rPr>
          <w:rFonts w:hint="eastAsia" w:ascii="Times New Roman" w:hAnsi="Times New Roman" w:eastAsia="宋体"/>
          <w:strike w:val="0"/>
          <w:dstrike w:val="0"/>
          <w:color w:val="auto"/>
          <w:highlight w:val="none"/>
        </w:rPr>
        <w:t>2.6.1评价等级</w:t>
      </w:r>
      <w:bookmarkEnd w:id="73"/>
      <w:bookmarkEnd w:id="74"/>
    </w:p>
    <w:p w14:paraId="441C722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2.6.1.1大气环境影响评价等级</w:t>
      </w:r>
    </w:p>
    <w:p w14:paraId="38F01DF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（1）判定依据</w:t>
      </w:r>
    </w:p>
    <w:p w14:paraId="01BFB0F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根据《环境影响评价技术导则大气环境》（HJ2.2-2018）中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5.3评价</w:t>
      </w:r>
      <w:r>
        <w:rPr>
          <w:rFonts w:hint="eastAsia" w:ascii="Times New Roman" w:hAnsi="Times New Roman" w:eastAsia="宋体"/>
          <w:strike w:val="0"/>
          <w:dstrike w:val="0"/>
          <w:color w:val="auto"/>
          <w:highlight w:val="none"/>
          <w:lang w:val="en-US" w:eastAsia="zh-CN"/>
        </w:rPr>
        <w:t>等级判定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的规定，选择项目污染源正常排放的主要污染物及排放参数，采用附录A推荐模型中估算模型分别计算项目污染源的最大环境影响，然后按评价工作分级判据进行分级</w:t>
      </w:r>
      <w:r>
        <w:rPr>
          <w:rFonts w:hint="eastAsia" w:ascii="Times New Roman" w:hAnsi="Times New Roman" w:eastAsia="宋体"/>
          <w:strike w:val="0"/>
          <w:dstrike w:val="0"/>
          <w:color w:val="auto"/>
          <w:highlight w:val="none"/>
          <w:lang w:eastAsia="zh-CN"/>
        </w:rPr>
        <w:t>。</w:t>
      </w:r>
    </w:p>
    <w:p w14:paraId="0EA925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根据项目污染源初步调查结果，计算项目排放主要污染物的最大地面空气质量浓度占标率P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lang w:eastAsia="zh-CN"/>
        </w:rPr>
        <w:t>。</w:t>
      </w:r>
    </w:p>
    <w:p w14:paraId="1AD6E19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27"/>
          <w:highlight w:val="none"/>
        </w:rPr>
        <w:object>
          <v:shape id="_x0000_i1025" o:spt="75" type="#_x0000_t75" style="height:34.1pt;width:88.25pt;" o:ole="t" filled="f" o:preferrelative="t" stroked="f" coordsize="21600,21600">
            <v:path/>
            <v:fill on="f" focussize="0,0"/>
            <v:stroke on="f" joinstyle="miter"/>
            <v:imagedata r:id="rId29" o:title=""/>
            <o:lock v:ext="edit" aspectratio="t"/>
            <w10:wrap type="none"/>
            <w10:anchorlock/>
          </v:shape>
          <o:OLEObject Type="Embed" ProgID="Equation.AxMath" ShapeID="_x0000_i1025" DrawAspect="Content" ObjectID="_1468075725" r:id="rId28">
            <o:LockedField>false</o:LockedField>
          </o:OLEObject>
        </w:object>
      </w:r>
    </w:p>
    <w:p w14:paraId="78DC825C">
      <w:pPr>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——第i个污染物的最大地面空气质量浓度占标率，%；</w:t>
      </w:r>
    </w:p>
    <w:p w14:paraId="714FEE07">
      <w:pPr>
        <w:ind w:firstLine="708" w:firstLineChars="295"/>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——采用估算模型计算出的第i个污染物的最大1h地面空气质量浓度，</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p>
    <w:p w14:paraId="1D64B231">
      <w:pPr>
        <w:ind w:firstLine="708" w:firstLineChars="295"/>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0i</w:t>
      </w:r>
      <w:r>
        <w:rPr>
          <w:rFonts w:hint="eastAsia" w:ascii="Times New Roman" w:hAnsi="Times New Roman" w:eastAsia="宋体"/>
          <w:strike w:val="0"/>
          <w:dstrike w:val="0"/>
          <w:color w:val="auto"/>
          <w:highlight w:val="none"/>
        </w:rPr>
        <w:t>——第i个污染物的环境空气质量浓度标准，μg/m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般选用GB3095中1h平均质量浓度的二级浓度限值，如项目位于一类环境空气功能区，应选择相应的一级浓度限值；对该标准中未包含的污染物，使用《环境影响评价技术导则大气环境》（HJ2.2-2018）中5.2确定的各评价因子1h平均质量浓度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对仅有8h平均质量浓度限值、日平均质量浓度限值或年平均质量浓度限值的，可分别按2倍、3倍、6倍折算为1h平均质量浓度限值</w:t>
      </w:r>
      <w:r>
        <w:rPr>
          <w:rFonts w:hint="eastAsia" w:ascii="Times New Roman" w:hAnsi="Times New Roman" w:eastAsia="宋体"/>
          <w:strike w:val="0"/>
          <w:dstrike w:val="0"/>
          <w:color w:val="auto"/>
          <w:highlight w:val="none"/>
          <w:lang w:eastAsia="zh-CN"/>
        </w:rPr>
        <w:t>。</w:t>
      </w:r>
    </w:p>
    <w:p w14:paraId="422BF1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评价等级按表2.6-1的分级判据进行划分，如污染物数i大于1，取P值中最大者P</w:t>
      </w:r>
      <w:r>
        <w:rPr>
          <w:rFonts w:hint="eastAsia" w:ascii="Times New Roman" w:hAnsi="Times New Roman" w:eastAsia="宋体"/>
          <w:strike w:val="0"/>
          <w:dstrike w:val="0"/>
          <w:color w:val="auto"/>
          <w:highlight w:val="none"/>
          <w:vertAlign w:val="subscript"/>
        </w:rPr>
        <w:t>max</w:t>
      </w:r>
      <w:r>
        <w:rPr>
          <w:rFonts w:hint="eastAsia" w:ascii="Times New Roman" w:hAnsi="Times New Roman" w:eastAsia="宋体"/>
          <w:strike w:val="0"/>
          <w:dstrike w:val="0"/>
          <w:color w:val="auto"/>
          <w:highlight w:val="none"/>
          <w:lang w:eastAsia="zh-CN"/>
        </w:rPr>
        <w:t>。</w:t>
      </w:r>
    </w:p>
    <w:p w14:paraId="731B2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表2.6-1评价等级判别表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5295"/>
      </w:tblGrid>
      <w:tr w14:paraId="5E82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3227" w:type="dxa"/>
            <w:vAlign w:val="center"/>
          </w:tcPr>
          <w:p w14:paraId="4C10D0B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评价工作等级</w:t>
            </w:r>
          </w:p>
        </w:tc>
        <w:tc>
          <w:tcPr>
            <w:tcW w:w="5295" w:type="dxa"/>
            <w:vAlign w:val="center"/>
          </w:tcPr>
          <w:p w14:paraId="0A8FFD3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评价工作分级判据</w:t>
            </w:r>
          </w:p>
        </w:tc>
      </w:tr>
      <w:tr w14:paraId="0A56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5751D79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一级评价</w:t>
            </w:r>
          </w:p>
        </w:tc>
        <w:tc>
          <w:tcPr>
            <w:tcW w:w="5295" w:type="dxa"/>
            <w:vAlign w:val="center"/>
          </w:tcPr>
          <w:p w14:paraId="522F783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w:t>
            </w:r>
            <w:r>
              <w:rPr>
                <w:rFonts w:hint="eastAsia" w:ascii="Times New Roman" w:hAnsi="Times New Roman" w:eastAsia="宋体"/>
                <w:strike w:val="0"/>
                <w:dstrike w:val="0"/>
                <w:color w:val="auto"/>
                <w:sz w:val="21"/>
                <w:szCs w:val="21"/>
                <w:highlight w:val="none"/>
                <w:vertAlign w:val="subscript"/>
              </w:rPr>
              <w:t>max</w:t>
            </w:r>
            <w:r>
              <w:rPr>
                <w:rFonts w:hint="eastAsia" w:ascii="Times New Roman" w:hAnsi="Times New Roman" w:eastAsia="宋体"/>
                <w:strike w:val="0"/>
                <w:dstrike w:val="0"/>
                <w:color w:val="auto"/>
                <w:sz w:val="21"/>
                <w:szCs w:val="21"/>
                <w:highlight w:val="none"/>
              </w:rPr>
              <w:t>≥10%</w:t>
            </w:r>
          </w:p>
        </w:tc>
      </w:tr>
      <w:tr w14:paraId="3E96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5ADD8F3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二级评价</w:t>
            </w:r>
          </w:p>
        </w:tc>
        <w:tc>
          <w:tcPr>
            <w:tcW w:w="5295" w:type="dxa"/>
            <w:vAlign w:val="center"/>
          </w:tcPr>
          <w:p w14:paraId="6773C26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1%≤P</w:t>
            </w:r>
            <w:r>
              <w:rPr>
                <w:rFonts w:hint="eastAsia" w:ascii="Times New Roman" w:hAnsi="Times New Roman" w:eastAsia="宋体"/>
                <w:strike w:val="0"/>
                <w:dstrike w:val="0"/>
                <w:color w:val="auto"/>
                <w:sz w:val="21"/>
                <w:szCs w:val="21"/>
                <w:highlight w:val="none"/>
                <w:vertAlign w:val="subscript"/>
              </w:rPr>
              <w:t>max</w:t>
            </w:r>
            <w:r>
              <w:rPr>
                <w:rFonts w:hint="eastAsia" w:ascii="Times New Roman" w:hAnsi="Times New Roman" w:eastAsia="宋体"/>
                <w:strike w:val="0"/>
                <w:dstrike w:val="0"/>
                <w:color w:val="auto"/>
                <w:sz w:val="21"/>
                <w:szCs w:val="21"/>
                <w:highlight w:val="none"/>
              </w:rPr>
              <w:t>&lt;10%</w:t>
            </w:r>
          </w:p>
        </w:tc>
      </w:tr>
      <w:tr w14:paraId="490E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227" w:type="dxa"/>
            <w:vAlign w:val="center"/>
          </w:tcPr>
          <w:p w14:paraId="1D0F239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三级评价</w:t>
            </w:r>
          </w:p>
        </w:tc>
        <w:tc>
          <w:tcPr>
            <w:tcW w:w="5295" w:type="dxa"/>
            <w:vAlign w:val="center"/>
          </w:tcPr>
          <w:p w14:paraId="17D8488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P</w:t>
            </w:r>
            <w:r>
              <w:rPr>
                <w:rFonts w:hint="eastAsia" w:ascii="Times New Roman" w:hAnsi="Times New Roman" w:eastAsia="宋体"/>
                <w:strike w:val="0"/>
                <w:dstrike w:val="0"/>
                <w:color w:val="auto"/>
                <w:sz w:val="21"/>
                <w:szCs w:val="21"/>
                <w:highlight w:val="none"/>
                <w:vertAlign w:val="subscript"/>
              </w:rPr>
              <w:t>max</w:t>
            </w:r>
            <w:r>
              <w:rPr>
                <w:rFonts w:hint="eastAsia" w:ascii="Times New Roman" w:hAnsi="Times New Roman" w:eastAsia="宋体"/>
                <w:strike w:val="0"/>
                <w:dstrike w:val="0"/>
                <w:color w:val="auto"/>
                <w:sz w:val="21"/>
                <w:szCs w:val="21"/>
                <w:highlight w:val="none"/>
              </w:rPr>
              <w:t>﹤1%</w:t>
            </w:r>
          </w:p>
        </w:tc>
      </w:tr>
    </w:tbl>
    <w:p w14:paraId="3615249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评价等级的确定还应符合以下规定：</w:t>
      </w:r>
    </w:p>
    <w:p w14:paraId="279CF65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同一项目有多个污染源（两个及以上）时，则按各污染源分别确定评价等级，并取评价等级最高者作为项目的评价等级</w:t>
      </w:r>
      <w:r>
        <w:rPr>
          <w:rFonts w:hint="eastAsia" w:ascii="Times New Roman" w:hAnsi="Times New Roman" w:eastAsia="宋体"/>
          <w:strike w:val="0"/>
          <w:dstrike w:val="0"/>
          <w:color w:val="auto"/>
          <w:highlight w:val="none"/>
          <w:lang w:eastAsia="zh-CN"/>
        </w:rPr>
        <w:t>。</w:t>
      </w:r>
    </w:p>
    <w:p w14:paraId="33E470F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（2）判别估算过程</w:t>
      </w:r>
    </w:p>
    <w:p w14:paraId="24137CE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本次评价预测采用《环境影响评价技术导则大气环境》（HJ2.2-2018）推荐的ARESCREEN估算模式，估算污染物的最大落地浓度和距离，估算模型参数见表2.6-2</w:t>
      </w:r>
      <w:r>
        <w:rPr>
          <w:rFonts w:hint="eastAsia" w:ascii="Times New Roman" w:hAnsi="Times New Roman" w:eastAsia="宋体"/>
          <w:strike w:val="0"/>
          <w:dstrike w:val="0"/>
          <w:color w:val="auto"/>
          <w:highlight w:val="none"/>
          <w:lang w:eastAsia="zh-CN"/>
        </w:rPr>
        <w:t>。</w:t>
      </w:r>
    </w:p>
    <w:p w14:paraId="7D7D1D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表2.6-2估算模型参数表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79"/>
        <w:gridCol w:w="3350"/>
        <w:gridCol w:w="2281"/>
      </w:tblGrid>
      <w:tr w14:paraId="07B32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4C9AD19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参数</w:t>
            </w:r>
          </w:p>
        </w:tc>
        <w:tc>
          <w:tcPr>
            <w:tcW w:w="1372" w:type="pct"/>
            <w:vAlign w:val="center"/>
          </w:tcPr>
          <w:p w14:paraId="24437BE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取值</w:t>
            </w:r>
          </w:p>
        </w:tc>
      </w:tr>
      <w:tr w14:paraId="6F6E0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6777D2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农村选项</w:t>
            </w:r>
          </w:p>
        </w:tc>
        <w:tc>
          <w:tcPr>
            <w:tcW w:w="2015" w:type="pct"/>
            <w:vAlign w:val="center"/>
          </w:tcPr>
          <w:p w14:paraId="1689F45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w:t>
            </w:r>
          </w:p>
        </w:tc>
        <w:tc>
          <w:tcPr>
            <w:tcW w:w="1372" w:type="pct"/>
            <w:vAlign w:val="center"/>
          </w:tcPr>
          <w:p w14:paraId="5126B01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农村</w:t>
            </w:r>
          </w:p>
        </w:tc>
      </w:tr>
      <w:tr w14:paraId="2D897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4138FB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48D7694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人口数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城市选项时</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372" w:type="pct"/>
            <w:vAlign w:val="center"/>
          </w:tcPr>
          <w:p w14:paraId="1CC468D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B569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3A3825C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最高环境温度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5034D8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36.5</w:t>
            </w:r>
          </w:p>
        </w:tc>
      </w:tr>
      <w:tr w14:paraId="6C495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3B475AE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最低环境温度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21D1D49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val="en-US" w:eastAsia="zh-CN"/>
              </w:rPr>
              <w:t>31</w:t>
            </w:r>
          </w:p>
        </w:tc>
      </w:tr>
      <w:tr w14:paraId="2A9A7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3488F43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土地利用类型</w:t>
            </w:r>
          </w:p>
        </w:tc>
        <w:tc>
          <w:tcPr>
            <w:tcW w:w="1372" w:type="pct"/>
            <w:vAlign w:val="center"/>
          </w:tcPr>
          <w:p w14:paraId="1C058F4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农作地</w:t>
            </w:r>
          </w:p>
        </w:tc>
      </w:tr>
      <w:tr w14:paraId="2DBE3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1D581B7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区域湿度条件</w:t>
            </w:r>
          </w:p>
        </w:tc>
        <w:tc>
          <w:tcPr>
            <w:tcW w:w="1372" w:type="pct"/>
            <w:vAlign w:val="center"/>
          </w:tcPr>
          <w:p w14:paraId="6507EE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干燥</w:t>
            </w:r>
          </w:p>
        </w:tc>
      </w:tr>
      <w:tr w14:paraId="77141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334EBE3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是否考虑地形</w:t>
            </w:r>
          </w:p>
        </w:tc>
        <w:tc>
          <w:tcPr>
            <w:tcW w:w="2015" w:type="pct"/>
            <w:vAlign w:val="center"/>
          </w:tcPr>
          <w:p w14:paraId="27028D5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考虑地形</w:t>
            </w:r>
          </w:p>
        </w:tc>
        <w:tc>
          <w:tcPr>
            <w:tcW w:w="1372" w:type="pct"/>
            <w:vAlign w:val="center"/>
          </w:tcPr>
          <w:p w14:paraId="6450FD6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drawing>
                <wp:inline distT="0" distB="0" distL="0" distR="0">
                  <wp:extent cx="114300" cy="133350"/>
                  <wp:effectExtent l="0" t="0" r="0" b="0"/>
                  <wp:docPr id="35" name="IM 32"/>
                  <wp:cNvGraphicFramePr/>
                  <a:graphic xmlns:a="http://schemas.openxmlformats.org/drawingml/2006/main">
                    <a:graphicData uri="http://schemas.openxmlformats.org/drawingml/2006/picture">
                      <pic:pic xmlns:pic="http://schemas.openxmlformats.org/drawingml/2006/picture">
                        <pic:nvPicPr>
                          <pic:cNvPr id="35" name="IM 32"/>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是□否</w:t>
            </w:r>
          </w:p>
        </w:tc>
      </w:tr>
      <w:tr w14:paraId="02118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70C4073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0FF9DED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地形数据分辨率</w:t>
            </w:r>
            <w:r>
              <w:rPr>
                <w:rFonts w:ascii="Times New Roman" w:hAnsi="Times New Roman" w:eastAsia="宋体" w:cs="Times New Roman"/>
                <w:strike w:val="0"/>
                <w:dstrike w:val="0"/>
                <w:color w:val="auto"/>
                <w:spacing w:val="0"/>
                <w:position w:val="0"/>
                <w:sz w:val="21"/>
                <w:szCs w:val="21"/>
                <w:highlight w:val="none"/>
              </w:rPr>
              <w:t>/m</w:t>
            </w:r>
          </w:p>
        </w:tc>
        <w:tc>
          <w:tcPr>
            <w:tcW w:w="1372" w:type="pct"/>
            <w:vAlign w:val="center"/>
          </w:tcPr>
          <w:p w14:paraId="4239229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90</w:t>
            </w:r>
          </w:p>
        </w:tc>
      </w:tr>
      <w:tr w14:paraId="36FBA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32B49AF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是否考虑岸线熏烟</w:t>
            </w:r>
          </w:p>
        </w:tc>
        <w:tc>
          <w:tcPr>
            <w:tcW w:w="2015" w:type="pct"/>
            <w:vAlign w:val="center"/>
          </w:tcPr>
          <w:p w14:paraId="0AEEE56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考虑岸线熏烟</w:t>
            </w:r>
          </w:p>
        </w:tc>
        <w:tc>
          <w:tcPr>
            <w:tcW w:w="1372" w:type="pct"/>
            <w:vAlign w:val="center"/>
          </w:tcPr>
          <w:p w14:paraId="2C1733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w:t>
            </w:r>
            <w:r>
              <w:rPr>
                <w:rFonts w:ascii="Times New Roman" w:hAnsi="Times New Roman" w:eastAsia="宋体"/>
                <w:strike w:val="0"/>
                <w:dstrike w:val="0"/>
                <w:color w:val="auto"/>
                <w:spacing w:val="0"/>
                <w:position w:val="0"/>
                <w:sz w:val="21"/>
                <w:szCs w:val="21"/>
                <w:highlight w:val="none"/>
              </w:rPr>
              <w:drawing>
                <wp:inline distT="0" distB="0" distL="0" distR="0">
                  <wp:extent cx="114300" cy="133350"/>
                  <wp:effectExtent l="0" t="0" r="0" b="0"/>
                  <wp:docPr id="37" name="IM 33"/>
                  <wp:cNvGraphicFramePr/>
                  <a:graphic xmlns:a="http://schemas.openxmlformats.org/drawingml/2006/main">
                    <a:graphicData uri="http://schemas.openxmlformats.org/drawingml/2006/picture">
                      <pic:pic xmlns:pic="http://schemas.openxmlformats.org/drawingml/2006/picture">
                        <pic:nvPicPr>
                          <pic:cNvPr id="37" name="IM 33"/>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否</w:t>
            </w:r>
          </w:p>
        </w:tc>
      </w:tr>
      <w:tr w14:paraId="545C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59BE7E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67501DB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岸线距离</w:t>
            </w:r>
            <w:r>
              <w:rPr>
                <w:rFonts w:ascii="Times New Roman" w:hAnsi="Times New Roman" w:eastAsia="宋体" w:cs="Times New Roman"/>
                <w:strike w:val="0"/>
                <w:dstrike w:val="0"/>
                <w:color w:val="auto"/>
                <w:spacing w:val="0"/>
                <w:position w:val="0"/>
                <w:sz w:val="21"/>
                <w:szCs w:val="21"/>
                <w:highlight w:val="none"/>
              </w:rPr>
              <w:t>/km</w:t>
            </w:r>
          </w:p>
        </w:tc>
        <w:tc>
          <w:tcPr>
            <w:tcW w:w="1372" w:type="pct"/>
            <w:vAlign w:val="center"/>
          </w:tcPr>
          <w:p w14:paraId="3456A57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bl>
    <w:p w14:paraId="28A5462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本项目无组织废气污染源一览表见表2.6-</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p>
    <w:p w14:paraId="2A84A6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表2.6-3无组织废气污染源一览表（面源）</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5"/>
        <w:gridCol w:w="1430"/>
        <w:gridCol w:w="1430"/>
        <w:gridCol w:w="1641"/>
        <w:gridCol w:w="1110"/>
        <w:gridCol w:w="1217"/>
      </w:tblGrid>
      <w:tr w14:paraId="3919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restart"/>
            <w:vAlign w:val="center"/>
          </w:tcPr>
          <w:p w14:paraId="4AFF36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编号</w:t>
            </w:r>
          </w:p>
        </w:tc>
        <w:tc>
          <w:tcPr>
            <w:tcW w:w="619" w:type="pct"/>
            <w:vMerge w:val="restart"/>
            <w:vAlign w:val="center"/>
          </w:tcPr>
          <w:p w14:paraId="44053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名称</w:t>
            </w:r>
          </w:p>
        </w:tc>
        <w:tc>
          <w:tcPr>
            <w:tcW w:w="839" w:type="pct"/>
            <w:vMerge w:val="restart"/>
            <w:vAlign w:val="center"/>
          </w:tcPr>
          <w:p w14:paraId="40E7E5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面源长（m）</w:t>
            </w:r>
          </w:p>
        </w:tc>
        <w:tc>
          <w:tcPr>
            <w:tcW w:w="839" w:type="pct"/>
            <w:vMerge w:val="restart"/>
            <w:vAlign w:val="center"/>
          </w:tcPr>
          <w:p w14:paraId="4E9B87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面源宽（m）</w:t>
            </w:r>
          </w:p>
        </w:tc>
        <w:tc>
          <w:tcPr>
            <w:tcW w:w="963" w:type="pct"/>
            <w:vMerge w:val="restart"/>
            <w:vAlign w:val="center"/>
          </w:tcPr>
          <w:p w14:paraId="53EC17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排放高度（m）</w:t>
            </w:r>
          </w:p>
        </w:tc>
        <w:tc>
          <w:tcPr>
            <w:tcW w:w="1365" w:type="pct"/>
            <w:gridSpan w:val="2"/>
            <w:vAlign w:val="center"/>
          </w:tcPr>
          <w:p w14:paraId="346333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评价因子源强（kg/h）</w:t>
            </w:r>
          </w:p>
        </w:tc>
      </w:tr>
      <w:tr w14:paraId="77AB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continue"/>
            <w:vAlign w:val="center"/>
          </w:tcPr>
          <w:p w14:paraId="63340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619" w:type="pct"/>
            <w:vMerge w:val="continue"/>
            <w:vAlign w:val="center"/>
          </w:tcPr>
          <w:p w14:paraId="0A8F86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839" w:type="pct"/>
            <w:vMerge w:val="continue"/>
            <w:vAlign w:val="center"/>
          </w:tcPr>
          <w:p w14:paraId="56345C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839" w:type="pct"/>
            <w:vMerge w:val="continue"/>
            <w:vAlign w:val="center"/>
          </w:tcPr>
          <w:p w14:paraId="32B42A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963" w:type="pct"/>
            <w:vMerge w:val="continue"/>
            <w:vAlign w:val="center"/>
          </w:tcPr>
          <w:p w14:paraId="18A104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651" w:type="pct"/>
            <w:vAlign w:val="center"/>
          </w:tcPr>
          <w:p w14:paraId="754838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氨</w:t>
            </w:r>
          </w:p>
        </w:tc>
        <w:tc>
          <w:tcPr>
            <w:tcW w:w="713" w:type="pct"/>
            <w:vAlign w:val="center"/>
          </w:tcPr>
          <w:p w14:paraId="0E2D45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硫化氢</w:t>
            </w:r>
          </w:p>
        </w:tc>
      </w:tr>
      <w:tr w14:paraId="2C40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778A38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w:t>
            </w:r>
          </w:p>
        </w:tc>
        <w:tc>
          <w:tcPr>
            <w:tcW w:w="619" w:type="pct"/>
            <w:vAlign w:val="center"/>
          </w:tcPr>
          <w:p w14:paraId="7108C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骆驼圈舍</w:t>
            </w:r>
          </w:p>
        </w:tc>
        <w:tc>
          <w:tcPr>
            <w:tcW w:w="1430" w:type="dxa"/>
            <w:vAlign w:val="center"/>
          </w:tcPr>
          <w:p w14:paraId="642ECBC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120</w:t>
            </w:r>
          </w:p>
        </w:tc>
        <w:tc>
          <w:tcPr>
            <w:tcW w:w="1430" w:type="dxa"/>
            <w:vAlign w:val="center"/>
          </w:tcPr>
          <w:p w14:paraId="0B35C9A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170</w:t>
            </w:r>
          </w:p>
        </w:tc>
        <w:tc>
          <w:tcPr>
            <w:tcW w:w="1641" w:type="dxa"/>
            <w:vAlign w:val="center"/>
          </w:tcPr>
          <w:p w14:paraId="5DAD46D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4.5</w:t>
            </w:r>
          </w:p>
        </w:tc>
        <w:tc>
          <w:tcPr>
            <w:tcW w:w="651" w:type="pct"/>
            <w:vAlign w:val="center"/>
          </w:tcPr>
          <w:p w14:paraId="077DB8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-2</w:t>
            </w:r>
          </w:p>
        </w:tc>
        <w:tc>
          <w:tcPr>
            <w:tcW w:w="713" w:type="pct"/>
            <w:vAlign w:val="center"/>
          </w:tcPr>
          <w:p w14:paraId="2F54F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-3</w:t>
            </w:r>
          </w:p>
        </w:tc>
      </w:tr>
      <w:tr w14:paraId="6ABD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4B2DC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w:t>
            </w:r>
          </w:p>
        </w:tc>
        <w:tc>
          <w:tcPr>
            <w:tcW w:w="619" w:type="pct"/>
            <w:vAlign w:val="center"/>
          </w:tcPr>
          <w:p w14:paraId="76211B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堆肥场</w:t>
            </w:r>
          </w:p>
        </w:tc>
        <w:tc>
          <w:tcPr>
            <w:tcW w:w="1430" w:type="dxa"/>
            <w:vAlign w:val="center"/>
          </w:tcPr>
          <w:p w14:paraId="533A5E4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65</w:t>
            </w:r>
          </w:p>
        </w:tc>
        <w:tc>
          <w:tcPr>
            <w:tcW w:w="1430" w:type="dxa"/>
            <w:vAlign w:val="center"/>
          </w:tcPr>
          <w:p w14:paraId="7043F32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40</w:t>
            </w:r>
          </w:p>
        </w:tc>
        <w:tc>
          <w:tcPr>
            <w:tcW w:w="1641" w:type="dxa"/>
            <w:vAlign w:val="center"/>
          </w:tcPr>
          <w:p w14:paraId="09E0BD3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651" w:type="pct"/>
            <w:vAlign w:val="center"/>
          </w:tcPr>
          <w:p w14:paraId="741076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olor w:val="auto"/>
                <w:kern w:val="0"/>
                <w:sz w:val="21"/>
                <w:szCs w:val="21"/>
                <w:lang w:val="en-US" w:eastAsia="zh-CN" w:bidi="ar"/>
              </w:rPr>
              <w:t>1.04</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-3</w:t>
            </w:r>
          </w:p>
        </w:tc>
        <w:tc>
          <w:tcPr>
            <w:tcW w:w="713" w:type="pct"/>
            <w:vAlign w:val="center"/>
          </w:tcPr>
          <w:p w14:paraId="42C2A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red"/>
                <w:vertAlign w:val="baseline"/>
                <w:lang w:val="en-US" w:eastAsia="zh-CN"/>
              </w:rPr>
            </w:pPr>
            <w:r>
              <w:rPr>
                <w:rFonts w:hint="eastAsia" w:ascii="Times New Roman" w:hAnsi="Times New Roman" w:eastAsia="宋体"/>
                <w:color w:val="auto"/>
                <w:kern w:val="0"/>
                <w:sz w:val="21"/>
                <w:szCs w:val="21"/>
                <w:lang w:val="en-US" w:eastAsia="zh-CN" w:bidi="ar"/>
              </w:rPr>
              <w:t>2.50</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r>
      <w:tr w14:paraId="2A03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341BF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3</w:t>
            </w:r>
          </w:p>
        </w:tc>
        <w:tc>
          <w:tcPr>
            <w:tcW w:w="619" w:type="pct"/>
            <w:vAlign w:val="center"/>
          </w:tcPr>
          <w:p w14:paraId="5E0DFF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黑膜池</w:t>
            </w:r>
          </w:p>
        </w:tc>
        <w:tc>
          <w:tcPr>
            <w:tcW w:w="1430" w:type="dxa"/>
            <w:vAlign w:val="center"/>
          </w:tcPr>
          <w:p w14:paraId="3342E8D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20</w:t>
            </w:r>
          </w:p>
        </w:tc>
        <w:tc>
          <w:tcPr>
            <w:tcW w:w="1430" w:type="dxa"/>
            <w:vAlign w:val="center"/>
          </w:tcPr>
          <w:p w14:paraId="3DC8AE2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1641" w:type="dxa"/>
            <w:vAlign w:val="center"/>
          </w:tcPr>
          <w:p w14:paraId="75F81C6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0.5</w:t>
            </w:r>
          </w:p>
        </w:tc>
        <w:tc>
          <w:tcPr>
            <w:tcW w:w="651" w:type="pct"/>
            <w:vAlign w:val="center"/>
          </w:tcPr>
          <w:p w14:paraId="4E1646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8.33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c>
          <w:tcPr>
            <w:tcW w:w="713" w:type="pct"/>
            <w:vAlign w:val="center"/>
          </w:tcPr>
          <w:p w14:paraId="42D8D6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3.23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-6</w:t>
            </w:r>
          </w:p>
        </w:tc>
      </w:tr>
    </w:tbl>
    <w:p w14:paraId="180F8F2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本项目选取主要的面源废气污染物作为等级判定的依据，其最大地面浓度占标率P</w:t>
      </w:r>
      <w:r>
        <w:rPr>
          <w:rFonts w:hint="eastAsia" w:ascii="Times New Roman" w:hAnsi="Times New Roman" w:eastAsia="宋体"/>
          <w:strike w:val="0"/>
          <w:dstrike w:val="0"/>
          <w:color w:val="auto"/>
          <w:highlight w:val="none"/>
          <w:vertAlign w:val="subscript"/>
        </w:rPr>
        <w:t>max</w:t>
      </w:r>
      <w:r>
        <w:rPr>
          <w:rFonts w:hint="eastAsia" w:ascii="Times New Roman" w:hAnsi="Times New Roman" w:eastAsia="宋体"/>
          <w:strike w:val="0"/>
          <w:dstrike w:val="0"/>
          <w:color w:val="auto"/>
          <w:highlight w:val="none"/>
        </w:rPr>
        <w:t>计算结果见表2.6-</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p>
    <w:p w14:paraId="6E45A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表2.6-4各污染物Pi计算结果</w:t>
      </w:r>
    </w:p>
    <w:tbl>
      <w:tblPr>
        <w:tblStyle w:val="183"/>
        <w:tblW w:w="50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47"/>
        <w:gridCol w:w="1994"/>
        <w:gridCol w:w="1705"/>
        <w:gridCol w:w="1420"/>
        <w:gridCol w:w="1367"/>
      </w:tblGrid>
      <w:tr w14:paraId="254A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2304" w:type="pct"/>
            <w:gridSpan w:val="2"/>
            <w:vAlign w:val="center"/>
          </w:tcPr>
          <w:p w14:paraId="29804A7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参数名称</w:t>
            </w:r>
          </w:p>
        </w:tc>
        <w:tc>
          <w:tcPr>
            <w:tcW w:w="1023" w:type="pct"/>
            <w:vAlign w:val="center"/>
          </w:tcPr>
          <w:p w14:paraId="44AC1EA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最大落地浓度</w:t>
            </w:r>
          </w:p>
        </w:tc>
        <w:tc>
          <w:tcPr>
            <w:tcW w:w="852" w:type="pct"/>
            <w:vAlign w:val="center"/>
          </w:tcPr>
          <w:p w14:paraId="2EB8F78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P</w:t>
            </w:r>
            <w:r>
              <w:rPr>
                <w:rFonts w:ascii="Times New Roman" w:hAnsi="Times New Roman" w:eastAsia="宋体" w:cs="Times New Roman"/>
                <w:strike w:val="0"/>
                <w:dstrike w:val="0"/>
                <w:color w:val="auto"/>
                <w:spacing w:val="0"/>
                <w:sz w:val="21"/>
                <w:szCs w:val="21"/>
                <w:highlight w:val="none"/>
                <w:vertAlign w:val="subscript"/>
              </w:rPr>
              <w:t>max</w:t>
            </w:r>
          </w:p>
        </w:tc>
        <w:tc>
          <w:tcPr>
            <w:tcW w:w="820" w:type="pct"/>
            <w:vAlign w:val="center"/>
          </w:tcPr>
          <w:p w14:paraId="7EE304C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最大落地点</w:t>
            </w:r>
          </w:p>
        </w:tc>
      </w:tr>
      <w:tr w14:paraId="20F1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108" w:type="pct"/>
            <w:vAlign w:val="center"/>
          </w:tcPr>
          <w:p w14:paraId="07E39A6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污染源</w:t>
            </w:r>
          </w:p>
        </w:tc>
        <w:tc>
          <w:tcPr>
            <w:tcW w:w="1196" w:type="pct"/>
            <w:vAlign w:val="center"/>
          </w:tcPr>
          <w:p w14:paraId="31DBED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污染物</w:t>
            </w:r>
          </w:p>
        </w:tc>
        <w:tc>
          <w:tcPr>
            <w:tcW w:w="1023" w:type="pct"/>
            <w:vAlign w:val="center"/>
          </w:tcPr>
          <w:p w14:paraId="5D9E572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14"/>
                <w:highlight w:val="none"/>
                <w:vertAlign w:val="superscript"/>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u</w:t>
            </w:r>
            <w:r>
              <w:rPr>
                <w:rFonts w:ascii="Times New Roman" w:hAnsi="Times New Roman" w:eastAsia="宋体" w:cs="Times New Roman"/>
                <w:strike w:val="0"/>
                <w:dstrike w:val="0"/>
                <w:color w:val="auto"/>
                <w:spacing w:val="0"/>
                <w:sz w:val="21"/>
                <w:szCs w:val="21"/>
                <w:highlight w:val="none"/>
              </w:rPr>
              <w:t>g/m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p>
        </w:tc>
        <w:tc>
          <w:tcPr>
            <w:tcW w:w="852" w:type="pct"/>
            <w:vAlign w:val="center"/>
          </w:tcPr>
          <w:p w14:paraId="418A0F1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c>
          <w:tcPr>
            <w:tcW w:w="820" w:type="pct"/>
            <w:vAlign w:val="center"/>
          </w:tcPr>
          <w:p w14:paraId="404E101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m</w:t>
            </w:r>
          </w:p>
        </w:tc>
      </w:tr>
      <w:tr w14:paraId="61E5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1108" w:type="pct"/>
            <w:vMerge w:val="restart"/>
            <w:vAlign w:val="center"/>
          </w:tcPr>
          <w:p w14:paraId="118880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骆驼圈舍无组织</w:t>
            </w:r>
          </w:p>
        </w:tc>
        <w:tc>
          <w:tcPr>
            <w:tcW w:w="1196" w:type="pct"/>
            <w:vAlign w:val="center"/>
          </w:tcPr>
          <w:p w14:paraId="3C1D81B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1705" w:type="dxa"/>
            <w:vAlign w:val="center"/>
          </w:tcPr>
          <w:p w14:paraId="371002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7.657</w:t>
            </w:r>
          </w:p>
        </w:tc>
        <w:tc>
          <w:tcPr>
            <w:tcW w:w="1420" w:type="dxa"/>
            <w:vAlign w:val="center"/>
          </w:tcPr>
          <w:p w14:paraId="578481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3.8285</w:t>
            </w:r>
          </w:p>
        </w:tc>
        <w:tc>
          <w:tcPr>
            <w:tcW w:w="820" w:type="pct"/>
            <w:vAlign w:val="center"/>
          </w:tcPr>
          <w:p w14:paraId="134EFF6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249</w:t>
            </w:r>
          </w:p>
        </w:tc>
      </w:tr>
      <w:tr w14:paraId="231C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continue"/>
            <w:vAlign w:val="center"/>
          </w:tcPr>
          <w:p w14:paraId="27790B8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196" w:type="pct"/>
            <w:vAlign w:val="center"/>
          </w:tcPr>
          <w:p w14:paraId="2EAEC24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14"/>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1705" w:type="dxa"/>
            <w:vAlign w:val="center"/>
          </w:tcPr>
          <w:p w14:paraId="735DAA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0.7657</w:t>
            </w:r>
          </w:p>
        </w:tc>
        <w:tc>
          <w:tcPr>
            <w:tcW w:w="1420" w:type="dxa"/>
            <w:vAlign w:val="center"/>
          </w:tcPr>
          <w:p w14:paraId="0D7969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7.6569998</w:t>
            </w:r>
          </w:p>
        </w:tc>
        <w:tc>
          <w:tcPr>
            <w:tcW w:w="820" w:type="pct"/>
            <w:vAlign w:val="center"/>
          </w:tcPr>
          <w:p w14:paraId="64EF7BF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249</w:t>
            </w:r>
          </w:p>
        </w:tc>
      </w:tr>
      <w:tr w14:paraId="3072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restart"/>
            <w:vAlign w:val="center"/>
          </w:tcPr>
          <w:p w14:paraId="606820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pacing w:val="0"/>
                <w:sz w:val="21"/>
                <w:highlight w:val="none"/>
                <w:lang w:val="en-US"/>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堆肥场无组织</w:t>
            </w:r>
          </w:p>
        </w:tc>
        <w:tc>
          <w:tcPr>
            <w:tcW w:w="1196" w:type="pct"/>
            <w:vAlign w:val="center"/>
          </w:tcPr>
          <w:p w14:paraId="4269E26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1705" w:type="dxa"/>
            <w:vAlign w:val="center"/>
          </w:tcPr>
          <w:p w14:paraId="028D6A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7.793</w:t>
            </w:r>
          </w:p>
        </w:tc>
        <w:tc>
          <w:tcPr>
            <w:tcW w:w="1420" w:type="dxa"/>
            <w:vAlign w:val="center"/>
          </w:tcPr>
          <w:p w14:paraId="71C789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3.8965</w:t>
            </w:r>
          </w:p>
        </w:tc>
        <w:tc>
          <w:tcPr>
            <w:tcW w:w="1367" w:type="dxa"/>
            <w:vAlign w:val="center"/>
          </w:tcPr>
          <w:p w14:paraId="4428158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72</w:t>
            </w:r>
          </w:p>
        </w:tc>
      </w:tr>
      <w:tr w14:paraId="3287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continue"/>
            <w:vAlign w:val="center"/>
          </w:tcPr>
          <w:p w14:paraId="03EF0AB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196" w:type="pct"/>
            <w:vAlign w:val="center"/>
          </w:tcPr>
          <w:p w14:paraId="52DD577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1705" w:type="dxa"/>
            <w:vAlign w:val="center"/>
          </w:tcPr>
          <w:p w14:paraId="133FEF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0.1887</w:t>
            </w:r>
          </w:p>
        </w:tc>
        <w:tc>
          <w:tcPr>
            <w:tcW w:w="1420" w:type="dxa"/>
            <w:vAlign w:val="center"/>
          </w:tcPr>
          <w:p w14:paraId="7C3851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strike w:val="0"/>
                <w:dstrike w:val="0"/>
                <w:color w:val="auto"/>
                <w:spacing w:val="0"/>
                <w:sz w:val="21"/>
                <w:szCs w:val="21"/>
                <w:highlight w:val="red"/>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1.887</w:t>
            </w:r>
          </w:p>
        </w:tc>
        <w:tc>
          <w:tcPr>
            <w:tcW w:w="1367" w:type="dxa"/>
            <w:vAlign w:val="center"/>
          </w:tcPr>
          <w:p w14:paraId="40E89C5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72</w:t>
            </w:r>
          </w:p>
        </w:tc>
      </w:tr>
      <w:tr w14:paraId="0E76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restart"/>
            <w:vAlign w:val="center"/>
          </w:tcPr>
          <w:p w14:paraId="6444D1E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黑膜池无组织</w:t>
            </w:r>
          </w:p>
        </w:tc>
        <w:tc>
          <w:tcPr>
            <w:tcW w:w="1994" w:type="dxa"/>
            <w:vAlign w:val="center"/>
          </w:tcPr>
          <w:p w14:paraId="530F756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1705" w:type="dxa"/>
            <w:vAlign w:val="center"/>
          </w:tcPr>
          <w:p w14:paraId="0C2D7C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w:t>
            </w:r>
          </w:p>
        </w:tc>
        <w:tc>
          <w:tcPr>
            <w:tcW w:w="1420" w:type="dxa"/>
            <w:vAlign w:val="center"/>
          </w:tcPr>
          <w:p w14:paraId="7127A0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w:t>
            </w:r>
          </w:p>
        </w:tc>
        <w:tc>
          <w:tcPr>
            <w:tcW w:w="820" w:type="pct"/>
            <w:vAlign w:val="center"/>
          </w:tcPr>
          <w:p w14:paraId="3D3E94C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50</w:t>
            </w:r>
          </w:p>
        </w:tc>
      </w:tr>
      <w:tr w14:paraId="360E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 w:hRule="atLeast"/>
          <w:jc w:val="center"/>
        </w:trPr>
        <w:tc>
          <w:tcPr>
            <w:tcW w:w="1108" w:type="pct"/>
            <w:vMerge w:val="continue"/>
            <w:vAlign w:val="center"/>
          </w:tcPr>
          <w:p w14:paraId="2E21F54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1994" w:type="dxa"/>
            <w:vAlign w:val="center"/>
          </w:tcPr>
          <w:p w14:paraId="412B34B6">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1705" w:type="dxa"/>
            <w:vAlign w:val="center"/>
          </w:tcPr>
          <w:p w14:paraId="12C694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0.1565</w:t>
            </w:r>
          </w:p>
        </w:tc>
        <w:tc>
          <w:tcPr>
            <w:tcW w:w="1420" w:type="dxa"/>
            <w:vAlign w:val="center"/>
          </w:tcPr>
          <w:p w14:paraId="7A4B70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1.565</w:t>
            </w:r>
          </w:p>
        </w:tc>
        <w:tc>
          <w:tcPr>
            <w:tcW w:w="820" w:type="pct"/>
            <w:vAlign w:val="center"/>
          </w:tcPr>
          <w:p w14:paraId="54D44E4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50</w:t>
            </w:r>
          </w:p>
        </w:tc>
      </w:tr>
    </w:tbl>
    <w:p w14:paraId="7D5F14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（3）确定评价等级</w:t>
      </w:r>
    </w:p>
    <w:p w14:paraId="2642ECC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根据估算结果表明，NH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最大地面空气质量浓度占标率为</w:t>
      </w:r>
      <w:r>
        <w:rPr>
          <w:rFonts w:hint="eastAsia" w:ascii="Times New Roman" w:hAnsi="Times New Roman" w:eastAsia="宋体"/>
          <w:strike w:val="0"/>
          <w:dstrike w:val="0"/>
          <w:color w:val="auto"/>
          <w:highlight w:val="none"/>
          <w:lang w:val="en-US" w:eastAsia="zh-CN"/>
        </w:rPr>
        <w:t>3.8965</w:t>
      </w:r>
      <w:r>
        <w:rPr>
          <w:rFonts w:ascii="Times New Roman" w:hAnsi="Times New Roman" w:eastAsia="宋体"/>
          <w:strike w:val="0"/>
          <w:dstrike w:val="0"/>
          <w:color w:val="auto"/>
          <w:highlight w:val="none"/>
        </w:rPr>
        <w:t>%，H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S最大地面空气质量浓度占标率为</w:t>
      </w:r>
      <w:r>
        <w:rPr>
          <w:rFonts w:hint="eastAsia" w:ascii="Times New Roman" w:hAnsi="Times New Roman" w:eastAsia="宋体"/>
          <w:strike w:val="0"/>
          <w:dstrike w:val="0"/>
          <w:color w:val="auto"/>
          <w:highlight w:val="none"/>
          <w:lang w:val="en-US" w:eastAsia="zh-CN"/>
        </w:rPr>
        <w:t>7.6569</w:t>
      </w:r>
      <w:r>
        <w:rPr>
          <w:rFonts w:ascii="Times New Roman" w:hAnsi="Times New Roman" w:eastAsia="宋体"/>
          <w:strike w:val="0"/>
          <w:dstrike w:val="0"/>
          <w:color w:val="auto"/>
          <w:highlight w:val="none"/>
        </w:rPr>
        <w:t>%，根据表</w:t>
      </w:r>
      <w:r>
        <w:rPr>
          <w:rFonts w:hint="eastAsia" w:ascii="Times New Roman" w:hAnsi="Times New Roman" w:eastAsia="宋体"/>
          <w:strike w:val="0"/>
          <w:dstrike w:val="0"/>
          <w:color w:val="auto"/>
          <w:highlight w:val="none"/>
          <w:lang w:val="en-US" w:eastAsia="zh-CN"/>
        </w:rPr>
        <w:t>2.6-1</w:t>
      </w:r>
      <w:r>
        <w:rPr>
          <w:rFonts w:ascii="Times New Roman" w:hAnsi="Times New Roman" w:eastAsia="宋体"/>
          <w:strike w:val="0"/>
          <w:dstrike w:val="0"/>
          <w:color w:val="auto"/>
          <w:highlight w:val="none"/>
        </w:rPr>
        <w:t>评价等级判别表，确定本项目大气环境评价等级为</w:t>
      </w:r>
      <w:r>
        <w:rPr>
          <w:rFonts w:hint="eastAsia" w:ascii="Times New Roman" w:hAnsi="Times New Roman" w:eastAsia="宋体"/>
          <w:strike w:val="0"/>
          <w:dstrike w:val="0"/>
          <w:color w:val="auto"/>
          <w:highlight w:val="none"/>
          <w:lang w:val="en-US" w:eastAsia="zh-CN"/>
        </w:rPr>
        <w:t>二</w:t>
      </w:r>
      <w:r>
        <w:rPr>
          <w:rFonts w:ascii="Times New Roman" w:hAnsi="Times New Roman" w:eastAsia="宋体"/>
          <w:strike w:val="0"/>
          <w:dstrike w:val="0"/>
          <w:color w:val="auto"/>
          <w:highlight w:val="none"/>
        </w:rPr>
        <w:t>级</w:t>
      </w:r>
      <w:r>
        <w:rPr>
          <w:rFonts w:hint="eastAsia" w:ascii="Times New Roman" w:hAnsi="Times New Roman" w:eastAsia="宋体"/>
          <w:strike w:val="0"/>
          <w:dstrike w:val="0"/>
          <w:color w:val="auto"/>
          <w:highlight w:val="none"/>
          <w:lang w:eastAsia="zh-CN"/>
        </w:rPr>
        <w:t>。</w:t>
      </w:r>
    </w:p>
    <w:p w14:paraId="45BA619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2.6.1.2水环境评价等级</w:t>
      </w:r>
    </w:p>
    <w:p w14:paraId="741A8C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（1）地表水</w:t>
      </w:r>
    </w:p>
    <w:p w14:paraId="15E20A6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根据《环境影响评价技术导则地表水环境》（HJ2.3-2018），地表水评价等级分级表见表2.6-</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w:t>
      </w:r>
    </w:p>
    <w:p w14:paraId="2DAE1A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表2.6-5地表水评价等级分级表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2269"/>
        <w:gridCol w:w="4445"/>
      </w:tblGrid>
      <w:tr w14:paraId="45CB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Merge w:val="restart"/>
            <w:vAlign w:val="center"/>
          </w:tcPr>
          <w:p w14:paraId="44BAD1B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评价等级</w:t>
            </w:r>
          </w:p>
        </w:tc>
        <w:tc>
          <w:tcPr>
            <w:tcW w:w="3939" w:type="pct"/>
            <w:gridSpan w:val="2"/>
            <w:vAlign w:val="center"/>
          </w:tcPr>
          <w:p w14:paraId="794A27D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判定依据</w:t>
            </w:r>
          </w:p>
        </w:tc>
      </w:tr>
      <w:tr w14:paraId="174D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Merge w:val="continue"/>
            <w:vAlign w:val="center"/>
          </w:tcPr>
          <w:p w14:paraId="7B322AD9">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1331" w:type="pct"/>
            <w:vAlign w:val="center"/>
          </w:tcPr>
          <w:p w14:paraId="2840256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排放方式</w:t>
            </w:r>
          </w:p>
        </w:tc>
        <w:tc>
          <w:tcPr>
            <w:tcW w:w="2608" w:type="pct"/>
            <w:vAlign w:val="center"/>
          </w:tcPr>
          <w:p w14:paraId="69EC011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废水排放量Q/（m</w:t>
            </w:r>
            <w:r>
              <w:rPr>
                <w:rFonts w:hint="eastAsia" w:ascii="Times New Roman" w:hAnsi="Times New Roman" w:eastAsia="宋体"/>
                <w:strike w:val="0"/>
                <w:dstrike w:val="0"/>
                <w:color w:val="auto"/>
                <w:sz w:val="21"/>
                <w:szCs w:val="21"/>
                <w:highlight w:val="none"/>
                <w:vertAlign w:val="superscript"/>
              </w:rPr>
              <w:t>3/</w:t>
            </w:r>
            <w:r>
              <w:rPr>
                <w:rFonts w:hint="eastAsia" w:ascii="Times New Roman" w:hAnsi="Times New Roman" w:eastAsia="宋体"/>
                <w:strike w:val="0"/>
                <w:dstrike w:val="0"/>
                <w:color w:val="auto"/>
                <w:sz w:val="21"/>
                <w:szCs w:val="21"/>
                <w:highlight w:val="none"/>
              </w:rPr>
              <w:t>d）；</w:t>
            </w:r>
          </w:p>
          <w:p w14:paraId="19D309F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水污染物当量数W/（量纲一）</w:t>
            </w:r>
          </w:p>
        </w:tc>
      </w:tr>
      <w:tr w14:paraId="7EBCA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1DCC424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1331" w:type="pct"/>
            <w:vAlign w:val="center"/>
          </w:tcPr>
          <w:p w14:paraId="1002E61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直接排放</w:t>
            </w:r>
          </w:p>
        </w:tc>
        <w:tc>
          <w:tcPr>
            <w:tcW w:w="2608" w:type="pct"/>
            <w:vAlign w:val="center"/>
          </w:tcPr>
          <w:p w14:paraId="5E13F8F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Q≥20000或W≥600000</w:t>
            </w:r>
          </w:p>
        </w:tc>
      </w:tr>
      <w:tr w14:paraId="29F4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656AF3A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1331" w:type="pct"/>
            <w:vAlign w:val="center"/>
          </w:tcPr>
          <w:p w14:paraId="01BA3E4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直接排放</w:t>
            </w:r>
          </w:p>
        </w:tc>
        <w:tc>
          <w:tcPr>
            <w:tcW w:w="2608" w:type="pct"/>
            <w:vAlign w:val="center"/>
          </w:tcPr>
          <w:p w14:paraId="32F6B68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其他</w:t>
            </w:r>
          </w:p>
        </w:tc>
      </w:tr>
      <w:tr w14:paraId="31AC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42562E2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三级A</w:t>
            </w:r>
          </w:p>
        </w:tc>
        <w:tc>
          <w:tcPr>
            <w:tcW w:w="1331" w:type="pct"/>
            <w:vAlign w:val="center"/>
          </w:tcPr>
          <w:p w14:paraId="0FD4767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直接排放</w:t>
            </w:r>
          </w:p>
        </w:tc>
        <w:tc>
          <w:tcPr>
            <w:tcW w:w="2608" w:type="pct"/>
            <w:vAlign w:val="center"/>
          </w:tcPr>
          <w:p w14:paraId="3215DC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Q＜200且W＜6000</w:t>
            </w:r>
          </w:p>
        </w:tc>
      </w:tr>
      <w:tr w14:paraId="6F65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1" w:type="pct"/>
            <w:vAlign w:val="center"/>
          </w:tcPr>
          <w:p w14:paraId="2B7E999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三级B</w:t>
            </w:r>
          </w:p>
        </w:tc>
        <w:tc>
          <w:tcPr>
            <w:tcW w:w="1331" w:type="pct"/>
            <w:vAlign w:val="center"/>
          </w:tcPr>
          <w:p w14:paraId="5DA3888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间接排放</w:t>
            </w:r>
          </w:p>
        </w:tc>
        <w:tc>
          <w:tcPr>
            <w:tcW w:w="2608" w:type="pct"/>
            <w:vAlign w:val="center"/>
          </w:tcPr>
          <w:p w14:paraId="2104C66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4B85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14:paraId="3B06FD34">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注：建设项目生产工艺中有废水产生，但作为回水利用，不排放到外环境的，按三级B评价</w:t>
            </w:r>
          </w:p>
        </w:tc>
      </w:tr>
    </w:tbl>
    <w:p w14:paraId="6CEE5A2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本项目生活污水和生产废水经黑膜池发酵处理后用于项目区周边林带施肥</w:t>
      </w:r>
      <w:r>
        <w:rPr>
          <w:rFonts w:ascii="Times New Roman" w:hAnsi="Times New Roman" w:eastAsia="宋体"/>
          <w:strike w:val="0"/>
          <w:dstrike w:val="0"/>
          <w:color w:val="auto"/>
          <w:highlight w:val="none"/>
        </w:rPr>
        <w:t>；与地表水体不发生水力联系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因此判定本项目地面水环境影响评价工作等级为三级B</w:t>
      </w:r>
      <w:r>
        <w:rPr>
          <w:rFonts w:hint="eastAsia" w:ascii="Times New Roman" w:hAnsi="Times New Roman" w:eastAsia="宋体"/>
          <w:strike w:val="0"/>
          <w:dstrike w:val="0"/>
          <w:color w:val="auto"/>
          <w:highlight w:val="none"/>
          <w:lang w:eastAsia="zh-CN"/>
        </w:rPr>
        <w:t>。</w:t>
      </w:r>
    </w:p>
    <w:p w14:paraId="246339C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参照《环境影响评价技术导则地表水环境》（HJ2.3-2018）中地表水环境影响评价范围要求，根据评价等级、工程特点、影响方式及程度、地表水环境质量管理要求等确定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项目运营期间生活污水、生产废水不外排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w:t>
      </w:r>
      <w:r>
        <w:rPr>
          <w:rFonts w:hint="eastAsia" w:ascii="Times New Roman" w:hAnsi="Times New Roman" w:eastAsia="宋体"/>
          <w:strike w:val="0"/>
          <w:dstrike w:val="0"/>
          <w:color w:val="auto"/>
          <w:highlight w:val="none"/>
          <w:lang w:val="en-US" w:eastAsia="zh-CN"/>
        </w:rPr>
        <w:t>根据</w:t>
      </w:r>
      <w:r>
        <w:rPr>
          <w:rFonts w:hint="eastAsia" w:ascii="Times New Roman" w:hAnsi="Times New Roman" w:eastAsia="宋体"/>
          <w:strike w:val="0"/>
          <w:dstrike w:val="0"/>
          <w:color w:val="auto"/>
          <w:highlight w:val="none"/>
        </w:rPr>
        <w:t>，本项目地表水评价不设评价范围，重点分析项目生产废水、生活污水的处理及去向等的可行性</w:t>
      </w:r>
      <w:r>
        <w:rPr>
          <w:rFonts w:hint="eastAsia" w:ascii="Times New Roman" w:hAnsi="Times New Roman" w:eastAsia="宋体"/>
          <w:strike w:val="0"/>
          <w:dstrike w:val="0"/>
          <w:color w:val="auto"/>
          <w:highlight w:val="none"/>
          <w:lang w:eastAsia="zh-CN"/>
        </w:rPr>
        <w:t>。</w:t>
      </w:r>
    </w:p>
    <w:p w14:paraId="6EEC6B1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（2）地下水</w:t>
      </w:r>
    </w:p>
    <w:p w14:paraId="010C2D1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根据《环境影响技术评价技术导则地下水环境》（HJ610-2016）附录A地下水环境影响评价行业分类表，本项目属于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B、农、林、牧、渔、海洋——14、畜禽养殖场、养殖小区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的养殖项目，表中“年出栏生猪5000头（其他畜禽种类折合猪的养殖规模）及以上”</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因此</w:t>
      </w:r>
      <w:r>
        <w:rPr>
          <w:rFonts w:hint="eastAsia" w:ascii="Times New Roman" w:hAnsi="Times New Roman" w:eastAsia="宋体"/>
          <w:strike w:val="0"/>
          <w:dstrike w:val="0"/>
          <w:color w:val="auto"/>
          <w:highlight w:val="none"/>
        </w:rPr>
        <w:t>本项目属于Ⅲ类项目</w:t>
      </w:r>
      <w:r>
        <w:rPr>
          <w:rFonts w:hint="eastAsia" w:ascii="Times New Roman" w:hAnsi="Times New Roman" w:eastAsia="宋体"/>
          <w:strike w:val="0"/>
          <w:dstrike w:val="0"/>
          <w:color w:val="auto"/>
          <w:highlight w:val="none"/>
          <w:lang w:eastAsia="zh-CN"/>
        </w:rPr>
        <w:t>。</w:t>
      </w:r>
    </w:p>
    <w:p w14:paraId="1B53339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根据《环境影响技术评价技术导则地下水环境》（HJ610-2016）中6.2表1地下水环境敏感程度分级表，地下水环境敏感程度分级表见表2.6-</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w:t>
      </w:r>
    </w:p>
    <w:p w14:paraId="2211F0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表2.6-6地下水环境敏感程度分级表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80"/>
      </w:tblGrid>
      <w:tr w14:paraId="1414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42" w:type="dxa"/>
            <w:vAlign w:val="center"/>
          </w:tcPr>
          <w:p w14:paraId="58FADF0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敏感程度</w:t>
            </w:r>
          </w:p>
        </w:tc>
        <w:tc>
          <w:tcPr>
            <w:tcW w:w="7280" w:type="dxa"/>
            <w:vAlign w:val="center"/>
          </w:tcPr>
          <w:p w14:paraId="29B1730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地下水环境敏感特征</w:t>
            </w:r>
          </w:p>
        </w:tc>
      </w:tr>
      <w:tr w14:paraId="6CF4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97A7A2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7280" w:type="dxa"/>
            <w:vAlign w:val="center"/>
          </w:tcPr>
          <w:p w14:paraId="6793940C">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r>
              <w:rPr>
                <w:rFonts w:hint="eastAsia" w:ascii="Times New Roman" w:hAnsi="Times New Roman" w:eastAsia="宋体"/>
                <w:strike w:val="0"/>
                <w:dstrike w:val="0"/>
                <w:color w:val="auto"/>
                <w:sz w:val="21"/>
                <w:szCs w:val="21"/>
                <w:highlight w:val="none"/>
                <w:lang w:eastAsia="zh-CN"/>
              </w:rPr>
              <w:t>。</w:t>
            </w:r>
          </w:p>
        </w:tc>
      </w:tr>
      <w:tr w14:paraId="790E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1376A7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7280" w:type="dxa"/>
            <w:vAlign w:val="center"/>
          </w:tcPr>
          <w:p w14:paraId="3D341806">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集中式饮用水水源（包括已建成的在用、备用、应急水源，在建和规划的饮用水水源）准保护区以外的补给径流区；未划定准保护区的集中水式饮用水水源，其保护区以外的补给径流区；分散式饮用水水源地；特殊地下水资源（如矿泉水、温泉等）保护区以外的分布区等其他未列入上述敏感分级的环境敏感区</w:t>
            </w:r>
            <w:r>
              <w:rPr>
                <w:rFonts w:hint="eastAsia" w:ascii="Times New Roman" w:hAnsi="Times New Roman" w:eastAsia="宋体"/>
                <w:strike w:val="0"/>
                <w:dstrike w:val="0"/>
                <w:color w:val="auto"/>
                <w:sz w:val="21"/>
                <w:szCs w:val="21"/>
                <w:highlight w:val="none"/>
                <w:lang w:eastAsia="zh-CN"/>
              </w:rPr>
              <w:t>。</w:t>
            </w:r>
          </w:p>
        </w:tc>
      </w:tr>
      <w:tr w14:paraId="4300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Align w:val="center"/>
          </w:tcPr>
          <w:p w14:paraId="1E723B2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7280" w:type="dxa"/>
            <w:vAlign w:val="center"/>
          </w:tcPr>
          <w:p w14:paraId="08469A2A">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上述地区之外的其它地区</w:t>
            </w:r>
            <w:r>
              <w:rPr>
                <w:rFonts w:hint="eastAsia" w:ascii="Times New Roman" w:hAnsi="Times New Roman" w:eastAsia="宋体"/>
                <w:strike w:val="0"/>
                <w:dstrike w:val="0"/>
                <w:color w:val="auto"/>
                <w:sz w:val="21"/>
                <w:szCs w:val="21"/>
                <w:highlight w:val="none"/>
                <w:lang w:eastAsia="zh-CN"/>
              </w:rPr>
              <w:t>。</w:t>
            </w:r>
          </w:p>
        </w:tc>
      </w:tr>
      <w:tr w14:paraId="3AC55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vAlign w:val="center"/>
          </w:tcPr>
          <w:p w14:paraId="2F0B7D69">
            <w:pPr>
              <w:spacing w:line="240" w:lineRule="auto"/>
              <w:ind w:firstLine="0" w:firstLineChars="0"/>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注：a</w:t>
            </w:r>
            <w:r>
              <w:rPr>
                <w:rFonts w:hint="eastAsia" w:ascii="Times New Roman" w:hAnsi="Times New Roman" w:eastAsia="宋体"/>
                <w:strike w:val="0"/>
                <w:dstrike w:val="0"/>
                <w:color w:val="auto"/>
                <w:sz w:val="21"/>
                <w:szCs w:val="21"/>
                <w:highlight w:val="none"/>
                <w:lang w:eastAsia="zh-CN"/>
              </w:rPr>
              <w:t>. “</w:t>
            </w:r>
            <w:r>
              <w:rPr>
                <w:rFonts w:hint="eastAsia" w:ascii="Times New Roman" w:hAnsi="Times New Roman" w:eastAsia="宋体"/>
                <w:strike w:val="0"/>
                <w:dstrike w:val="0"/>
                <w:color w:val="auto"/>
                <w:sz w:val="21"/>
                <w:szCs w:val="21"/>
                <w:highlight w:val="none"/>
              </w:rPr>
              <w:t>环境敏感区</w:t>
            </w:r>
            <w:r>
              <w:rPr>
                <w:rFonts w:hint="eastAsia" w:ascii="Times New Roman" w:hAnsi="Times New Roman" w:eastAsia="宋体"/>
                <w:strike w:val="0"/>
                <w:dstrike w:val="0"/>
                <w:color w:val="auto"/>
                <w:sz w:val="21"/>
                <w:szCs w:val="21"/>
                <w:highlight w:val="none"/>
                <w:lang w:eastAsia="zh-CN"/>
              </w:rPr>
              <w:t>”</w:t>
            </w:r>
            <w:r>
              <w:rPr>
                <w:rFonts w:hint="eastAsia" w:ascii="Times New Roman" w:hAnsi="Times New Roman" w:eastAsia="宋体"/>
                <w:strike w:val="0"/>
                <w:dstrike w:val="0"/>
                <w:color w:val="auto"/>
                <w:sz w:val="21"/>
                <w:szCs w:val="21"/>
                <w:highlight w:val="none"/>
              </w:rPr>
              <w:t>是指《建设项目环境影响评价分类管理名录》中所界定的涉及地下水的环境敏感区</w:t>
            </w:r>
            <w:r>
              <w:rPr>
                <w:rFonts w:hint="eastAsia" w:ascii="Times New Roman" w:hAnsi="Times New Roman" w:eastAsia="宋体"/>
                <w:strike w:val="0"/>
                <w:dstrike w:val="0"/>
                <w:color w:val="auto"/>
                <w:sz w:val="21"/>
                <w:szCs w:val="21"/>
                <w:highlight w:val="none"/>
                <w:lang w:eastAsia="zh-CN"/>
              </w:rPr>
              <w:t>。</w:t>
            </w:r>
          </w:p>
        </w:tc>
      </w:tr>
    </w:tbl>
    <w:p w14:paraId="11EB40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地下水评价工作等级分级表见表2.6-</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55ED99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表2.6-7评价工作等级分级表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941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tcBorders>
              <w:tl2br w:val="single" w:color="auto" w:sz="4" w:space="0"/>
            </w:tcBorders>
            <w:vAlign w:val="center"/>
          </w:tcPr>
          <w:p w14:paraId="2E27F1BD">
            <w:pPr>
              <w:spacing w:line="240" w:lineRule="auto"/>
              <w:ind w:firstLine="0" w:firstLineChars="0"/>
              <w:jc w:val="right"/>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项目类别</w:t>
            </w:r>
          </w:p>
          <w:p w14:paraId="209A25D5">
            <w:pPr>
              <w:spacing w:line="240" w:lineRule="auto"/>
              <w:ind w:firstLine="0" w:firstLineChars="0"/>
              <w:jc w:val="left"/>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环境敏感程度</w:t>
            </w:r>
          </w:p>
        </w:tc>
        <w:tc>
          <w:tcPr>
            <w:tcW w:w="2130" w:type="dxa"/>
            <w:vAlign w:val="center"/>
          </w:tcPr>
          <w:p w14:paraId="6EAD781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Ⅰ类项目</w:t>
            </w:r>
          </w:p>
        </w:tc>
        <w:tc>
          <w:tcPr>
            <w:tcW w:w="2131" w:type="dxa"/>
            <w:vAlign w:val="center"/>
          </w:tcPr>
          <w:p w14:paraId="789DC1B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Ⅱ类项目</w:t>
            </w:r>
          </w:p>
        </w:tc>
        <w:tc>
          <w:tcPr>
            <w:tcW w:w="2131" w:type="dxa"/>
            <w:vAlign w:val="center"/>
          </w:tcPr>
          <w:p w14:paraId="5690EAE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Ⅲ类项目</w:t>
            </w:r>
          </w:p>
        </w:tc>
      </w:tr>
      <w:tr w14:paraId="010F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017162E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2130" w:type="dxa"/>
            <w:vAlign w:val="center"/>
          </w:tcPr>
          <w:p w14:paraId="2EB0773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w:t>
            </w:r>
          </w:p>
        </w:tc>
        <w:tc>
          <w:tcPr>
            <w:tcW w:w="2131" w:type="dxa"/>
            <w:vAlign w:val="center"/>
          </w:tcPr>
          <w:p w14:paraId="21E7F0C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w:t>
            </w:r>
          </w:p>
        </w:tc>
        <w:tc>
          <w:tcPr>
            <w:tcW w:w="2131" w:type="dxa"/>
            <w:vAlign w:val="center"/>
          </w:tcPr>
          <w:p w14:paraId="7C13278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w:t>
            </w:r>
          </w:p>
        </w:tc>
      </w:tr>
      <w:tr w14:paraId="5B58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5708B0C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2130" w:type="dxa"/>
            <w:vAlign w:val="center"/>
          </w:tcPr>
          <w:p w14:paraId="43D4BAE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w:t>
            </w:r>
          </w:p>
        </w:tc>
        <w:tc>
          <w:tcPr>
            <w:tcW w:w="2131" w:type="dxa"/>
            <w:vAlign w:val="center"/>
          </w:tcPr>
          <w:p w14:paraId="4079D78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w:t>
            </w:r>
          </w:p>
        </w:tc>
        <w:tc>
          <w:tcPr>
            <w:tcW w:w="2131" w:type="dxa"/>
            <w:vAlign w:val="center"/>
          </w:tcPr>
          <w:p w14:paraId="2D7DBAC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w:t>
            </w:r>
          </w:p>
        </w:tc>
      </w:tr>
      <w:tr w14:paraId="737C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29E7CC2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2130" w:type="dxa"/>
            <w:vAlign w:val="center"/>
          </w:tcPr>
          <w:p w14:paraId="02FBC2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w:t>
            </w:r>
          </w:p>
        </w:tc>
        <w:tc>
          <w:tcPr>
            <w:tcW w:w="2131" w:type="dxa"/>
            <w:vAlign w:val="center"/>
          </w:tcPr>
          <w:p w14:paraId="36B138E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w:t>
            </w:r>
          </w:p>
        </w:tc>
        <w:tc>
          <w:tcPr>
            <w:tcW w:w="2131" w:type="dxa"/>
            <w:vAlign w:val="center"/>
          </w:tcPr>
          <w:p w14:paraId="1CCC911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w:t>
            </w:r>
          </w:p>
        </w:tc>
      </w:tr>
    </w:tbl>
    <w:p w14:paraId="2BB185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w:t>
      </w:r>
      <w:r>
        <w:rPr>
          <w:rFonts w:hint="eastAsia" w:ascii="Times New Roman" w:hAnsi="Times New Roman" w:eastAsia="宋体"/>
          <w:strike w:val="0"/>
          <w:dstrike w:val="0"/>
          <w:color w:val="auto"/>
          <w:highlight w:val="none"/>
          <w:lang w:val="en-US" w:eastAsia="zh-CN"/>
        </w:rPr>
        <w:t>项目</w:t>
      </w:r>
      <w:r>
        <w:rPr>
          <w:rFonts w:hint="eastAsia" w:ascii="Times New Roman" w:hAnsi="Times New Roman" w:eastAsia="宋体"/>
          <w:strike w:val="0"/>
          <w:dstrike w:val="0"/>
          <w:color w:val="auto"/>
          <w:highlight w:val="none"/>
        </w:rPr>
        <w:t>不在集中式饮用水水源（包括已建成的在用、备用、应急水源，在建和规划的饮用水水源）准保护区；除集中式饮用水水源以外的国家或地方政府设定的与地下水环境相关的其它保护区，如热水、矿泉水、温泉等特殊地下水资源保护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不在未划定准保护区的集中水式饮用水水源，其保护区以外的补给径流区；分散式饮用水水源地；特殊地下水资源（如矿泉水、温泉等）保护区以外的分布区等其他未列入上述敏感分级的环境敏感区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本项目地下水环境为不敏感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根据《环境影响技术评价技术导则地下水环境》（HJ610-2016）确定本项目评价工作等级为三级</w:t>
      </w:r>
      <w:r>
        <w:rPr>
          <w:rFonts w:hint="eastAsia" w:ascii="Times New Roman" w:hAnsi="Times New Roman" w:eastAsia="宋体"/>
          <w:strike w:val="0"/>
          <w:dstrike w:val="0"/>
          <w:color w:val="auto"/>
          <w:highlight w:val="none"/>
          <w:lang w:eastAsia="zh-CN"/>
        </w:rPr>
        <w:t>。</w:t>
      </w:r>
    </w:p>
    <w:p w14:paraId="6DA45258">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2.6.1.3声环境评价等级</w:t>
      </w:r>
    </w:p>
    <w:p w14:paraId="48C3228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根据《环境影响评价技术导则声环境》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HJ2.4-2021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规定，声环境影响评价工作等级一般分为三级，一级为详细评价，二级为一般性评价，三级为简要评价</w:t>
      </w:r>
      <w:r>
        <w:rPr>
          <w:rFonts w:hint="eastAsia" w:ascii="Times New Roman" w:hAnsi="Times New Roman" w:eastAsia="宋体"/>
          <w:strike w:val="0"/>
          <w:dstrike w:val="0"/>
          <w:color w:val="auto"/>
          <w:highlight w:val="none"/>
          <w:lang w:eastAsia="zh-CN"/>
        </w:rPr>
        <w:t>。</w:t>
      </w:r>
    </w:p>
    <w:p w14:paraId="094DA1C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建设项目所处的声环境功能区为GB3096规定的1类、2类地区，或建设项目建设前后评价范围内敏感目标噪声级增高量达3~5dB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[含5dB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]，或受影响人口数量增加较多时，按二级评价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评价范围内有适用于GB3096规定的0类声环境功能区域，或建设项目建设前后评价范围内声环境保护目标噪声级增量达5dB（A）以上（不含5dB（A）），或受影响人口数量显著增加时，按一级评价</w:t>
      </w:r>
      <w:r>
        <w:rPr>
          <w:rFonts w:hint="eastAsia" w:ascii="Times New Roman" w:hAnsi="Times New Roman" w:eastAsia="宋体"/>
          <w:strike w:val="0"/>
          <w:dstrike w:val="0"/>
          <w:color w:val="auto"/>
          <w:highlight w:val="none"/>
          <w:lang w:eastAsia="zh-CN"/>
        </w:rPr>
        <w:t>。</w:t>
      </w:r>
    </w:p>
    <w:p w14:paraId="013AB7E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建设项目所处的声环境功能区为</w:t>
      </w:r>
      <w:r>
        <w:rPr>
          <w:rFonts w:ascii="Times New Roman" w:hAnsi="Times New Roman" w:eastAsia="宋体"/>
          <w:strike w:val="0"/>
          <w:dstrike w:val="0"/>
          <w:color w:val="auto"/>
          <w:highlight w:val="none"/>
        </w:rPr>
        <w:t>GB3096</w:t>
      </w:r>
      <w:r>
        <w:rPr>
          <w:rFonts w:hint="eastAsia" w:ascii="Times New Roman" w:hAnsi="Times New Roman" w:eastAsia="宋体"/>
          <w:strike w:val="0"/>
          <w:dstrike w:val="0"/>
          <w:color w:val="auto"/>
          <w:highlight w:val="none"/>
        </w:rPr>
        <w:t>规定的</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rPr>
        <w:t>类、</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rPr>
        <w:t>类地区，或建设项目建设前后评价范围内声环境保护目标噪声级增量达</w:t>
      </w:r>
      <w:r>
        <w:rPr>
          <w:rFonts w:ascii="Times New Roman" w:hAnsi="Times New Roman" w:eastAsia="宋体"/>
          <w:strike w:val="0"/>
          <w:dstrike w:val="0"/>
          <w:color w:val="auto"/>
          <w:highlight w:val="none"/>
        </w:rPr>
        <w:t>3dB</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rPr>
        <w:t>）</w:t>
      </w:r>
      <w:r>
        <w:rPr>
          <w:rFonts w:hint="eastAsia" w:ascii="Times New Roman" w:hAnsi="Times New Roman" w:eastAsia="宋体" w:cs="微软雅黑"/>
          <w:strike w:val="0"/>
          <w:dstrike w:val="0"/>
          <w:color w:val="auto"/>
          <w:highlight w:val="none"/>
        </w:rPr>
        <w:t>〜</w:t>
      </w:r>
      <w:r>
        <w:rPr>
          <w:rFonts w:ascii="Times New Roman" w:hAnsi="Times New Roman" w:eastAsia="宋体"/>
          <w:strike w:val="0"/>
          <w:dstrike w:val="0"/>
          <w:color w:val="auto"/>
          <w:highlight w:val="none"/>
        </w:rPr>
        <w:t>5dB</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rPr>
        <w:t>），或受噪声影响人口数量增加较多时，按二级评价</w:t>
      </w:r>
      <w:r>
        <w:rPr>
          <w:rFonts w:hint="eastAsia" w:ascii="Times New Roman" w:hAnsi="Times New Roman" w:eastAsia="宋体"/>
          <w:strike w:val="0"/>
          <w:dstrike w:val="0"/>
          <w:color w:val="auto"/>
          <w:highlight w:val="none"/>
          <w:lang w:eastAsia="zh-CN"/>
        </w:rPr>
        <w:t>。</w:t>
      </w:r>
    </w:p>
    <w:p w14:paraId="77D9F9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建设项目所处的声环境功能区为GB3096规定的3类、4类地区，或建设项目建设前后评价范围内声环境保护目标噪声级增量在3dB（A）以下（不含3dB（A）），且受影响人口数量变化不大时，按三级评价</w:t>
      </w:r>
      <w:r>
        <w:rPr>
          <w:rFonts w:hint="eastAsia" w:ascii="Times New Roman" w:hAnsi="Times New Roman" w:eastAsia="宋体"/>
          <w:strike w:val="0"/>
          <w:dstrike w:val="0"/>
          <w:color w:val="auto"/>
          <w:highlight w:val="none"/>
          <w:lang w:eastAsia="zh-CN"/>
        </w:rPr>
        <w:t>。</w:t>
      </w:r>
    </w:p>
    <w:p w14:paraId="06439B5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在确定评价等级时，如果建设项目符合两个等级的划分原则，按较高等级评价</w:t>
      </w:r>
      <w:r>
        <w:rPr>
          <w:rFonts w:hint="eastAsia" w:ascii="Times New Roman" w:hAnsi="Times New Roman" w:eastAsia="宋体"/>
          <w:strike w:val="0"/>
          <w:dstrike w:val="0"/>
          <w:color w:val="auto"/>
          <w:highlight w:val="none"/>
          <w:lang w:eastAsia="zh-CN"/>
        </w:rPr>
        <w:t>。</w:t>
      </w:r>
    </w:p>
    <w:p w14:paraId="1FB6A82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机场建设项目航空器噪声影响评价等级为一级</w:t>
      </w:r>
      <w:r>
        <w:rPr>
          <w:rFonts w:hint="eastAsia" w:ascii="Times New Roman" w:hAnsi="Times New Roman" w:eastAsia="宋体"/>
          <w:strike w:val="0"/>
          <w:dstrike w:val="0"/>
          <w:color w:val="auto"/>
          <w:highlight w:val="none"/>
          <w:lang w:eastAsia="zh-CN"/>
        </w:rPr>
        <w:t>。</w:t>
      </w:r>
    </w:p>
    <w:p w14:paraId="41B22C1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根据《声环境质量标准》（GB3096-2008）声环境功能区分类，本项目所在地为声环境功能区</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类地区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根据《环境影响评价技术导则声环境》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HJ2.4-2021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规定，确定声环境评价工作等级为二级评价</w:t>
      </w:r>
      <w:r>
        <w:rPr>
          <w:rFonts w:hint="eastAsia" w:ascii="Times New Roman" w:hAnsi="Times New Roman" w:eastAsia="宋体"/>
          <w:strike w:val="0"/>
          <w:dstrike w:val="0"/>
          <w:color w:val="auto"/>
          <w:highlight w:val="none"/>
          <w:lang w:eastAsia="zh-CN"/>
        </w:rPr>
        <w:t>。</w:t>
      </w:r>
    </w:p>
    <w:p w14:paraId="797082EA">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2.6.1.4土壤环境评价等级</w:t>
      </w:r>
    </w:p>
    <w:p w14:paraId="5308D2D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根据《环境影响评价技术导则土壤环境（试行）》（HJ964-2018）评价工作分级规定，项目属于污染影响型，根据污染影响型建设项目类别判定评价等级</w:t>
      </w:r>
      <w:r>
        <w:rPr>
          <w:rFonts w:hint="eastAsia" w:ascii="Times New Roman" w:hAnsi="Times New Roman" w:eastAsia="宋体"/>
          <w:strike w:val="0"/>
          <w:dstrike w:val="0"/>
          <w:color w:val="auto"/>
          <w:highlight w:val="none"/>
          <w:lang w:eastAsia="zh-CN"/>
        </w:rPr>
        <w:t>。</w:t>
      </w:r>
    </w:p>
    <w:p w14:paraId="63F78AF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项目占地面积约</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，约为</w:t>
      </w:r>
      <w:r>
        <w:rPr>
          <w:rFonts w:hint="eastAsia" w:ascii="Times New Roman" w:hAnsi="Times New Roman" w:eastAsia="宋体"/>
          <w:strike w:val="0"/>
          <w:dstrike w:val="0"/>
          <w:color w:val="auto"/>
          <w:highlight w:val="none"/>
          <w:lang w:val="en-US" w:eastAsia="zh-CN"/>
        </w:rPr>
        <w:t>13.48</w:t>
      </w:r>
      <w:r>
        <w:rPr>
          <w:rFonts w:hint="eastAsia" w:ascii="Times New Roman" w:hAnsi="Times New Roman" w:eastAsia="宋体"/>
          <w:strike w:val="0"/>
          <w:dstrike w:val="0"/>
          <w:color w:val="auto"/>
          <w:highlight w:val="none"/>
        </w:rPr>
        <w:t>hm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，占地规模为</w:t>
      </w:r>
      <w:r>
        <w:rPr>
          <w:rFonts w:hint="eastAsia" w:ascii="Times New Roman" w:hAnsi="Times New Roman" w:eastAsia="宋体"/>
          <w:strike w:val="0"/>
          <w:dstrike w:val="0"/>
          <w:color w:val="auto"/>
          <w:highlight w:val="none"/>
          <w:lang w:val="en-US" w:eastAsia="zh-CN"/>
        </w:rPr>
        <w:t>中</w:t>
      </w:r>
      <w:r>
        <w:rPr>
          <w:rFonts w:hint="eastAsia" w:ascii="Times New Roman" w:hAnsi="Times New Roman" w:eastAsia="宋体"/>
          <w:strike w:val="0"/>
          <w:dstrike w:val="0"/>
          <w:color w:val="auto"/>
          <w:highlight w:val="none"/>
        </w:rPr>
        <w:t>型（5</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hm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根据《环境影响评价技术导则土壤环境（试行）》（HJ964-2018）附录A土壤环境影响评价项目类别，本项目属于</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农林牧渔业——年出栏生猪5000头（其他畜禽种类折合猪的养殖规模）及以上</w:t>
      </w:r>
      <w:r>
        <w:rPr>
          <w:rFonts w:hint="eastAsia" w:ascii="Times New Roman" w:hAnsi="Times New Roman" w:eastAsia="宋体"/>
          <w:strike w:val="0"/>
          <w:dstrike w:val="0"/>
          <w:color w:val="auto"/>
          <w:highlight w:val="none"/>
          <w:lang w:val="en-US" w:eastAsia="zh-CN"/>
        </w:rPr>
        <w:t>的畜禽养殖场或养殖小区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，项目类别为</w:t>
      </w:r>
      <w:r>
        <w:rPr>
          <w:rFonts w:hint="eastAsia" w:ascii="Times New Roman" w:hAnsi="Times New Roman" w:eastAsia="宋体"/>
          <w:strike w:val="0"/>
          <w:dstrike w:val="0"/>
          <w:color w:val="auto"/>
          <w:highlight w:val="none"/>
          <w:lang w:val="en-US" w:eastAsia="zh-CN"/>
        </w:rPr>
        <w:t>Ⅲ</w:t>
      </w:r>
      <w:r>
        <w:rPr>
          <w:rFonts w:hint="eastAsia" w:ascii="Times New Roman" w:hAnsi="Times New Roman" w:eastAsia="宋体"/>
          <w:strike w:val="0"/>
          <w:dstrike w:val="0"/>
          <w:color w:val="auto"/>
          <w:highlight w:val="none"/>
        </w:rPr>
        <w:t>类</w:t>
      </w:r>
      <w:r>
        <w:rPr>
          <w:rFonts w:hint="eastAsia" w:ascii="Times New Roman" w:hAnsi="Times New Roman" w:eastAsia="宋体"/>
          <w:strike w:val="0"/>
          <w:dstrike w:val="0"/>
          <w:color w:val="auto"/>
          <w:highlight w:val="none"/>
          <w:lang w:eastAsia="zh-CN"/>
        </w:rPr>
        <w:t>。</w:t>
      </w:r>
    </w:p>
    <w:p w14:paraId="650ECEF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建设项目所在地周边的土壤环境敏感程度分为敏感、较敏感、不敏感，判别依据见表</w:t>
      </w:r>
      <w:r>
        <w:rPr>
          <w:rFonts w:ascii="Times New Roman" w:hAnsi="Times New Roman" w:eastAsia="宋体"/>
          <w:strike w:val="0"/>
          <w:dstrike w:val="0"/>
          <w:color w:val="auto"/>
          <w:highlight w:val="none"/>
        </w:rPr>
        <w:t>2.6</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所示</w:t>
      </w:r>
      <w:r>
        <w:rPr>
          <w:rFonts w:hint="eastAsia" w:ascii="Times New Roman" w:hAnsi="Times New Roman" w:eastAsia="宋体"/>
          <w:strike w:val="0"/>
          <w:dstrike w:val="0"/>
          <w:color w:val="auto"/>
          <w:highlight w:val="none"/>
          <w:lang w:eastAsia="zh-CN"/>
        </w:rPr>
        <w:t>。</w:t>
      </w:r>
    </w:p>
    <w:p w14:paraId="07BFC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表2.6-8污染影响性敏感程度分级表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80"/>
      </w:tblGrid>
      <w:tr w14:paraId="6A4A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Align w:val="center"/>
          </w:tcPr>
          <w:p w14:paraId="2FC370D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敏感程度</w:t>
            </w:r>
          </w:p>
        </w:tc>
        <w:tc>
          <w:tcPr>
            <w:tcW w:w="7280" w:type="dxa"/>
            <w:vAlign w:val="center"/>
          </w:tcPr>
          <w:p w14:paraId="6B31913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判别依据</w:t>
            </w:r>
          </w:p>
        </w:tc>
      </w:tr>
      <w:tr w14:paraId="4F72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AFA065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7280" w:type="dxa"/>
            <w:vAlign w:val="center"/>
          </w:tcPr>
          <w:p w14:paraId="33E90B17">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建设项目周边存在耕地、园地、牧草地、饮用水源地或居民区、学校、医院、疗养院、养老院等土壤环境敏感目标的</w:t>
            </w:r>
          </w:p>
        </w:tc>
      </w:tr>
      <w:tr w14:paraId="4797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A98194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7280" w:type="dxa"/>
            <w:vAlign w:val="center"/>
          </w:tcPr>
          <w:p w14:paraId="0B0007D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建设项目周边存在其他土壤环境敏感目标的</w:t>
            </w:r>
          </w:p>
        </w:tc>
      </w:tr>
      <w:tr w14:paraId="4133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4BD942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7280" w:type="dxa"/>
            <w:vAlign w:val="center"/>
          </w:tcPr>
          <w:p w14:paraId="13B63F8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其他情况</w:t>
            </w:r>
          </w:p>
        </w:tc>
      </w:tr>
    </w:tbl>
    <w:p w14:paraId="2C9DC6B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lang w:val="en-US" w:eastAsia="zh-CN"/>
        </w:rPr>
        <w:t>周边无土壤环境保护目标，敏感程度为不</w:t>
      </w:r>
      <w:r>
        <w:rPr>
          <w:rFonts w:hint="eastAsia" w:ascii="Times New Roman" w:hAnsi="Times New Roman" w:eastAsia="宋体"/>
          <w:strike w:val="0"/>
          <w:dstrike w:val="0"/>
          <w:color w:val="auto"/>
          <w:highlight w:val="none"/>
        </w:rPr>
        <w:t>敏感</w:t>
      </w:r>
      <w:r>
        <w:rPr>
          <w:rFonts w:hint="eastAsia" w:ascii="Times New Roman" w:hAnsi="Times New Roman" w:eastAsia="宋体"/>
          <w:strike w:val="0"/>
          <w:dstrike w:val="0"/>
          <w:color w:val="auto"/>
          <w:highlight w:val="none"/>
          <w:lang w:eastAsia="zh-CN"/>
        </w:rPr>
        <w:t>。</w:t>
      </w:r>
    </w:p>
    <w:p w14:paraId="2AB8122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根据《环境影响评价技术导则土壤环境（试行）》（HJ964-2018），污染影响型评价工作等级划分表见表2.6-</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lang w:eastAsia="zh-CN"/>
        </w:rPr>
        <w:t>。</w:t>
      </w:r>
    </w:p>
    <w:p w14:paraId="5FCD6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表2.6-9污染影响型评价工作等级划分表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04"/>
        <w:gridCol w:w="810"/>
        <w:gridCol w:w="811"/>
        <w:gridCol w:w="810"/>
        <w:gridCol w:w="808"/>
        <w:gridCol w:w="811"/>
        <w:gridCol w:w="808"/>
        <w:gridCol w:w="810"/>
        <w:gridCol w:w="808"/>
      </w:tblGrid>
      <w:tr w14:paraId="1A42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29" w:type="pct"/>
            <w:vMerge w:val="restart"/>
            <w:vAlign w:val="center"/>
          </w:tcPr>
          <w:p w14:paraId="2BA781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占地规模</w:t>
            </w:r>
          </w:p>
        </w:tc>
        <w:tc>
          <w:tcPr>
            <w:tcW w:w="1423" w:type="pct"/>
            <w:gridSpan w:val="3"/>
            <w:vAlign w:val="center"/>
          </w:tcPr>
          <w:p w14:paraId="6944C5D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I类</w:t>
            </w:r>
          </w:p>
        </w:tc>
        <w:tc>
          <w:tcPr>
            <w:tcW w:w="1425" w:type="pct"/>
            <w:gridSpan w:val="3"/>
            <w:vAlign w:val="center"/>
          </w:tcPr>
          <w:p w14:paraId="4047ED2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II类</w:t>
            </w:r>
          </w:p>
        </w:tc>
        <w:tc>
          <w:tcPr>
            <w:tcW w:w="1423" w:type="pct"/>
            <w:gridSpan w:val="3"/>
            <w:vAlign w:val="center"/>
          </w:tcPr>
          <w:p w14:paraId="4145C27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III类</w:t>
            </w:r>
          </w:p>
        </w:tc>
      </w:tr>
      <w:tr w14:paraId="4CB4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Merge w:val="continue"/>
            <w:vAlign w:val="center"/>
          </w:tcPr>
          <w:p w14:paraId="077C234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472" w:type="pct"/>
            <w:vAlign w:val="center"/>
          </w:tcPr>
          <w:p w14:paraId="0D19CF8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w:t>
            </w:r>
          </w:p>
        </w:tc>
        <w:tc>
          <w:tcPr>
            <w:tcW w:w="475" w:type="pct"/>
            <w:vAlign w:val="center"/>
          </w:tcPr>
          <w:p w14:paraId="64A09D3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中</w:t>
            </w:r>
          </w:p>
        </w:tc>
        <w:tc>
          <w:tcPr>
            <w:tcW w:w="476" w:type="pct"/>
            <w:vAlign w:val="center"/>
          </w:tcPr>
          <w:p w14:paraId="4358FA8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小</w:t>
            </w:r>
          </w:p>
        </w:tc>
        <w:tc>
          <w:tcPr>
            <w:tcW w:w="475" w:type="pct"/>
            <w:vAlign w:val="center"/>
          </w:tcPr>
          <w:p w14:paraId="1AE9D62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w:t>
            </w:r>
          </w:p>
        </w:tc>
        <w:tc>
          <w:tcPr>
            <w:tcW w:w="474" w:type="pct"/>
            <w:vAlign w:val="center"/>
          </w:tcPr>
          <w:p w14:paraId="3A8393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中</w:t>
            </w:r>
          </w:p>
        </w:tc>
        <w:tc>
          <w:tcPr>
            <w:tcW w:w="476" w:type="pct"/>
            <w:vAlign w:val="center"/>
          </w:tcPr>
          <w:p w14:paraId="5D701CD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小</w:t>
            </w:r>
          </w:p>
        </w:tc>
        <w:tc>
          <w:tcPr>
            <w:tcW w:w="474" w:type="pct"/>
            <w:vAlign w:val="center"/>
          </w:tcPr>
          <w:p w14:paraId="691D466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大</w:t>
            </w:r>
          </w:p>
        </w:tc>
        <w:tc>
          <w:tcPr>
            <w:tcW w:w="475" w:type="pct"/>
            <w:vAlign w:val="center"/>
          </w:tcPr>
          <w:p w14:paraId="6970958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中</w:t>
            </w:r>
          </w:p>
        </w:tc>
        <w:tc>
          <w:tcPr>
            <w:tcW w:w="474" w:type="pct"/>
            <w:vAlign w:val="center"/>
          </w:tcPr>
          <w:p w14:paraId="231546C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小</w:t>
            </w:r>
          </w:p>
        </w:tc>
      </w:tr>
      <w:tr w14:paraId="1348E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6F836CB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敏感</w:t>
            </w:r>
          </w:p>
        </w:tc>
        <w:tc>
          <w:tcPr>
            <w:tcW w:w="472" w:type="pct"/>
            <w:vAlign w:val="center"/>
          </w:tcPr>
          <w:p w14:paraId="5142DE2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6C755C9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6" w:type="pct"/>
            <w:vAlign w:val="center"/>
          </w:tcPr>
          <w:p w14:paraId="5B64209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0403F3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7510AF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6" w:type="pct"/>
            <w:vAlign w:val="center"/>
          </w:tcPr>
          <w:p w14:paraId="00321E6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6D1CFE4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5" w:type="pct"/>
            <w:vAlign w:val="center"/>
          </w:tcPr>
          <w:p w14:paraId="2B3B7DB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0BCC503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r>
      <w:tr w14:paraId="02AF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38A3B4E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较敏感</w:t>
            </w:r>
          </w:p>
        </w:tc>
        <w:tc>
          <w:tcPr>
            <w:tcW w:w="472" w:type="pct"/>
            <w:vAlign w:val="center"/>
          </w:tcPr>
          <w:p w14:paraId="50A360C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2890E0A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6" w:type="pct"/>
            <w:vAlign w:val="center"/>
          </w:tcPr>
          <w:p w14:paraId="455F14A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5" w:type="pct"/>
            <w:vAlign w:val="center"/>
          </w:tcPr>
          <w:p w14:paraId="41161E9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6CC5439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6" w:type="pct"/>
            <w:vAlign w:val="center"/>
          </w:tcPr>
          <w:p w14:paraId="281A00F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1648515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5" w:type="pct"/>
            <w:vAlign w:val="center"/>
          </w:tcPr>
          <w:p w14:paraId="661153A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2A90B74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54ED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9" w:type="pct"/>
            <w:vAlign w:val="center"/>
          </w:tcPr>
          <w:p w14:paraId="22C6D15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472" w:type="pct"/>
            <w:vAlign w:val="center"/>
          </w:tcPr>
          <w:p w14:paraId="69B6E85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一级</w:t>
            </w:r>
          </w:p>
        </w:tc>
        <w:tc>
          <w:tcPr>
            <w:tcW w:w="475" w:type="pct"/>
            <w:vAlign w:val="center"/>
          </w:tcPr>
          <w:p w14:paraId="70013BB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6" w:type="pct"/>
            <w:vAlign w:val="center"/>
          </w:tcPr>
          <w:p w14:paraId="53BD7AC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5" w:type="pct"/>
            <w:vAlign w:val="center"/>
          </w:tcPr>
          <w:p w14:paraId="31301B6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c>
          <w:tcPr>
            <w:tcW w:w="474" w:type="pct"/>
            <w:vAlign w:val="center"/>
          </w:tcPr>
          <w:p w14:paraId="12D9662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6" w:type="pct"/>
            <w:vAlign w:val="center"/>
          </w:tcPr>
          <w:p w14:paraId="09C0B87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4" w:type="pct"/>
            <w:vAlign w:val="center"/>
          </w:tcPr>
          <w:p w14:paraId="4DB691E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c>
          <w:tcPr>
            <w:tcW w:w="475" w:type="pct"/>
            <w:vAlign w:val="center"/>
          </w:tcPr>
          <w:p w14:paraId="13F17E1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c>
          <w:tcPr>
            <w:tcW w:w="474" w:type="pct"/>
            <w:vAlign w:val="center"/>
          </w:tcPr>
          <w:p w14:paraId="4D1E054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w:t>
            </w:r>
          </w:p>
        </w:tc>
      </w:tr>
      <w:tr w14:paraId="7F1BC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vAlign w:val="center"/>
          </w:tcPr>
          <w:p w14:paraId="00FDC738">
            <w:pPr>
              <w:spacing w:line="240" w:lineRule="auto"/>
              <w:ind w:firstLine="0" w:firstLineChars="0"/>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注：</w:t>
            </w:r>
            <w:r>
              <w:rPr>
                <w:rFonts w:hint="eastAsia" w:ascii="Times New Roman" w:hAnsi="Times New Roman" w:eastAsia="宋体"/>
                <w:strike w:val="0"/>
                <w:dstrike w:val="0"/>
                <w:color w:val="auto"/>
                <w:sz w:val="21"/>
                <w:szCs w:val="21"/>
                <w:highlight w:val="none"/>
                <w:lang w:eastAsia="zh-CN"/>
              </w:rPr>
              <w:t>”</w:t>
            </w:r>
            <w:r>
              <w:rPr>
                <w:rFonts w:hint="eastAsia"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lang w:eastAsia="zh-CN"/>
              </w:rPr>
              <w:t>”</w:t>
            </w:r>
            <w:r>
              <w:rPr>
                <w:rFonts w:hint="eastAsia" w:ascii="Times New Roman" w:hAnsi="Times New Roman" w:eastAsia="宋体"/>
                <w:strike w:val="0"/>
                <w:dstrike w:val="0"/>
                <w:color w:val="auto"/>
                <w:sz w:val="21"/>
                <w:szCs w:val="21"/>
                <w:highlight w:val="none"/>
              </w:rPr>
              <w:t>表示可不开展土壤环境影响评价工作</w:t>
            </w:r>
          </w:p>
        </w:tc>
      </w:tr>
    </w:tbl>
    <w:p w14:paraId="5D029724">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综上所述，根据《环境影响评价技术导则土壤环境（试行）》（HJ964-2018），</w:t>
      </w:r>
      <w:r>
        <w:rPr>
          <w:rFonts w:hint="eastAsia" w:ascii="Times New Roman" w:hAnsi="Times New Roman" w:eastAsia="宋体"/>
          <w:strike w:val="0"/>
          <w:dstrike w:val="0"/>
          <w:color w:val="auto"/>
          <w:highlight w:val="none"/>
          <w:lang w:val="en-US" w:eastAsia="zh-CN"/>
        </w:rPr>
        <w:t>本项目可不开展土壤环境影响评价工作，为摸清项目区土壤环境质量，主动提高评价工作深度，参照三级土壤环境影响评价技术开展土壤评价工作。</w:t>
      </w:r>
    </w:p>
    <w:p w14:paraId="6381CC56">
      <w:pPr>
        <w:pStyle w:val="5"/>
        <w:ind w:firstLine="482"/>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2.6.1.5生态</w:t>
      </w:r>
      <w:r>
        <w:rPr>
          <w:rFonts w:hint="eastAsia" w:ascii="Times New Roman" w:hAnsi="Times New Roman" w:eastAsia="宋体"/>
          <w:strike w:val="0"/>
          <w:dstrike w:val="0"/>
          <w:color w:val="auto"/>
          <w:highlight w:val="none"/>
          <w:lang w:val="en-US" w:eastAsia="zh-CN"/>
        </w:rPr>
        <w:t>环境评价等级</w:t>
      </w:r>
    </w:p>
    <w:p w14:paraId="2A7F705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根据《环境影响评价技术导则生态影响》（HJ1.9-2022），确定生态环境评价工作等级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根据生态影响评价工作等级划分内容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生态影响评价工作等级划分如下原则确定：</w:t>
      </w:r>
    </w:p>
    <w:p w14:paraId="244516B7">
      <w:pPr>
        <w:ind w:firstLine="480"/>
        <w:rPr>
          <w:rFonts w:ascii="Times New Roman" w:hAnsi="Times New Roman" w:eastAsia="宋体"/>
          <w:strike w:val="0"/>
          <w:dstrike w:val="0"/>
          <w:color w:val="auto"/>
          <w:highlight w:val="none"/>
        </w:rPr>
      </w:pPr>
      <w:bookmarkStart w:id="75" w:name="_Hlk106660903"/>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rPr>
        <w:tab/>
      </w:r>
      <w:r>
        <w:rPr>
          <w:rFonts w:hint="eastAsia" w:ascii="Times New Roman" w:hAnsi="Times New Roman" w:eastAsia="宋体"/>
          <w:strike w:val="0"/>
          <w:dstrike w:val="0"/>
          <w:color w:val="auto"/>
          <w:highlight w:val="none"/>
        </w:rPr>
        <w:t>涉及国家公园、自然保护区、世界自然遗产、重要生境时，评价等级为一级；</w:t>
      </w:r>
    </w:p>
    <w:p w14:paraId="0F37348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b）涉及自然公园时，评价等级为二级；</w:t>
      </w:r>
    </w:p>
    <w:p w14:paraId="47C1980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c）涉及生态保护红线时，评价等级不低于二级</w:t>
      </w:r>
      <w:r>
        <w:rPr>
          <w:rFonts w:hint="eastAsia" w:ascii="Times New Roman" w:hAnsi="Times New Roman" w:eastAsia="宋体"/>
          <w:strike w:val="0"/>
          <w:dstrike w:val="0"/>
          <w:color w:val="auto"/>
          <w:highlight w:val="none"/>
          <w:lang w:eastAsia="zh-CN"/>
        </w:rPr>
        <w:t>；</w:t>
      </w:r>
    </w:p>
    <w:bookmarkEnd w:id="75"/>
    <w:p w14:paraId="7E4B81A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d）根据HJ2.3判断属于水文要素影响型且地表水评价等级不低于二级的建设项目，生态影响评价等级不低于二级；</w:t>
      </w:r>
    </w:p>
    <w:p w14:paraId="362A42E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e）</w:t>
      </w:r>
      <w:r>
        <w:rPr>
          <w:rFonts w:hint="eastAsia" w:ascii="Times New Roman" w:hAnsi="Times New Roman" w:eastAsia="宋体"/>
          <w:strike w:val="0"/>
          <w:dstrike w:val="0"/>
          <w:color w:val="auto"/>
          <w:highlight w:val="none"/>
        </w:rPr>
        <w:tab/>
      </w:r>
      <w:r>
        <w:rPr>
          <w:rFonts w:hint="eastAsia" w:ascii="Times New Roman" w:hAnsi="Times New Roman" w:eastAsia="宋体"/>
          <w:strike w:val="0"/>
          <w:dstrike w:val="0"/>
          <w:color w:val="auto"/>
          <w:highlight w:val="none"/>
        </w:rPr>
        <w:t>根据HJ610、HJ964判断地下水水位或土壤影响范围内分布有天然林、公益林、湿地等生态保护目标的建设项目，生态影响评价等级不低于二级；</w:t>
      </w:r>
    </w:p>
    <w:p w14:paraId="2C95FE0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f）</w:t>
      </w:r>
      <w:r>
        <w:rPr>
          <w:rFonts w:hint="eastAsia" w:ascii="Times New Roman" w:hAnsi="Times New Roman" w:eastAsia="宋体"/>
          <w:strike w:val="0"/>
          <w:dstrike w:val="0"/>
          <w:color w:val="auto"/>
          <w:highlight w:val="none"/>
        </w:rPr>
        <w:tab/>
      </w:r>
      <w:r>
        <w:rPr>
          <w:rFonts w:hint="eastAsia" w:ascii="Times New Roman" w:hAnsi="Times New Roman" w:eastAsia="宋体"/>
          <w:strike w:val="0"/>
          <w:dstrike w:val="0"/>
          <w:color w:val="auto"/>
          <w:highlight w:val="none"/>
        </w:rPr>
        <w:t>当工程占地规模大于20km</w:t>
      </w:r>
      <w:r>
        <w:rPr>
          <w:rFonts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时（包括永久和临时占用陆域和水域），评价等级不低于二级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改扩建项目的占地范围以新增占地（包括陆域和水域）确定；</w:t>
      </w:r>
    </w:p>
    <w:p w14:paraId="7FBFF2F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g）除本条a）、b）、c）、d）、e）、f）以外的情况，评价等级为三级；</w:t>
      </w:r>
    </w:p>
    <w:p w14:paraId="1C04CE0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h）当评价等级判定同时符合上述多种情况时，应采用其中最高的评价等级</w:t>
      </w:r>
      <w:r>
        <w:rPr>
          <w:rFonts w:hint="eastAsia" w:ascii="Times New Roman" w:hAnsi="Times New Roman" w:eastAsia="宋体"/>
          <w:strike w:val="0"/>
          <w:dstrike w:val="0"/>
          <w:color w:val="auto"/>
          <w:highlight w:val="none"/>
          <w:lang w:eastAsia="zh-CN"/>
        </w:rPr>
        <w:t>。</w:t>
      </w:r>
    </w:p>
    <w:p w14:paraId="7005835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（2）工程占地范围及环境敏感情况</w:t>
      </w:r>
    </w:p>
    <w:p w14:paraId="2E7292A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本项目总占地面积</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（折</w:t>
      </w:r>
      <w:r>
        <w:rPr>
          <w:rFonts w:hint="eastAsia" w:ascii="Times New Roman" w:hAnsi="Times New Roman" w:eastAsia="宋体"/>
          <w:strike w:val="0"/>
          <w:dstrike w:val="0"/>
          <w:color w:val="auto"/>
          <w:highlight w:val="none"/>
          <w:lang w:val="en-US" w:eastAsia="zh-CN"/>
        </w:rPr>
        <w:t>0.13487</w:t>
      </w:r>
      <w:r>
        <w:rPr>
          <w:rFonts w:hint="eastAsia" w:ascii="Times New Roman" w:hAnsi="Times New Roman" w:eastAsia="宋体"/>
          <w:strike w:val="0"/>
          <w:dstrike w:val="0"/>
          <w:color w:val="auto"/>
          <w:highlight w:val="none"/>
        </w:rPr>
        <w:t>km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rPr>
        <w:t>），小于2</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km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本项目周边不涉及国家公园、自然保护区、世界自然遗产、重要生境时，不涉及自然公园，不涉及生态保护红线</w:t>
      </w:r>
      <w:r>
        <w:rPr>
          <w:rFonts w:hint="eastAsia" w:ascii="Times New Roman" w:hAnsi="Times New Roman" w:eastAsia="宋体"/>
          <w:strike w:val="0"/>
          <w:dstrike w:val="0"/>
          <w:color w:val="auto"/>
          <w:highlight w:val="none"/>
          <w:lang w:eastAsia="zh-CN"/>
        </w:rPr>
        <w:t>。</w:t>
      </w:r>
    </w:p>
    <w:p w14:paraId="6FA23A1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综上所述，本项目生态影响评价等级为三级</w:t>
      </w:r>
      <w:r>
        <w:rPr>
          <w:rFonts w:hint="eastAsia" w:ascii="Times New Roman" w:hAnsi="Times New Roman" w:eastAsia="宋体"/>
          <w:strike w:val="0"/>
          <w:dstrike w:val="0"/>
          <w:color w:val="auto"/>
          <w:highlight w:val="none"/>
          <w:lang w:eastAsia="zh-CN"/>
        </w:rPr>
        <w:t>。</w:t>
      </w:r>
    </w:p>
    <w:p w14:paraId="58511B5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2.6.1.6环境风险</w:t>
      </w:r>
    </w:p>
    <w:p w14:paraId="5B925DE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根据《建设项目环境风险评价技术导则》（HJ169-2018）、《关于切实加强风险防范严格环境影响评价管理的通知》（环发</w:t>
      </w:r>
      <w:r>
        <w:rPr>
          <w:rFonts w:hint="eastAsia" w:ascii="Times New Roman" w:hAnsi="Times New Roman" w:eastAsia="宋体"/>
          <w:strike w:val="0"/>
          <w:dstrike w:val="0"/>
          <w:color w:val="auto"/>
          <w:highlight w:val="none"/>
          <w:lang w:eastAsia="zh-CN"/>
        </w:rPr>
        <w:t>〔2012〕98号</w:t>
      </w:r>
      <w:r>
        <w:rPr>
          <w:rFonts w:hint="eastAsia" w:ascii="Times New Roman" w:hAnsi="Times New Roman" w:eastAsia="宋体"/>
          <w:strike w:val="0"/>
          <w:dstrike w:val="0"/>
          <w:color w:val="auto"/>
          <w:highlight w:val="none"/>
        </w:rPr>
        <w:t>）、《关于进一步加强环境影响评价管理防范环境风险的通知》（环发</w:t>
      </w:r>
      <w:r>
        <w:rPr>
          <w:rFonts w:hint="eastAsia" w:ascii="Times New Roman" w:hAnsi="Times New Roman" w:eastAsia="宋体"/>
          <w:strike w:val="0"/>
          <w:dstrike w:val="0"/>
          <w:color w:val="auto"/>
          <w:highlight w:val="none"/>
          <w:lang w:eastAsia="zh-CN"/>
        </w:rPr>
        <w:t>〔2012〕77号</w:t>
      </w:r>
      <w:r>
        <w:rPr>
          <w:rFonts w:hint="eastAsia" w:ascii="Times New Roman" w:hAnsi="Times New Roman" w:eastAsia="宋体"/>
          <w:strike w:val="0"/>
          <w:dstrike w:val="0"/>
          <w:color w:val="auto"/>
          <w:highlight w:val="none"/>
        </w:rPr>
        <w:t>）等要求，对本项目进行环境风险评价，通过对建设项目的环境风险进行分析、预测和评估，提出环境风险预防、控制、减缓措施，明确环境风险监控及应急建议要求，为建设项目环境风险防控提出科学依据</w:t>
      </w:r>
      <w:r>
        <w:rPr>
          <w:rFonts w:hint="eastAsia" w:ascii="Times New Roman" w:hAnsi="Times New Roman" w:eastAsia="宋体"/>
          <w:strike w:val="0"/>
          <w:dstrike w:val="0"/>
          <w:color w:val="auto"/>
          <w:highlight w:val="none"/>
          <w:lang w:eastAsia="zh-CN"/>
        </w:rPr>
        <w:t>。</w:t>
      </w:r>
    </w:p>
    <w:p w14:paraId="5857ED1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w:t>
      </w:r>
      <w:r>
        <w:rPr>
          <w:rFonts w:hint="eastAsia" w:ascii="Times New Roman" w:hAnsi="Times New Roman" w:eastAsia="宋体"/>
          <w:strike w:val="0"/>
          <w:dstrike w:val="0"/>
          <w:color w:val="auto"/>
          <w:highlight w:val="none"/>
          <w:lang w:eastAsia="zh-CN"/>
        </w:rPr>
        <w:t>，环境</w:t>
      </w:r>
      <w:r>
        <w:rPr>
          <w:rFonts w:hint="eastAsia" w:ascii="Times New Roman" w:hAnsi="Times New Roman" w:eastAsia="宋体"/>
          <w:strike w:val="0"/>
          <w:dstrike w:val="0"/>
          <w:color w:val="auto"/>
          <w:highlight w:val="none"/>
        </w:rPr>
        <w:t>风险评价工作等级划分为一级、二级、三级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根据建设项目涉及的物质及工艺系统危险性和所在地的环境敏感性确定环境风险潜势，确定评价工作等级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风险潜势为Ⅳ及以上，进行一级评价；风险潜势为Ⅲ，进行二级评价；风险潜势为Ⅱ，进行三级评价；风险潜势为Ⅰ，可开展简单分析</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评价工作等级的划分依据具体见表2.6-1</w:t>
      </w:r>
      <w:r>
        <w:rPr>
          <w:rFonts w:hint="eastAsia" w:ascii="Times New Roman" w:hAnsi="Times New Roman" w:eastAsia="宋体"/>
          <w:strike w:val="0"/>
          <w:dstrike w:val="0"/>
          <w:color w:val="auto"/>
          <w:highlight w:val="none"/>
          <w:lang w:val="en-US" w:eastAsia="zh-CN"/>
        </w:rPr>
        <w:t>0</w:t>
      </w:r>
      <w:r>
        <w:rPr>
          <w:rFonts w:hint="eastAsia" w:ascii="Times New Roman" w:hAnsi="Times New Roman" w:eastAsia="宋体"/>
          <w:strike w:val="0"/>
          <w:dstrike w:val="0"/>
          <w:color w:val="auto"/>
          <w:highlight w:val="none"/>
          <w:lang w:eastAsia="zh-CN"/>
        </w:rPr>
        <w:t>。</w:t>
      </w:r>
    </w:p>
    <w:p w14:paraId="201C3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表2.6-10评价工作等级划分表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3F3A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0" w:type="pct"/>
            <w:shd w:val="clear" w:color="auto" w:fill="auto"/>
            <w:vAlign w:val="center"/>
          </w:tcPr>
          <w:p w14:paraId="51263102">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环境风险潜势</w:t>
            </w:r>
          </w:p>
        </w:tc>
        <w:tc>
          <w:tcPr>
            <w:tcW w:w="1000" w:type="pct"/>
            <w:shd w:val="clear" w:color="auto" w:fill="auto"/>
            <w:vAlign w:val="center"/>
          </w:tcPr>
          <w:p w14:paraId="5EFC4E99">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Ⅳ、Ⅳ</w:t>
            </w:r>
            <w:r>
              <w:rPr>
                <w:rFonts w:hint="eastAsia" w:ascii="Times New Roman" w:hAnsi="Times New Roman" w:eastAsia="宋体"/>
                <w:strike w:val="0"/>
                <w:dstrike w:val="0"/>
                <w:color w:val="auto"/>
                <w:sz w:val="21"/>
                <w:highlight w:val="none"/>
                <w:vertAlign w:val="superscript"/>
              </w:rPr>
              <w:t>+</w:t>
            </w:r>
          </w:p>
        </w:tc>
        <w:tc>
          <w:tcPr>
            <w:tcW w:w="1000" w:type="pct"/>
            <w:shd w:val="clear" w:color="auto" w:fill="auto"/>
            <w:vAlign w:val="center"/>
          </w:tcPr>
          <w:p w14:paraId="5E0FC55D">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Ⅲ</w:t>
            </w:r>
          </w:p>
        </w:tc>
        <w:tc>
          <w:tcPr>
            <w:tcW w:w="1000" w:type="pct"/>
            <w:shd w:val="clear" w:color="auto" w:fill="auto"/>
            <w:vAlign w:val="center"/>
          </w:tcPr>
          <w:p w14:paraId="405CE8D2">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Ⅱ</w:t>
            </w:r>
          </w:p>
        </w:tc>
        <w:tc>
          <w:tcPr>
            <w:tcW w:w="1001" w:type="pct"/>
            <w:shd w:val="clear" w:color="auto" w:fill="auto"/>
            <w:vAlign w:val="center"/>
          </w:tcPr>
          <w:p w14:paraId="3976DB38">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Ⅰ</w:t>
            </w:r>
          </w:p>
        </w:tc>
      </w:tr>
      <w:tr w14:paraId="4B0D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00" w:type="pct"/>
            <w:shd w:val="clear" w:color="auto" w:fill="auto"/>
            <w:vAlign w:val="center"/>
          </w:tcPr>
          <w:p w14:paraId="37C5207C">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评价工作等级</w:t>
            </w:r>
          </w:p>
        </w:tc>
        <w:tc>
          <w:tcPr>
            <w:tcW w:w="1000" w:type="pct"/>
            <w:shd w:val="clear" w:color="auto" w:fill="auto"/>
            <w:vAlign w:val="center"/>
          </w:tcPr>
          <w:p w14:paraId="0D5E43C0">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一</w:t>
            </w:r>
          </w:p>
        </w:tc>
        <w:tc>
          <w:tcPr>
            <w:tcW w:w="1000" w:type="pct"/>
            <w:shd w:val="clear" w:color="auto" w:fill="auto"/>
            <w:vAlign w:val="center"/>
          </w:tcPr>
          <w:p w14:paraId="29F67807">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二</w:t>
            </w:r>
          </w:p>
        </w:tc>
        <w:tc>
          <w:tcPr>
            <w:tcW w:w="1000" w:type="pct"/>
            <w:shd w:val="clear" w:color="auto" w:fill="auto"/>
            <w:vAlign w:val="center"/>
          </w:tcPr>
          <w:p w14:paraId="692F027D">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三</w:t>
            </w:r>
          </w:p>
        </w:tc>
        <w:tc>
          <w:tcPr>
            <w:tcW w:w="1001" w:type="pct"/>
            <w:shd w:val="clear" w:color="auto" w:fill="auto"/>
            <w:vAlign w:val="center"/>
          </w:tcPr>
          <w:p w14:paraId="02C87AC6">
            <w:pPr>
              <w:spacing w:line="240" w:lineRule="auto"/>
              <w:ind w:firstLine="0" w:firstLineChars="0"/>
              <w:jc w:val="center"/>
              <w:rPr>
                <w:rFonts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rPr>
              <w:t>简单分析</w:t>
            </w:r>
            <w:r>
              <w:rPr>
                <w:rFonts w:hint="eastAsia" w:ascii="Times New Roman" w:hAnsi="Times New Roman" w:eastAsia="宋体"/>
                <w:strike w:val="0"/>
                <w:dstrike w:val="0"/>
                <w:color w:val="auto"/>
                <w:sz w:val="21"/>
                <w:highlight w:val="none"/>
                <w:vertAlign w:val="superscript"/>
              </w:rPr>
              <w:t>a</w:t>
            </w:r>
          </w:p>
        </w:tc>
      </w:tr>
      <w:tr w14:paraId="03C8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5000" w:type="pct"/>
            <w:gridSpan w:val="5"/>
            <w:shd w:val="clear" w:color="auto" w:fill="auto"/>
            <w:vAlign w:val="center"/>
          </w:tcPr>
          <w:p w14:paraId="3EC508E5">
            <w:pPr>
              <w:spacing w:line="240" w:lineRule="auto"/>
              <w:ind w:firstLine="0" w:firstLineChars="0"/>
              <w:rPr>
                <w:rFonts w:hint="eastAsia" w:ascii="Times New Roman" w:hAnsi="Times New Roman" w:eastAsia="宋体"/>
                <w:strike w:val="0"/>
                <w:dstrike w:val="0"/>
                <w:color w:val="auto"/>
                <w:sz w:val="21"/>
                <w:highlight w:val="none"/>
                <w:lang w:eastAsia="zh-CN"/>
              </w:rPr>
            </w:pPr>
            <w:r>
              <w:rPr>
                <w:rFonts w:hint="eastAsia" w:ascii="Times New Roman" w:hAnsi="Times New Roman" w:eastAsia="宋体"/>
                <w:strike w:val="0"/>
                <w:dstrike w:val="0"/>
                <w:color w:val="auto"/>
                <w:sz w:val="21"/>
                <w:highlight w:val="none"/>
              </w:rPr>
              <w:t>a是相对于详细评价工作内容而言，在描述危险物质、环境影响途径、环境危害后果、风险防范措施等方面给出定性的说明</w:t>
            </w:r>
            <w:r>
              <w:rPr>
                <w:rFonts w:hint="eastAsia" w:ascii="Times New Roman" w:hAnsi="Times New Roman" w:eastAsia="宋体"/>
                <w:strike w:val="0"/>
                <w:dstrike w:val="0"/>
                <w:color w:val="auto"/>
                <w:sz w:val="21"/>
                <w:highlight w:val="none"/>
                <w:lang w:eastAsia="zh-CN"/>
              </w:rPr>
              <w:t>。</w:t>
            </w:r>
          </w:p>
        </w:tc>
      </w:tr>
    </w:tbl>
    <w:p w14:paraId="0265582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本项目不涉及附录B中的危险化学品，则存储量和临界量比值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＜1，该项目环境风险潜势为I，环境风险评价工作级别确定为简单分析</w:t>
      </w:r>
      <w:r>
        <w:rPr>
          <w:rFonts w:hint="eastAsia" w:ascii="Times New Roman" w:hAnsi="Times New Roman" w:eastAsia="宋体"/>
          <w:strike w:val="0"/>
          <w:dstrike w:val="0"/>
          <w:color w:val="auto"/>
          <w:highlight w:val="none"/>
          <w:lang w:eastAsia="zh-CN"/>
        </w:rPr>
        <w:t>。</w:t>
      </w:r>
    </w:p>
    <w:p w14:paraId="25B8A6C7">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2.6.1.7小结</w:t>
      </w:r>
    </w:p>
    <w:p w14:paraId="64EC4C2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本项目环境影响评级等级见表2.6-1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eastAsia="zh-CN"/>
        </w:rPr>
        <w:t>。</w:t>
      </w:r>
    </w:p>
    <w:p w14:paraId="09487F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表2.6-11环境影响评价等级表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6"/>
        <w:gridCol w:w="3597"/>
        <w:gridCol w:w="2468"/>
        <w:gridCol w:w="1155"/>
      </w:tblGrid>
      <w:tr w14:paraId="0D89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Align w:val="center"/>
          </w:tcPr>
          <w:p w14:paraId="5E152F9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专题</w:t>
            </w:r>
          </w:p>
        </w:tc>
        <w:tc>
          <w:tcPr>
            <w:tcW w:w="6065" w:type="dxa"/>
            <w:gridSpan w:val="2"/>
            <w:vAlign w:val="center"/>
          </w:tcPr>
          <w:p w14:paraId="0EA3EF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等级判别依据</w:t>
            </w:r>
          </w:p>
        </w:tc>
        <w:tc>
          <w:tcPr>
            <w:tcW w:w="1155" w:type="dxa"/>
            <w:vAlign w:val="center"/>
          </w:tcPr>
          <w:p w14:paraId="5B06A67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评价等级</w:t>
            </w:r>
          </w:p>
        </w:tc>
      </w:tr>
      <w:tr w14:paraId="6A46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0820EEA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环境空气</w:t>
            </w:r>
          </w:p>
        </w:tc>
        <w:tc>
          <w:tcPr>
            <w:tcW w:w="3597" w:type="dxa"/>
            <w:vAlign w:val="center"/>
          </w:tcPr>
          <w:p w14:paraId="22BD7E4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污染物最大地面质量浓度占标率</w:t>
            </w:r>
          </w:p>
        </w:tc>
        <w:tc>
          <w:tcPr>
            <w:tcW w:w="2468" w:type="dxa"/>
            <w:vAlign w:val="center"/>
          </w:tcPr>
          <w:p w14:paraId="5E16929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7.6569</w:t>
            </w:r>
            <w:r>
              <w:rPr>
                <w:rFonts w:hint="eastAsia" w:ascii="Times New Roman" w:hAnsi="Times New Roman" w:eastAsia="宋体"/>
                <w:strike w:val="0"/>
                <w:dstrike w:val="0"/>
                <w:color w:val="auto"/>
                <w:sz w:val="21"/>
                <w:szCs w:val="21"/>
                <w:highlight w:val="none"/>
              </w:rPr>
              <w:t>%</w:t>
            </w:r>
          </w:p>
        </w:tc>
        <w:tc>
          <w:tcPr>
            <w:tcW w:w="1155" w:type="dxa"/>
            <w:vMerge w:val="restart"/>
            <w:vAlign w:val="center"/>
          </w:tcPr>
          <w:p w14:paraId="1610F68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二</w:t>
            </w:r>
            <w:r>
              <w:rPr>
                <w:rFonts w:hint="eastAsia" w:ascii="Times New Roman" w:hAnsi="Times New Roman" w:eastAsia="宋体"/>
                <w:strike w:val="0"/>
                <w:dstrike w:val="0"/>
                <w:color w:val="auto"/>
                <w:sz w:val="21"/>
                <w:szCs w:val="21"/>
                <w:highlight w:val="none"/>
              </w:rPr>
              <w:t>级</w:t>
            </w:r>
          </w:p>
        </w:tc>
      </w:tr>
      <w:tr w14:paraId="2581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71DDAC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61D32B8B">
            <w:pPr>
              <w:spacing w:line="240" w:lineRule="auto"/>
              <w:ind w:firstLine="0" w:firstLineChars="0"/>
              <w:jc w:val="center"/>
              <w:rPr>
                <w:rFonts w:hint="eastAsia"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主要评价因子的环境质量现状</w:t>
            </w:r>
          </w:p>
        </w:tc>
        <w:tc>
          <w:tcPr>
            <w:tcW w:w="2468" w:type="dxa"/>
            <w:vAlign w:val="center"/>
          </w:tcPr>
          <w:p w14:paraId="31AFC6B7">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不达标</w:t>
            </w:r>
          </w:p>
        </w:tc>
        <w:tc>
          <w:tcPr>
            <w:tcW w:w="1155" w:type="dxa"/>
            <w:vMerge w:val="continue"/>
            <w:vAlign w:val="center"/>
          </w:tcPr>
          <w:p w14:paraId="1823EFF2">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699E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7343CA1">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248839A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当地环境空气质量功能类别</w:t>
            </w:r>
          </w:p>
        </w:tc>
        <w:tc>
          <w:tcPr>
            <w:tcW w:w="2468" w:type="dxa"/>
            <w:vAlign w:val="center"/>
          </w:tcPr>
          <w:p w14:paraId="319E4AB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二类</w:t>
            </w:r>
          </w:p>
        </w:tc>
        <w:tc>
          <w:tcPr>
            <w:tcW w:w="1155" w:type="dxa"/>
            <w:vMerge w:val="continue"/>
            <w:vAlign w:val="center"/>
          </w:tcPr>
          <w:p w14:paraId="05B19B89">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18D0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5A4B647A">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7F0BF57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区域空气环境敏感程度</w:t>
            </w:r>
          </w:p>
        </w:tc>
        <w:tc>
          <w:tcPr>
            <w:tcW w:w="2468" w:type="dxa"/>
            <w:vAlign w:val="center"/>
          </w:tcPr>
          <w:p w14:paraId="6CE254F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一般</w:t>
            </w:r>
          </w:p>
        </w:tc>
        <w:tc>
          <w:tcPr>
            <w:tcW w:w="1155" w:type="dxa"/>
            <w:vMerge w:val="continue"/>
            <w:vAlign w:val="center"/>
          </w:tcPr>
          <w:p w14:paraId="70D778C8">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7E7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12FBF95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地表水</w:t>
            </w:r>
          </w:p>
        </w:tc>
        <w:tc>
          <w:tcPr>
            <w:tcW w:w="3597" w:type="dxa"/>
            <w:vAlign w:val="center"/>
          </w:tcPr>
          <w:p w14:paraId="6F32FC45">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排放方式</w:t>
            </w:r>
          </w:p>
        </w:tc>
        <w:tc>
          <w:tcPr>
            <w:tcW w:w="2468" w:type="dxa"/>
            <w:vAlign w:val="center"/>
          </w:tcPr>
          <w:p w14:paraId="4CF478C9">
            <w:pPr>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lang w:val="en-US" w:eastAsia="zh-CN"/>
              </w:rPr>
              <w:t>/</w:t>
            </w:r>
          </w:p>
        </w:tc>
        <w:tc>
          <w:tcPr>
            <w:tcW w:w="1155" w:type="dxa"/>
            <w:vMerge w:val="restart"/>
            <w:vAlign w:val="center"/>
          </w:tcPr>
          <w:p w14:paraId="2E9B69A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三级B</w:t>
            </w:r>
          </w:p>
        </w:tc>
      </w:tr>
      <w:tr w14:paraId="3AEB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C93D548">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443C50A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生产废水</w:t>
            </w:r>
          </w:p>
        </w:tc>
        <w:tc>
          <w:tcPr>
            <w:tcW w:w="2468" w:type="dxa"/>
            <w:vAlign w:val="center"/>
          </w:tcPr>
          <w:p w14:paraId="41DFA52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不外排</w:t>
            </w:r>
          </w:p>
        </w:tc>
        <w:tc>
          <w:tcPr>
            <w:tcW w:w="1155" w:type="dxa"/>
            <w:vMerge w:val="continue"/>
            <w:vAlign w:val="center"/>
          </w:tcPr>
          <w:p w14:paraId="4BFD798A">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629A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31E060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地下水</w:t>
            </w:r>
          </w:p>
        </w:tc>
        <w:tc>
          <w:tcPr>
            <w:tcW w:w="3597" w:type="dxa"/>
            <w:vAlign w:val="center"/>
          </w:tcPr>
          <w:p w14:paraId="017AD19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建设项目行业分类</w:t>
            </w:r>
          </w:p>
        </w:tc>
        <w:tc>
          <w:tcPr>
            <w:tcW w:w="2468" w:type="dxa"/>
            <w:vAlign w:val="center"/>
          </w:tcPr>
          <w:p w14:paraId="6798052A">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Ⅲ类行业</w:t>
            </w:r>
          </w:p>
        </w:tc>
        <w:tc>
          <w:tcPr>
            <w:tcW w:w="1155" w:type="dxa"/>
            <w:vMerge w:val="restart"/>
            <w:vAlign w:val="center"/>
          </w:tcPr>
          <w:p w14:paraId="2049529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r>
      <w:tr w14:paraId="1B9C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6C1B2BE5">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1DE9936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区域地下水敏感程度分级</w:t>
            </w:r>
          </w:p>
        </w:tc>
        <w:tc>
          <w:tcPr>
            <w:tcW w:w="2468" w:type="dxa"/>
            <w:vAlign w:val="center"/>
          </w:tcPr>
          <w:p w14:paraId="071E5F74">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不敏感</w:t>
            </w:r>
          </w:p>
        </w:tc>
        <w:tc>
          <w:tcPr>
            <w:tcW w:w="1155" w:type="dxa"/>
            <w:vMerge w:val="continue"/>
            <w:vAlign w:val="center"/>
          </w:tcPr>
          <w:p w14:paraId="755E5785">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51D7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A7BEA4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声环境</w:t>
            </w:r>
          </w:p>
        </w:tc>
        <w:tc>
          <w:tcPr>
            <w:tcW w:w="3597" w:type="dxa"/>
            <w:vAlign w:val="center"/>
          </w:tcPr>
          <w:p w14:paraId="6BBBB43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项目所在地声环境功能区类别</w:t>
            </w:r>
          </w:p>
        </w:tc>
        <w:tc>
          <w:tcPr>
            <w:tcW w:w="2468" w:type="dxa"/>
            <w:vAlign w:val="center"/>
          </w:tcPr>
          <w:p w14:paraId="3D34C5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2类</w:t>
            </w:r>
          </w:p>
        </w:tc>
        <w:tc>
          <w:tcPr>
            <w:tcW w:w="1155" w:type="dxa"/>
            <w:vMerge w:val="restart"/>
            <w:vAlign w:val="center"/>
          </w:tcPr>
          <w:p w14:paraId="42802EB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二级</w:t>
            </w:r>
          </w:p>
        </w:tc>
      </w:tr>
      <w:tr w14:paraId="32FC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4E045F1F">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42910DA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区域声环境敏感程度</w:t>
            </w:r>
          </w:p>
        </w:tc>
        <w:tc>
          <w:tcPr>
            <w:tcW w:w="2468" w:type="dxa"/>
            <w:vAlign w:val="center"/>
          </w:tcPr>
          <w:p w14:paraId="692C93C0">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一般区域</w:t>
            </w:r>
          </w:p>
        </w:tc>
        <w:tc>
          <w:tcPr>
            <w:tcW w:w="1155" w:type="dxa"/>
            <w:vMerge w:val="continue"/>
            <w:vAlign w:val="center"/>
          </w:tcPr>
          <w:p w14:paraId="2643A2AB">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671B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9D4B8B4">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12B854A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项目建设前后敏感目标噪声级的变化程度</w:t>
            </w:r>
          </w:p>
        </w:tc>
        <w:tc>
          <w:tcPr>
            <w:tcW w:w="2468" w:type="dxa"/>
            <w:vAlign w:val="center"/>
          </w:tcPr>
          <w:p w14:paraId="6962AF9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噪声级增高量3~5dB（A）</w:t>
            </w:r>
          </w:p>
        </w:tc>
        <w:tc>
          <w:tcPr>
            <w:tcW w:w="1155" w:type="dxa"/>
            <w:vMerge w:val="continue"/>
            <w:vAlign w:val="center"/>
          </w:tcPr>
          <w:p w14:paraId="23D9544A">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354D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2700E7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土壤</w:t>
            </w:r>
          </w:p>
        </w:tc>
        <w:tc>
          <w:tcPr>
            <w:tcW w:w="3597" w:type="dxa"/>
            <w:vAlign w:val="center"/>
          </w:tcPr>
          <w:p w14:paraId="0B8DD8B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建设项目行业分类</w:t>
            </w:r>
          </w:p>
        </w:tc>
        <w:tc>
          <w:tcPr>
            <w:tcW w:w="2468" w:type="dxa"/>
            <w:vAlign w:val="center"/>
          </w:tcPr>
          <w:p w14:paraId="0D7A7A6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Ⅲ</w:t>
            </w:r>
            <w:r>
              <w:rPr>
                <w:rFonts w:hint="eastAsia" w:ascii="Times New Roman" w:hAnsi="Times New Roman" w:eastAsia="宋体"/>
                <w:strike w:val="0"/>
                <w:dstrike w:val="0"/>
                <w:color w:val="auto"/>
                <w:sz w:val="21"/>
                <w:szCs w:val="21"/>
                <w:highlight w:val="none"/>
              </w:rPr>
              <w:t>类行业</w:t>
            </w:r>
          </w:p>
        </w:tc>
        <w:tc>
          <w:tcPr>
            <w:tcW w:w="1155" w:type="dxa"/>
            <w:vMerge w:val="restart"/>
            <w:vAlign w:val="center"/>
          </w:tcPr>
          <w:p w14:paraId="78C3D84D">
            <w:pPr>
              <w:spacing w:line="240" w:lineRule="auto"/>
              <w:ind w:firstLine="0" w:firstLineChars="0"/>
              <w:jc w:val="center"/>
              <w:rPr>
                <w:rFonts w:hint="default" w:ascii="Times New Roman" w:hAnsi="Times New Roman" w:eastAsia="宋体"/>
                <w:strike w:val="0"/>
                <w:dstrike w:val="0"/>
                <w:color w:val="auto"/>
                <w:sz w:val="21"/>
                <w:szCs w:val="21"/>
                <w:highlight w:val="none"/>
                <w:lang w:val="en-US" w:eastAsia="zh-CN"/>
              </w:rPr>
            </w:pPr>
            <w:r>
              <w:rPr>
                <w:rFonts w:hint="eastAsia" w:ascii="Times New Roman" w:hAnsi="Times New Roman" w:eastAsia="宋体"/>
                <w:strike w:val="0"/>
                <w:dstrike w:val="0"/>
                <w:color w:val="auto"/>
                <w:sz w:val="21"/>
                <w:szCs w:val="21"/>
                <w:highlight w:val="none"/>
                <w:lang w:val="en-US" w:eastAsia="zh-CN"/>
              </w:rPr>
              <w:t>三级</w:t>
            </w:r>
          </w:p>
        </w:tc>
      </w:tr>
      <w:tr w14:paraId="4C74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326906DF">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411A3F1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建设项目占地规模</w:t>
            </w:r>
          </w:p>
        </w:tc>
        <w:tc>
          <w:tcPr>
            <w:tcW w:w="2468" w:type="dxa"/>
            <w:vAlign w:val="center"/>
          </w:tcPr>
          <w:p w14:paraId="512446E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中</w:t>
            </w:r>
            <w:r>
              <w:rPr>
                <w:rFonts w:hint="eastAsia" w:ascii="Times New Roman" w:hAnsi="Times New Roman" w:eastAsia="宋体"/>
                <w:strike w:val="0"/>
                <w:dstrike w:val="0"/>
                <w:color w:val="auto"/>
                <w:sz w:val="21"/>
                <w:szCs w:val="21"/>
                <w:highlight w:val="none"/>
              </w:rPr>
              <w:t>型</w:t>
            </w:r>
          </w:p>
        </w:tc>
        <w:tc>
          <w:tcPr>
            <w:tcW w:w="1155" w:type="dxa"/>
            <w:vMerge w:val="continue"/>
            <w:vAlign w:val="center"/>
          </w:tcPr>
          <w:p w14:paraId="0BEC82A4">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7384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094A88DE">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555639EF">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区域土壤敏感程度</w:t>
            </w:r>
          </w:p>
        </w:tc>
        <w:tc>
          <w:tcPr>
            <w:tcW w:w="2468" w:type="dxa"/>
            <w:vAlign w:val="center"/>
          </w:tcPr>
          <w:p w14:paraId="691DDD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不</w:t>
            </w:r>
            <w:r>
              <w:rPr>
                <w:rFonts w:hint="eastAsia" w:ascii="Times New Roman" w:hAnsi="Times New Roman" w:eastAsia="宋体"/>
                <w:strike w:val="0"/>
                <w:dstrike w:val="0"/>
                <w:color w:val="auto"/>
                <w:sz w:val="21"/>
                <w:szCs w:val="21"/>
                <w:highlight w:val="none"/>
              </w:rPr>
              <w:t>敏感</w:t>
            </w:r>
          </w:p>
        </w:tc>
        <w:tc>
          <w:tcPr>
            <w:tcW w:w="1155" w:type="dxa"/>
            <w:vMerge w:val="continue"/>
            <w:vAlign w:val="center"/>
          </w:tcPr>
          <w:p w14:paraId="4A5193DF">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0576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restart"/>
            <w:vAlign w:val="center"/>
          </w:tcPr>
          <w:p w14:paraId="5129473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生态环境</w:t>
            </w:r>
          </w:p>
        </w:tc>
        <w:tc>
          <w:tcPr>
            <w:tcW w:w="3597" w:type="dxa"/>
            <w:vAlign w:val="center"/>
          </w:tcPr>
          <w:p w14:paraId="0069FD2D">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区域生态环境敏感程度</w:t>
            </w:r>
          </w:p>
        </w:tc>
        <w:tc>
          <w:tcPr>
            <w:tcW w:w="2468" w:type="dxa"/>
            <w:vAlign w:val="center"/>
          </w:tcPr>
          <w:p w14:paraId="39E9A7D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一般区域</w:t>
            </w:r>
          </w:p>
        </w:tc>
        <w:tc>
          <w:tcPr>
            <w:tcW w:w="1155" w:type="dxa"/>
            <w:vMerge w:val="restart"/>
            <w:vAlign w:val="center"/>
          </w:tcPr>
          <w:p w14:paraId="3A0EA05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三级</w:t>
            </w:r>
          </w:p>
        </w:tc>
      </w:tr>
      <w:tr w14:paraId="4E0B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Merge w:val="continue"/>
            <w:vAlign w:val="center"/>
          </w:tcPr>
          <w:p w14:paraId="77FBABE2">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3597" w:type="dxa"/>
            <w:vAlign w:val="center"/>
          </w:tcPr>
          <w:p w14:paraId="3EBAD156">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工程占地范围</w:t>
            </w:r>
          </w:p>
        </w:tc>
        <w:tc>
          <w:tcPr>
            <w:tcW w:w="2468" w:type="dxa"/>
            <w:vAlign w:val="center"/>
          </w:tcPr>
          <w:p w14:paraId="772F01D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厂区占地面积约</w:t>
            </w:r>
            <w:r>
              <w:rPr>
                <w:rFonts w:hint="eastAsia" w:ascii="Times New Roman" w:hAnsi="Times New Roman" w:eastAsia="宋体"/>
                <w:strike w:val="0"/>
                <w:dstrike w:val="0"/>
                <w:color w:val="auto"/>
                <w:sz w:val="21"/>
                <w:szCs w:val="21"/>
                <w:highlight w:val="none"/>
                <w:lang w:val="en-US" w:eastAsia="zh-CN"/>
              </w:rPr>
              <w:t>134870</w:t>
            </w:r>
            <w:r>
              <w:rPr>
                <w:rFonts w:hint="eastAsia" w:ascii="Times New Roman" w:hAnsi="Times New Roman" w:eastAsia="宋体"/>
                <w:strike w:val="0"/>
                <w:dstrike w:val="0"/>
                <w:color w:val="auto"/>
                <w:sz w:val="21"/>
                <w:szCs w:val="21"/>
                <w:highlight w:val="none"/>
              </w:rPr>
              <w:t>m</w:t>
            </w:r>
            <w:r>
              <w:rPr>
                <w:rFonts w:hint="eastAsia" w:ascii="Times New Roman" w:hAnsi="Times New Roman" w:eastAsia="宋体"/>
                <w:strike w:val="0"/>
                <w:dstrike w:val="0"/>
                <w:color w:val="auto"/>
                <w:sz w:val="21"/>
                <w:szCs w:val="21"/>
                <w:highlight w:val="none"/>
                <w:vertAlign w:val="superscript"/>
              </w:rPr>
              <w:t>2</w:t>
            </w:r>
          </w:p>
        </w:tc>
        <w:tc>
          <w:tcPr>
            <w:tcW w:w="1155" w:type="dxa"/>
            <w:vMerge w:val="continue"/>
            <w:vAlign w:val="center"/>
          </w:tcPr>
          <w:p w14:paraId="5147ED76">
            <w:pPr>
              <w:spacing w:line="240" w:lineRule="auto"/>
              <w:ind w:firstLine="0" w:firstLineChars="0"/>
              <w:jc w:val="center"/>
              <w:rPr>
                <w:rFonts w:ascii="Times New Roman" w:hAnsi="Times New Roman" w:eastAsia="宋体"/>
                <w:strike w:val="0"/>
                <w:dstrike w:val="0"/>
                <w:color w:val="auto"/>
                <w:sz w:val="21"/>
                <w:szCs w:val="21"/>
                <w:highlight w:val="none"/>
              </w:rPr>
            </w:pPr>
          </w:p>
        </w:tc>
      </w:tr>
      <w:tr w14:paraId="318E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6" w:type="dxa"/>
            <w:vAlign w:val="center"/>
          </w:tcPr>
          <w:p w14:paraId="6EDAD03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环境风险</w:t>
            </w:r>
          </w:p>
          <w:p w14:paraId="646A837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评价</w:t>
            </w:r>
          </w:p>
        </w:tc>
        <w:tc>
          <w:tcPr>
            <w:tcW w:w="3597" w:type="dxa"/>
            <w:vAlign w:val="center"/>
          </w:tcPr>
          <w:p w14:paraId="551302E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危险物质数量与临界量比值</w:t>
            </w:r>
          </w:p>
        </w:tc>
        <w:tc>
          <w:tcPr>
            <w:tcW w:w="2468" w:type="dxa"/>
            <w:vAlign w:val="center"/>
          </w:tcPr>
          <w:p w14:paraId="1BDDC28C">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不</w:t>
            </w:r>
            <w:r>
              <w:rPr>
                <w:rFonts w:hint="eastAsia" w:ascii="Times New Roman" w:hAnsi="Times New Roman" w:eastAsia="宋体"/>
                <w:strike w:val="0"/>
                <w:dstrike w:val="0"/>
                <w:color w:val="auto"/>
                <w:sz w:val="21"/>
                <w:szCs w:val="21"/>
                <w:highlight w:val="none"/>
              </w:rPr>
              <w:t>涉及附录B中的</w:t>
            </w:r>
            <w:r>
              <w:rPr>
                <w:rFonts w:hint="eastAsia" w:ascii="Times New Roman" w:hAnsi="Times New Roman" w:eastAsia="宋体"/>
                <w:strike w:val="0"/>
                <w:dstrike w:val="0"/>
                <w:color w:val="auto"/>
                <w:sz w:val="21"/>
                <w:szCs w:val="21"/>
                <w:highlight w:val="none"/>
                <w:lang w:val="en-US" w:eastAsia="zh-CN"/>
              </w:rPr>
              <w:t>化学品</w:t>
            </w:r>
            <w:r>
              <w:rPr>
                <w:rFonts w:hint="eastAsia" w:ascii="Times New Roman" w:hAnsi="Times New Roman" w:eastAsia="宋体"/>
                <w:strike w:val="0"/>
                <w:dstrike w:val="0"/>
                <w:color w:val="auto"/>
                <w:sz w:val="21"/>
                <w:szCs w:val="21"/>
                <w:highlight w:val="none"/>
              </w:rPr>
              <w:t>，Q＜1</w:t>
            </w:r>
          </w:p>
        </w:tc>
        <w:tc>
          <w:tcPr>
            <w:tcW w:w="1155" w:type="dxa"/>
            <w:vAlign w:val="center"/>
          </w:tcPr>
          <w:p w14:paraId="5F5F2E8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简单分析</w:t>
            </w:r>
          </w:p>
        </w:tc>
      </w:tr>
    </w:tbl>
    <w:p w14:paraId="2194D6F8">
      <w:pPr>
        <w:pStyle w:val="4"/>
        <w:rPr>
          <w:rFonts w:ascii="Times New Roman" w:hAnsi="Times New Roman" w:eastAsia="宋体"/>
          <w:strike w:val="0"/>
          <w:dstrike w:val="0"/>
          <w:color w:val="auto"/>
          <w:highlight w:val="none"/>
        </w:rPr>
      </w:pPr>
      <w:bookmarkStart w:id="76" w:name="_Toc6526"/>
      <w:bookmarkStart w:id="77" w:name="_Toc106663443"/>
      <w:r>
        <w:rPr>
          <w:rFonts w:hint="eastAsia" w:ascii="Times New Roman" w:hAnsi="Times New Roman" w:eastAsia="宋体"/>
          <w:strike w:val="0"/>
          <w:dstrike w:val="0"/>
          <w:color w:val="auto"/>
          <w:highlight w:val="none"/>
        </w:rPr>
        <w:t>2.6.2评价范围</w:t>
      </w:r>
      <w:bookmarkEnd w:id="76"/>
      <w:bookmarkEnd w:id="77"/>
    </w:p>
    <w:p w14:paraId="7291177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根据评价工作等级及当地气象条件、自然环境状况确定各环境要素评价范围如下：</w:t>
      </w:r>
    </w:p>
    <w:p w14:paraId="6344ED83">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2.6.2.1环境空气</w:t>
      </w:r>
    </w:p>
    <w:p w14:paraId="62507CC8">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根据《环境影响评价技术导则大气环境》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HJ2.2-2018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二</w:t>
      </w:r>
      <w:r>
        <w:rPr>
          <w:rFonts w:ascii="Times New Roman" w:hAnsi="Times New Roman" w:eastAsia="宋体"/>
          <w:strike w:val="0"/>
          <w:dstrike w:val="0"/>
          <w:color w:val="auto"/>
          <w:highlight w:val="none"/>
        </w:rPr>
        <w:t>级评价项目</w:t>
      </w:r>
      <w:r>
        <w:rPr>
          <w:rFonts w:hint="eastAsia" w:ascii="Times New Roman" w:hAnsi="Times New Roman" w:eastAsia="宋体"/>
          <w:strike w:val="0"/>
          <w:dstrike w:val="0"/>
          <w:color w:val="auto"/>
          <w:highlight w:val="none"/>
          <w:lang w:val="en-US" w:eastAsia="zh-CN"/>
        </w:rPr>
        <w:t>大气环境影响评价范围边长取5km</w:t>
      </w:r>
      <w:r>
        <w:rPr>
          <w:rFonts w:hint="eastAsia" w:ascii="Times New Roman" w:hAnsi="Times New Roman" w:eastAsia="宋体"/>
          <w:strike w:val="0"/>
          <w:dstrike w:val="0"/>
          <w:color w:val="auto"/>
          <w:highlight w:val="none"/>
          <w:lang w:eastAsia="zh-CN"/>
        </w:rPr>
        <w:t>。</w:t>
      </w:r>
    </w:p>
    <w:p w14:paraId="7E9C97BD">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2.6.2.2地下水环境</w:t>
      </w:r>
    </w:p>
    <w:p w14:paraId="7B98840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Times New Roman"/>
          <w:strike w:val="0"/>
          <w:dstrike w:val="0"/>
          <w:snapToGrid/>
          <w:color w:val="auto"/>
          <w:spacing w:val="0"/>
          <w:w w:val="100"/>
          <w:kern w:val="0"/>
          <w:position w:val="0"/>
          <w:szCs w:val="24"/>
          <w:lang w:val="en-US" w:eastAsia="zh-CN" w:bidi="ar"/>
        </w:rPr>
        <w:t>地下水评价范围重点考虑了污染源分布特征、地下水径流特征、地下水可能受到污染的区域；同时要能说明地下水环境基本状况，并满足对地下水环境影响进行预测和评价需要</w:t>
      </w:r>
      <w:r>
        <w:rPr>
          <w:rFonts w:hint="eastAsia" w:ascii="Times New Roman" w:hAnsi="Times New Roman" w:eastAsia="宋体" w:cs="Times New Roman"/>
          <w:strike w:val="0"/>
          <w:dstrike w:val="0"/>
          <w:snapToGrid/>
          <w:color w:val="auto"/>
          <w:spacing w:val="0"/>
          <w:w w:val="100"/>
          <w:kern w:val="0"/>
          <w:position w:val="0"/>
          <w:szCs w:val="24"/>
          <w:lang w:val="en-US" w:eastAsia="zh-CN" w:bidi="ar"/>
        </w:rPr>
        <w:t>。</w:t>
      </w:r>
      <w:r>
        <w:rPr>
          <w:rFonts w:hint="eastAsia" w:ascii="Times New Roman" w:hAnsi="Times New Roman" w:eastAsia="宋体" w:cs="Times New Roman"/>
          <w:strike w:val="0"/>
          <w:dstrike w:val="0"/>
          <w:snapToGrid/>
          <w:color w:val="auto"/>
          <w:spacing w:val="0"/>
          <w:w w:val="100"/>
          <w:kern w:val="0"/>
          <w:position w:val="0"/>
          <w:szCs w:val="24"/>
          <w:lang w:val="en-US" w:eastAsia="zh-CN" w:bidi="ar"/>
        </w:rPr>
        <w:t>根据项目所在区地形地貌及污染源所在场地，评价范围确定为以</w:t>
      </w:r>
      <w:r>
        <w:rPr>
          <w:rFonts w:hint="eastAsia" w:ascii="Times New Roman" w:hAnsi="Times New Roman" w:eastAsia="宋体" w:cs="Times New Roman"/>
          <w:strike w:val="0"/>
          <w:dstrike w:val="0"/>
          <w:snapToGrid/>
          <w:color w:val="auto"/>
          <w:spacing w:val="0"/>
          <w:w w:val="100"/>
          <w:kern w:val="0"/>
          <w:position w:val="0"/>
          <w:szCs w:val="24"/>
          <w:lang w:val="en-US" w:eastAsia="zh-CN" w:bidi="ar"/>
        </w:rPr>
        <w:t>项目区</w:t>
      </w:r>
      <w:r>
        <w:rPr>
          <w:rFonts w:hint="eastAsia" w:ascii="Times New Roman" w:hAnsi="Times New Roman" w:eastAsia="宋体" w:cs="Times New Roman"/>
          <w:strike w:val="0"/>
          <w:dstrike w:val="0"/>
          <w:snapToGrid/>
          <w:color w:val="auto"/>
          <w:spacing w:val="0"/>
          <w:w w:val="100"/>
          <w:kern w:val="0"/>
          <w:position w:val="0"/>
          <w:szCs w:val="24"/>
          <w:lang w:val="en-US" w:eastAsia="zh-CN" w:bidi="ar"/>
        </w:rPr>
        <w:t>为边界，确定为相对独立的水文地质单元</w:t>
      </w:r>
      <w:r>
        <w:rPr>
          <w:rFonts w:hint="eastAsia" w:ascii="Times New Roman" w:hAnsi="Times New Roman" w:eastAsia="宋体" w:cs="Times New Roman"/>
          <w:strike w:val="0"/>
          <w:dstrike w:val="0"/>
          <w:snapToGrid/>
          <w:color w:val="auto"/>
          <w:spacing w:val="0"/>
          <w:w w:val="100"/>
          <w:kern w:val="0"/>
          <w:position w:val="0"/>
          <w:szCs w:val="24"/>
          <w:lang w:eastAsia="zh-CN" w:bidi="ar"/>
        </w:rPr>
        <w:t>。</w:t>
      </w:r>
      <w:r>
        <w:rPr>
          <w:rFonts w:hint="eastAsia" w:ascii="Times New Roman" w:hAnsi="Times New Roman" w:eastAsia="宋体" w:cs="Times New Roman"/>
          <w:strike w:val="0"/>
          <w:dstrike w:val="0"/>
          <w:snapToGrid/>
          <w:color w:val="auto"/>
          <w:spacing w:val="0"/>
          <w:w w:val="100"/>
          <w:kern w:val="0"/>
          <w:position w:val="0"/>
          <w:szCs w:val="24"/>
          <w:lang w:bidi="ar"/>
        </w:rPr>
        <w:t>该项目地下水评价等级为</w:t>
      </w:r>
      <w:r>
        <w:rPr>
          <w:rFonts w:hint="eastAsia" w:ascii="Times New Roman" w:hAnsi="Times New Roman" w:eastAsia="宋体" w:cs="Times New Roman"/>
          <w:strike w:val="0"/>
          <w:dstrike w:val="0"/>
          <w:snapToGrid/>
          <w:color w:val="auto"/>
          <w:spacing w:val="0"/>
          <w:w w:val="100"/>
          <w:kern w:val="0"/>
          <w:position w:val="0"/>
          <w:szCs w:val="24"/>
          <w:lang w:val="en-US" w:eastAsia="zh-CN" w:bidi="ar"/>
        </w:rPr>
        <w:t>三</w:t>
      </w:r>
      <w:r>
        <w:rPr>
          <w:rFonts w:hint="eastAsia" w:ascii="Times New Roman" w:hAnsi="Times New Roman" w:eastAsia="宋体" w:cs="Times New Roman"/>
          <w:strike w:val="0"/>
          <w:dstrike w:val="0"/>
          <w:snapToGrid/>
          <w:color w:val="auto"/>
          <w:spacing w:val="0"/>
          <w:w w:val="100"/>
          <w:kern w:val="0"/>
          <w:position w:val="0"/>
          <w:szCs w:val="24"/>
          <w:lang w:bidi="ar"/>
        </w:rPr>
        <w:t>级；根据查表法，本项目地下水环境评价范围最终确定为6km</w:t>
      </w:r>
      <w:r>
        <w:rPr>
          <w:rFonts w:hint="eastAsia" w:ascii="Times New Roman" w:hAnsi="Times New Roman" w:eastAsia="宋体" w:cs="Times New Roman"/>
          <w:strike w:val="0"/>
          <w:dstrike w:val="0"/>
          <w:snapToGrid/>
          <w:color w:val="auto"/>
          <w:spacing w:val="0"/>
          <w:w w:val="100"/>
          <w:kern w:val="0"/>
          <w:position w:val="0"/>
          <w:szCs w:val="24"/>
          <w:vertAlign w:val="superscript"/>
          <w:lang w:bidi="ar"/>
        </w:rPr>
        <w:t>2</w:t>
      </w:r>
      <w:r>
        <w:rPr>
          <w:rFonts w:hint="eastAsia" w:ascii="Times New Roman" w:hAnsi="Times New Roman" w:eastAsia="宋体" w:cs="Times New Roman"/>
          <w:strike w:val="0"/>
          <w:dstrike w:val="0"/>
          <w:snapToGrid/>
          <w:color w:val="auto"/>
          <w:spacing w:val="0"/>
          <w:w w:val="100"/>
          <w:kern w:val="0"/>
          <w:position w:val="0"/>
          <w:szCs w:val="24"/>
          <w:lang w:eastAsia="zh-CN" w:bidi="ar"/>
        </w:rPr>
        <w:t>。</w:t>
      </w:r>
    </w:p>
    <w:p w14:paraId="4AEA1660">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2.6.2.3声环境</w:t>
      </w:r>
    </w:p>
    <w:p w14:paraId="7E96A4F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项目噪声评价范围为厂区周围200m区域</w:t>
      </w:r>
      <w:r>
        <w:rPr>
          <w:rFonts w:hint="eastAsia" w:ascii="Times New Roman" w:hAnsi="Times New Roman" w:eastAsia="宋体"/>
          <w:strike w:val="0"/>
          <w:dstrike w:val="0"/>
          <w:color w:val="auto"/>
          <w:highlight w:val="none"/>
          <w:lang w:eastAsia="zh-CN"/>
        </w:rPr>
        <w:t>。</w:t>
      </w:r>
    </w:p>
    <w:p w14:paraId="1CC6BF79">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2.6.2.4土壤环境</w:t>
      </w:r>
    </w:p>
    <w:p w14:paraId="25430AF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项目土壤评价范围为项目区范围和占地范围外50m范围内</w:t>
      </w:r>
      <w:r>
        <w:rPr>
          <w:rFonts w:hint="eastAsia" w:ascii="Times New Roman" w:hAnsi="Times New Roman" w:eastAsia="宋体"/>
          <w:strike w:val="0"/>
          <w:dstrike w:val="0"/>
          <w:color w:val="auto"/>
          <w:highlight w:val="none"/>
          <w:lang w:eastAsia="zh-CN"/>
        </w:rPr>
        <w:t>。</w:t>
      </w:r>
    </w:p>
    <w:p w14:paraId="22A6F26C">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2.6.2.5生态影响</w:t>
      </w:r>
    </w:p>
    <w:p w14:paraId="771AA46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本项目评价范围为本项目活动直接影响区域和间接影响区域，根据本项目的特点，本项目的生态影响范围为本项目的厂界外1km范围内区域</w:t>
      </w:r>
      <w:r>
        <w:rPr>
          <w:rFonts w:hint="eastAsia" w:ascii="Times New Roman" w:hAnsi="Times New Roman" w:eastAsia="宋体"/>
          <w:strike w:val="0"/>
          <w:dstrike w:val="0"/>
          <w:color w:val="auto"/>
          <w:highlight w:val="none"/>
          <w:lang w:eastAsia="zh-CN"/>
        </w:rPr>
        <w:t>。</w:t>
      </w:r>
    </w:p>
    <w:p w14:paraId="741F18B5">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2.6.2.6环境风险</w:t>
      </w:r>
    </w:p>
    <w:p w14:paraId="29C7A9F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项目风险评价等级为简单分析，从风险源、环境影响途径、环境危害后果、风险防范措施等方面给出定性的说明</w:t>
      </w:r>
      <w:r>
        <w:rPr>
          <w:rFonts w:hint="eastAsia" w:ascii="Times New Roman" w:hAnsi="Times New Roman" w:eastAsia="宋体"/>
          <w:strike w:val="0"/>
          <w:dstrike w:val="0"/>
          <w:color w:val="auto"/>
          <w:highlight w:val="none"/>
          <w:lang w:eastAsia="zh-CN"/>
        </w:rPr>
        <w:t>。</w:t>
      </w:r>
    </w:p>
    <w:p w14:paraId="577689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本项目环境影响评价范围一览表见表2.6-1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，项目评价范围图见附图2.6-1</w:t>
      </w:r>
      <w:r>
        <w:rPr>
          <w:rFonts w:hint="eastAsia" w:ascii="Times New Roman" w:hAnsi="Times New Roman" w:eastAsia="宋体"/>
          <w:strike w:val="0"/>
          <w:dstrike w:val="0"/>
          <w:color w:val="auto"/>
          <w:highlight w:val="none"/>
          <w:lang w:eastAsia="zh-CN"/>
        </w:rPr>
        <w:t>。</w:t>
      </w:r>
    </w:p>
    <w:p w14:paraId="43B3CB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表2.6-12环境影响评价范围一览表</w:t>
      </w:r>
    </w:p>
    <w:tbl>
      <w:tblPr>
        <w:tblStyle w:val="183"/>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07"/>
        <w:gridCol w:w="1277"/>
        <w:gridCol w:w="1311"/>
        <w:gridCol w:w="5018"/>
      </w:tblGrid>
      <w:tr w14:paraId="413D7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jc w:val="center"/>
        </w:trPr>
        <w:tc>
          <w:tcPr>
            <w:tcW w:w="425" w:type="pct"/>
            <w:tcBorders>
              <w:top w:val="single" w:color="000000" w:sz="2" w:space="0"/>
              <w:bottom w:val="single" w:color="000000" w:sz="2" w:space="0"/>
            </w:tcBorders>
            <w:vAlign w:val="center"/>
          </w:tcPr>
          <w:p w14:paraId="617E43A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768" w:type="pct"/>
            <w:tcBorders>
              <w:top w:val="single" w:color="000000" w:sz="2" w:space="0"/>
              <w:bottom w:val="single" w:color="000000" w:sz="2" w:space="0"/>
            </w:tcBorders>
            <w:vAlign w:val="center"/>
          </w:tcPr>
          <w:p w14:paraId="36528E7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类别</w:t>
            </w:r>
          </w:p>
        </w:tc>
        <w:tc>
          <w:tcPr>
            <w:tcW w:w="788" w:type="pct"/>
            <w:tcBorders>
              <w:top w:val="single" w:color="000000" w:sz="2" w:space="0"/>
              <w:bottom w:val="single" w:color="000000" w:sz="2" w:space="0"/>
            </w:tcBorders>
            <w:vAlign w:val="center"/>
          </w:tcPr>
          <w:p w14:paraId="4E3EA3D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评价等级</w:t>
            </w:r>
          </w:p>
        </w:tc>
        <w:tc>
          <w:tcPr>
            <w:tcW w:w="3017" w:type="pct"/>
            <w:tcBorders>
              <w:top w:val="single" w:color="000000" w:sz="2" w:space="0"/>
              <w:bottom w:val="single" w:color="000000" w:sz="2" w:space="0"/>
            </w:tcBorders>
            <w:vAlign w:val="center"/>
          </w:tcPr>
          <w:p w14:paraId="5CF6013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评价范围</w:t>
            </w:r>
          </w:p>
        </w:tc>
      </w:tr>
      <w:tr w14:paraId="0FC70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425" w:type="pct"/>
            <w:tcBorders>
              <w:top w:val="single" w:color="000000" w:sz="2" w:space="0"/>
              <w:bottom w:val="single" w:color="000000" w:sz="2" w:space="0"/>
            </w:tcBorders>
            <w:vAlign w:val="center"/>
          </w:tcPr>
          <w:p w14:paraId="37B535B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768" w:type="pct"/>
            <w:tcBorders>
              <w:top w:val="single" w:color="000000" w:sz="2" w:space="0"/>
              <w:bottom w:val="single" w:color="000000" w:sz="2" w:space="0"/>
            </w:tcBorders>
            <w:vAlign w:val="center"/>
          </w:tcPr>
          <w:p w14:paraId="398E269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环境空气</w:t>
            </w:r>
          </w:p>
        </w:tc>
        <w:tc>
          <w:tcPr>
            <w:tcW w:w="788" w:type="pct"/>
            <w:tcBorders>
              <w:top w:val="single" w:color="000000" w:sz="2" w:space="0"/>
              <w:bottom w:val="single" w:color="000000" w:sz="2" w:space="0"/>
            </w:tcBorders>
            <w:vAlign w:val="center"/>
          </w:tcPr>
          <w:p w14:paraId="7D10644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二级</w:t>
            </w:r>
          </w:p>
        </w:tc>
        <w:tc>
          <w:tcPr>
            <w:tcW w:w="3017" w:type="pct"/>
            <w:tcBorders>
              <w:top w:val="single" w:color="000000" w:sz="2" w:space="0"/>
              <w:bottom w:val="single" w:color="000000" w:sz="2" w:space="0"/>
            </w:tcBorders>
            <w:vAlign w:val="center"/>
          </w:tcPr>
          <w:p w14:paraId="558C2BF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以项目厂区为中心，边长为</w:t>
            </w:r>
            <w:r>
              <w:rPr>
                <w:rFonts w:ascii="Times New Roman" w:hAnsi="Times New Roman" w:eastAsia="宋体" w:cs="Times New Roman"/>
                <w:strike w:val="0"/>
                <w:dstrike w:val="0"/>
                <w:color w:val="auto"/>
                <w:spacing w:val="0"/>
                <w:sz w:val="21"/>
                <w:szCs w:val="21"/>
                <w:highlight w:val="none"/>
              </w:rPr>
              <w:t>5km×5km</w:t>
            </w:r>
            <w:r>
              <w:rPr>
                <w:rFonts w:ascii="Times New Roman" w:hAnsi="Times New Roman" w:eastAsia="宋体" w:cs="宋体"/>
                <w:strike w:val="0"/>
                <w:dstrike w:val="0"/>
                <w:color w:val="auto"/>
                <w:spacing w:val="0"/>
                <w:sz w:val="21"/>
                <w:szCs w:val="21"/>
                <w:highlight w:val="none"/>
              </w:rPr>
              <w:t>的正方形</w:t>
            </w:r>
            <w:r>
              <w:rPr>
                <w:rFonts w:hint="eastAsia" w:ascii="Times New Roman" w:hAnsi="Times New Roman" w:eastAsia="宋体" w:cs="宋体"/>
                <w:strike w:val="0"/>
                <w:dstrike w:val="0"/>
                <w:color w:val="auto"/>
                <w:spacing w:val="0"/>
                <w:sz w:val="21"/>
                <w:szCs w:val="21"/>
                <w:highlight w:val="none"/>
                <w:lang w:eastAsia="zh-CN"/>
              </w:rPr>
              <w:t>。</w:t>
            </w:r>
          </w:p>
        </w:tc>
      </w:tr>
      <w:tr w14:paraId="122DE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425" w:type="pct"/>
            <w:tcBorders>
              <w:top w:val="single" w:color="000000" w:sz="2" w:space="0"/>
              <w:bottom w:val="single" w:color="000000" w:sz="2" w:space="0"/>
            </w:tcBorders>
            <w:vAlign w:val="center"/>
          </w:tcPr>
          <w:p w14:paraId="6EE2318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w:t>
            </w:r>
          </w:p>
        </w:tc>
        <w:tc>
          <w:tcPr>
            <w:tcW w:w="768" w:type="pct"/>
            <w:tcBorders>
              <w:top w:val="single" w:color="000000" w:sz="2" w:space="0"/>
              <w:bottom w:val="single" w:color="000000" w:sz="2" w:space="0"/>
            </w:tcBorders>
            <w:vAlign w:val="center"/>
          </w:tcPr>
          <w:p w14:paraId="7799829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声环境</w:t>
            </w:r>
          </w:p>
        </w:tc>
        <w:tc>
          <w:tcPr>
            <w:tcW w:w="788" w:type="pct"/>
            <w:tcBorders>
              <w:top w:val="single" w:color="000000" w:sz="2" w:space="0"/>
              <w:bottom w:val="single" w:color="000000" w:sz="2" w:space="0"/>
            </w:tcBorders>
            <w:vAlign w:val="center"/>
          </w:tcPr>
          <w:p w14:paraId="463EE6F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二级</w:t>
            </w:r>
          </w:p>
        </w:tc>
        <w:tc>
          <w:tcPr>
            <w:tcW w:w="3017" w:type="pct"/>
            <w:tcBorders>
              <w:top w:val="single" w:color="000000" w:sz="2" w:space="0"/>
              <w:bottom w:val="single" w:color="000000" w:sz="2" w:space="0"/>
            </w:tcBorders>
            <w:vAlign w:val="center"/>
          </w:tcPr>
          <w:p w14:paraId="01DE7AE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项目厂界外</w:t>
            </w:r>
            <w:r>
              <w:rPr>
                <w:rFonts w:ascii="Times New Roman" w:hAnsi="Times New Roman" w:eastAsia="宋体" w:cs="Times New Roman"/>
                <w:strike w:val="0"/>
                <w:dstrike w:val="0"/>
                <w:color w:val="auto"/>
                <w:spacing w:val="0"/>
                <w:sz w:val="21"/>
                <w:szCs w:val="21"/>
                <w:highlight w:val="none"/>
              </w:rPr>
              <w:t>200m</w:t>
            </w:r>
            <w:r>
              <w:rPr>
                <w:rFonts w:ascii="Times New Roman" w:hAnsi="Times New Roman" w:eastAsia="宋体" w:cs="宋体"/>
                <w:strike w:val="0"/>
                <w:dstrike w:val="0"/>
                <w:color w:val="auto"/>
                <w:spacing w:val="0"/>
                <w:sz w:val="21"/>
                <w:szCs w:val="21"/>
                <w:highlight w:val="none"/>
              </w:rPr>
              <w:t>范围内</w:t>
            </w:r>
            <w:r>
              <w:rPr>
                <w:rFonts w:hint="eastAsia" w:ascii="Times New Roman" w:hAnsi="Times New Roman" w:eastAsia="宋体" w:cs="宋体"/>
                <w:strike w:val="0"/>
                <w:dstrike w:val="0"/>
                <w:color w:val="auto"/>
                <w:spacing w:val="0"/>
                <w:sz w:val="21"/>
                <w:szCs w:val="21"/>
                <w:highlight w:val="none"/>
                <w:lang w:eastAsia="zh-CN"/>
              </w:rPr>
              <w:t>。</w:t>
            </w:r>
          </w:p>
        </w:tc>
      </w:tr>
      <w:tr w14:paraId="07A86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425" w:type="pct"/>
            <w:tcBorders>
              <w:top w:val="single" w:color="000000" w:sz="2" w:space="0"/>
              <w:bottom w:val="single" w:color="000000" w:sz="2" w:space="0"/>
            </w:tcBorders>
            <w:vAlign w:val="center"/>
          </w:tcPr>
          <w:p w14:paraId="0602718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3</w:t>
            </w:r>
          </w:p>
        </w:tc>
        <w:tc>
          <w:tcPr>
            <w:tcW w:w="768" w:type="pct"/>
            <w:tcBorders>
              <w:top w:val="single" w:color="000000" w:sz="2" w:space="0"/>
              <w:bottom w:val="single" w:color="000000" w:sz="2" w:space="0"/>
            </w:tcBorders>
            <w:vAlign w:val="center"/>
          </w:tcPr>
          <w:p w14:paraId="3CC0449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地下水环境</w:t>
            </w:r>
          </w:p>
        </w:tc>
        <w:tc>
          <w:tcPr>
            <w:tcW w:w="788" w:type="pct"/>
            <w:tcBorders>
              <w:top w:val="single" w:color="000000" w:sz="2" w:space="0"/>
              <w:bottom w:val="single" w:color="000000" w:sz="2" w:space="0"/>
            </w:tcBorders>
            <w:vAlign w:val="center"/>
          </w:tcPr>
          <w:p w14:paraId="62A1D75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val="en-US" w:eastAsia="zh-CN"/>
              </w:rPr>
              <w:t>三</w:t>
            </w:r>
            <w:r>
              <w:rPr>
                <w:rFonts w:ascii="Times New Roman" w:hAnsi="Times New Roman" w:eastAsia="宋体" w:cs="宋体"/>
                <w:strike w:val="0"/>
                <w:dstrike w:val="0"/>
                <w:color w:val="auto"/>
                <w:spacing w:val="0"/>
                <w:sz w:val="21"/>
                <w:szCs w:val="21"/>
                <w:highlight w:val="none"/>
              </w:rPr>
              <w:t>级</w:t>
            </w:r>
          </w:p>
        </w:tc>
        <w:tc>
          <w:tcPr>
            <w:tcW w:w="3017" w:type="pct"/>
            <w:tcBorders>
              <w:top w:val="single" w:color="000000" w:sz="2" w:space="0"/>
              <w:bottom w:val="single" w:color="000000" w:sz="2" w:space="0"/>
            </w:tcBorders>
            <w:vAlign w:val="center"/>
          </w:tcPr>
          <w:p w14:paraId="478ECCDC">
            <w:pPr>
              <w:keepNext w:val="0"/>
              <w:keepLines w:val="0"/>
              <w:pageBreakBefore w:val="0"/>
              <w:widowControl w:val="0"/>
              <w:kinsoku/>
              <w:wordWrap/>
              <w:overflowPunct/>
              <w:topLinePunct w:val="0"/>
              <w:autoSpaceDE/>
              <w:autoSpaceDN/>
              <w:bidi w:val="0"/>
              <w:adjustRightInd/>
              <w:snapToGrid/>
              <w:spacing w:line="360" w:lineRule="exact"/>
              <w:ind w:left="0" w:right="174"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围以厂址为中心，面积</w:t>
            </w:r>
            <w:r>
              <w:rPr>
                <w:rFonts w:ascii="Times New Roman" w:hAnsi="Times New Roman" w:eastAsia="宋体" w:cs="Times New Roman"/>
                <w:strike w:val="0"/>
                <w:dstrike w:val="0"/>
                <w:color w:val="auto"/>
                <w:spacing w:val="0"/>
                <w:sz w:val="21"/>
                <w:szCs w:val="21"/>
                <w:highlight w:val="none"/>
              </w:rPr>
              <w:t>6km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2</w:t>
            </w:r>
            <w:r>
              <w:rPr>
                <w:rFonts w:ascii="Times New Roman" w:hAnsi="Times New Roman" w:eastAsia="宋体" w:cs="宋体"/>
                <w:strike w:val="0"/>
                <w:dstrike w:val="0"/>
                <w:color w:val="auto"/>
                <w:spacing w:val="0"/>
                <w:sz w:val="21"/>
                <w:szCs w:val="21"/>
                <w:highlight w:val="none"/>
              </w:rPr>
              <w:t>的矩形区域</w:t>
            </w:r>
            <w:r>
              <w:rPr>
                <w:rFonts w:hint="eastAsia" w:ascii="Times New Roman" w:hAnsi="Times New Roman" w:eastAsia="宋体" w:cs="宋体"/>
                <w:strike w:val="0"/>
                <w:dstrike w:val="0"/>
                <w:color w:val="auto"/>
                <w:spacing w:val="0"/>
                <w:sz w:val="21"/>
                <w:szCs w:val="21"/>
                <w:highlight w:val="none"/>
                <w:lang w:eastAsia="zh-CN"/>
              </w:rPr>
              <w:t>。</w:t>
            </w:r>
          </w:p>
        </w:tc>
      </w:tr>
      <w:tr w14:paraId="549C3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425" w:type="pct"/>
            <w:tcBorders>
              <w:top w:val="single" w:color="000000" w:sz="2" w:space="0"/>
              <w:bottom w:val="single" w:color="000000" w:sz="2" w:space="0"/>
            </w:tcBorders>
            <w:vAlign w:val="center"/>
          </w:tcPr>
          <w:p w14:paraId="3E6B2E9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4</w:t>
            </w:r>
          </w:p>
        </w:tc>
        <w:tc>
          <w:tcPr>
            <w:tcW w:w="768" w:type="pct"/>
            <w:tcBorders>
              <w:top w:val="single" w:color="000000" w:sz="2" w:space="0"/>
              <w:bottom w:val="single" w:color="000000" w:sz="2" w:space="0"/>
            </w:tcBorders>
            <w:vAlign w:val="center"/>
          </w:tcPr>
          <w:p w14:paraId="216DFA5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土壤环境</w:t>
            </w:r>
          </w:p>
        </w:tc>
        <w:tc>
          <w:tcPr>
            <w:tcW w:w="788" w:type="pct"/>
            <w:tcBorders>
              <w:top w:val="single" w:color="000000" w:sz="2" w:space="0"/>
              <w:bottom w:val="single" w:color="000000" w:sz="2" w:space="0"/>
            </w:tcBorders>
            <w:vAlign w:val="center"/>
          </w:tcPr>
          <w:p w14:paraId="655AFC7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三级</w:t>
            </w:r>
          </w:p>
        </w:tc>
        <w:tc>
          <w:tcPr>
            <w:tcW w:w="3017" w:type="pct"/>
            <w:tcBorders>
              <w:top w:val="single" w:color="000000" w:sz="2" w:space="0"/>
              <w:bottom w:val="single" w:color="000000" w:sz="2" w:space="0"/>
            </w:tcBorders>
            <w:vAlign w:val="center"/>
          </w:tcPr>
          <w:p w14:paraId="4BDE58F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项目区范围和占地范围外</w:t>
            </w:r>
            <w:r>
              <w:rPr>
                <w:rFonts w:ascii="Times New Roman" w:hAnsi="Times New Roman" w:eastAsia="宋体" w:cs="Times New Roman"/>
                <w:strike w:val="0"/>
                <w:dstrike w:val="0"/>
                <w:color w:val="auto"/>
                <w:spacing w:val="0"/>
                <w:sz w:val="21"/>
                <w:szCs w:val="21"/>
                <w:highlight w:val="none"/>
              </w:rPr>
              <w:t>50m</w:t>
            </w:r>
            <w:r>
              <w:rPr>
                <w:rFonts w:ascii="Times New Roman" w:hAnsi="Times New Roman" w:eastAsia="宋体" w:cs="宋体"/>
                <w:strike w:val="0"/>
                <w:dstrike w:val="0"/>
                <w:color w:val="auto"/>
                <w:spacing w:val="0"/>
                <w:sz w:val="21"/>
                <w:szCs w:val="21"/>
                <w:highlight w:val="none"/>
              </w:rPr>
              <w:t>范围内</w:t>
            </w:r>
          </w:p>
        </w:tc>
      </w:tr>
      <w:tr w14:paraId="0FCD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5" w:type="pct"/>
            <w:tcBorders>
              <w:top w:val="single" w:color="000000" w:sz="2" w:space="0"/>
              <w:bottom w:val="single" w:color="000000" w:sz="2" w:space="0"/>
            </w:tcBorders>
            <w:vAlign w:val="center"/>
          </w:tcPr>
          <w:p w14:paraId="2B02E0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w:t>
            </w:r>
          </w:p>
        </w:tc>
        <w:tc>
          <w:tcPr>
            <w:tcW w:w="768" w:type="pct"/>
            <w:tcBorders>
              <w:top w:val="single" w:color="000000" w:sz="2" w:space="0"/>
              <w:bottom w:val="single" w:color="000000" w:sz="2" w:space="0"/>
            </w:tcBorders>
            <w:vAlign w:val="center"/>
          </w:tcPr>
          <w:p w14:paraId="0EF091F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生态环境</w:t>
            </w:r>
          </w:p>
        </w:tc>
        <w:tc>
          <w:tcPr>
            <w:tcW w:w="788" w:type="pct"/>
            <w:tcBorders>
              <w:top w:val="single" w:color="000000" w:sz="2" w:space="0"/>
              <w:bottom w:val="single" w:color="000000" w:sz="2" w:space="0"/>
            </w:tcBorders>
            <w:vAlign w:val="center"/>
          </w:tcPr>
          <w:p w14:paraId="20DF0D9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三级</w:t>
            </w:r>
          </w:p>
        </w:tc>
        <w:tc>
          <w:tcPr>
            <w:tcW w:w="3017" w:type="pct"/>
            <w:tcBorders>
              <w:top w:val="single" w:color="000000" w:sz="2" w:space="0"/>
              <w:bottom w:val="single" w:color="000000" w:sz="2" w:space="0"/>
            </w:tcBorders>
            <w:vAlign w:val="center"/>
          </w:tcPr>
          <w:p w14:paraId="7F5447D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厂界外</w:t>
            </w:r>
            <w:r>
              <w:rPr>
                <w:rFonts w:ascii="Times New Roman" w:hAnsi="Times New Roman" w:eastAsia="宋体" w:cs="Times New Roman"/>
                <w:strike w:val="0"/>
                <w:dstrike w:val="0"/>
                <w:color w:val="auto"/>
                <w:spacing w:val="0"/>
                <w:sz w:val="21"/>
                <w:szCs w:val="21"/>
                <w:highlight w:val="none"/>
              </w:rPr>
              <w:t>1km</w:t>
            </w:r>
            <w:r>
              <w:rPr>
                <w:rFonts w:ascii="Times New Roman" w:hAnsi="Times New Roman" w:eastAsia="宋体" w:cs="宋体"/>
                <w:strike w:val="0"/>
                <w:dstrike w:val="0"/>
                <w:color w:val="auto"/>
                <w:spacing w:val="0"/>
                <w:sz w:val="21"/>
                <w:szCs w:val="21"/>
                <w:highlight w:val="none"/>
              </w:rPr>
              <w:t>范围内区域</w:t>
            </w:r>
          </w:p>
        </w:tc>
      </w:tr>
      <w:tr w14:paraId="73FC2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425" w:type="pct"/>
            <w:tcBorders>
              <w:top w:val="single" w:color="000000" w:sz="2" w:space="0"/>
              <w:bottom w:val="single" w:color="000000" w:sz="2" w:space="0"/>
            </w:tcBorders>
            <w:vAlign w:val="center"/>
          </w:tcPr>
          <w:p w14:paraId="1840D93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bookmarkStart w:id="78" w:name="_Toc89619330"/>
            <w:r>
              <w:rPr>
                <w:rFonts w:hint="eastAsia" w:ascii="Times New Roman" w:hAnsi="Times New Roman" w:eastAsia="宋体" w:cs="Times New Roman"/>
                <w:strike w:val="0"/>
                <w:dstrike w:val="0"/>
                <w:color w:val="auto"/>
                <w:spacing w:val="0"/>
                <w:sz w:val="21"/>
                <w:szCs w:val="21"/>
                <w:highlight w:val="none"/>
                <w:lang w:val="en-US" w:eastAsia="zh-CN"/>
              </w:rPr>
              <w:t>6</w:t>
            </w:r>
          </w:p>
        </w:tc>
        <w:tc>
          <w:tcPr>
            <w:tcW w:w="768" w:type="pct"/>
            <w:tcBorders>
              <w:top w:val="single" w:color="000000" w:sz="2" w:space="0"/>
              <w:bottom w:val="single" w:color="000000" w:sz="2" w:space="0"/>
            </w:tcBorders>
            <w:vAlign w:val="center"/>
          </w:tcPr>
          <w:p w14:paraId="1C61586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环境风险</w:t>
            </w:r>
          </w:p>
        </w:tc>
        <w:tc>
          <w:tcPr>
            <w:tcW w:w="788" w:type="pct"/>
            <w:tcBorders>
              <w:top w:val="single" w:color="000000" w:sz="2" w:space="0"/>
              <w:bottom w:val="single" w:color="000000" w:sz="2" w:space="0"/>
            </w:tcBorders>
            <w:vAlign w:val="center"/>
          </w:tcPr>
          <w:p w14:paraId="4DCC63F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简单分析</w:t>
            </w:r>
          </w:p>
        </w:tc>
        <w:tc>
          <w:tcPr>
            <w:tcW w:w="3017" w:type="pct"/>
            <w:tcBorders>
              <w:top w:val="single" w:color="000000" w:sz="2" w:space="0"/>
              <w:bottom w:val="single" w:color="000000" w:sz="2" w:space="0"/>
            </w:tcBorders>
            <w:vAlign w:val="center"/>
          </w:tcPr>
          <w:p w14:paraId="4BF36BC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w:t>
            </w:r>
          </w:p>
        </w:tc>
      </w:tr>
    </w:tbl>
    <w:p w14:paraId="1CEC5584">
      <w:pPr>
        <w:pStyle w:val="3"/>
        <w:rPr>
          <w:rFonts w:ascii="Times New Roman" w:hAnsi="Times New Roman" w:eastAsia="宋体"/>
          <w:strike w:val="0"/>
          <w:dstrike w:val="0"/>
          <w:color w:val="auto"/>
          <w:highlight w:val="none"/>
        </w:rPr>
      </w:pPr>
      <w:bookmarkStart w:id="79" w:name="_Toc30339"/>
      <w:r>
        <w:rPr>
          <w:rFonts w:hint="eastAsia" w:ascii="Times New Roman" w:hAnsi="Times New Roman" w:eastAsia="宋体"/>
          <w:strike w:val="0"/>
          <w:dstrike w:val="0"/>
          <w:color w:val="auto"/>
          <w:highlight w:val="none"/>
        </w:rPr>
        <w:t>2.7环境保护目标及敏感点</w:t>
      </w:r>
      <w:bookmarkEnd w:id="78"/>
      <w:bookmarkEnd w:id="79"/>
    </w:p>
    <w:p w14:paraId="38817991">
      <w:pPr>
        <w:ind w:firstLine="480"/>
        <w:rPr>
          <w:rFonts w:hint="eastAsia" w:ascii="Times New Roman" w:hAnsi="Times New Roman" w:eastAsia="宋体"/>
          <w:strike w:val="0"/>
          <w:dstrike w:val="0"/>
          <w:color w:val="auto"/>
          <w:highlight w:val="none"/>
        </w:rPr>
      </w:pPr>
      <w:bookmarkStart w:id="80" w:name="_Toc106663451"/>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环境空气</w:t>
      </w:r>
    </w:p>
    <w:p w14:paraId="3E0375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控制本项目大气污染物达标排放</w:t>
      </w:r>
      <w:r>
        <w:rPr>
          <w:rFonts w:hint="eastAsia" w:ascii="Times New Roman" w:hAnsi="Times New Roman" w:eastAsia="宋体"/>
          <w:strike w:val="0"/>
          <w:dstrike w:val="0"/>
          <w:color w:val="auto"/>
          <w:highlight w:val="none"/>
          <w:lang w:eastAsia="zh-CN"/>
        </w:rPr>
        <w:t>。</w:t>
      </w:r>
    </w:p>
    <w:p w14:paraId="2E3882F5">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地下水环境</w:t>
      </w:r>
    </w:p>
    <w:p w14:paraId="3F2C1E2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做好厂区地面硬化，医疗废物暂存间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黑膜池、堆肥场做好重点防渗，</w:t>
      </w:r>
      <w:r>
        <w:rPr>
          <w:rFonts w:hint="eastAsia" w:ascii="Times New Roman" w:hAnsi="Times New Roman" w:eastAsia="宋体"/>
          <w:strike w:val="0"/>
          <w:dstrike w:val="0"/>
          <w:color w:val="auto"/>
          <w:highlight w:val="none"/>
          <w:lang w:eastAsia="zh-CN"/>
        </w:rPr>
        <w:t>骆驼圈舍</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挤奶大厅</w:t>
      </w:r>
      <w:r>
        <w:rPr>
          <w:rFonts w:hint="eastAsia" w:ascii="Times New Roman" w:hAnsi="Times New Roman" w:eastAsia="宋体"/>
          <w:strike w:val="0"/>
          <w:dstrike w:val="0"/>
          <w:color w:val="auto"/>
          <w:highlight w:val="none"/>
        </w:rPr>
        <w:t>做好</w:t>
      </w:r>
      <w:r>
        <w:rPr>
          <w:rFonts w:hint="eastAsia" w:ascii="Times New Roman" w:hAnsi="Times New Roman" w:eastAsia="宋体"/>
          <w:strike w:val="0"/>
          <w:dstrike w:val="0"/>
          <w:color w:val="auto"/>
          <w:highlight w:val="none"/>
          <w:lang w:val="en-US" w:eastAsia="zh-CN"/>
        </w:rPr>
        <w:t>一般</w:t>
      </w:r>
      <w:r>
        <w:rPr>
          <w:rFonts w:hint="eastAsia" w:ascii="Times New Roman" w:hAnsi="Times New Roman" w:eastAsia="宋体"/>
          <w:strike w:val="0"/>
          <w:dstrike w:val="0"/>
          <w:color w:val="auto"/>
          <w:highlight w:val="none"/>
        </w:rPr>
        <w:t>防渗，确保项目所在区域地下水满足《地下水质量标准》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GB/</w:t>
      </w:r>
      <w:r>
        <w:rPr>
          <w:rFonts w:hint="eastAsia" w:ascii="Times New Roman" w:hAnsi="Times New Roman" w:eastAsia="宋体"/>
          <w:strike w:val="0"/>
          <w:dstrike w:val="0"/>
          <w:color w:val="auto"/>
          <w:highlight w:val="none"/>
          <w:lang w:eastAsia="zh-CN"/>
        </w:rPr>
        <w:t>T 14848</w:t>
      </w:r>
      <w:r>
        <w:rPr>
          <w:rFonts w:hint="eastAsia" w:ascii="Times New Roman" w:hAnsi="Times New Roman" w:eastAsia="宋体"/>
          <w:strike w:val="0"/>
          <w:dstrike w:val="0"/>
          <w:color w:val="auto"/>
          <w:highlight w:val="none"/>
        </w:rPr>
        <w:t>-2017</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中的Ⅲ类标准要求</w:t>
      </w:r>
      <w:r>
        <w:rPr>
          <w:rFonts w:hint="eastAsia" w:ascii="Times New Roman" w:hAnsi="Times New Roman" w:eastAsia="宋体"/>
          <w:strike w:val="0"/>
          <w:dstrike w:val="0"/>
          <w:color w:val="auto"/>
          <w:highlight w:val="none"/>
          <w:lang w:eastAsia="zh-CN"/>
        </w:rPr>
        <w:t>。</w:t>
      </w:r>
    </w:p>
    <w:p w14:paraId="5A6136F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声环境</w:t>
      </w:r>
    </w:p>
    <w:p w14:paraId="47590CB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确保区域声环境满足《声环境质量标准》</w:t>
      </w:r>
      <w:r>
        <w:rPr>
          <w:rFonts w:hint="eastAsia" w:ascii="Times New Roman" w:hAnsi="Times New Roman" w:eastAsia="宋体"/>
          <w:strike w:val="0"/>
          <w:dstrike w:val="0"/>
          <w:color w:val="auto"/>
          <w:highlight w:val="none"/>
          <w:lang w:eastAsia="zh-CN"/>
        </w:rPr>
        <w:t>（GB 3096</w:t>
      </w:r>
      <w:r>
        <w:rPr>
          <w:rFonts w:hint="eastAsia" w:ascii="Times New Roman" w:hAnsi="Times New Roman" w:eastAsia="宋体"/>
          <w:strike w:val="0"/>
          <w:dstrike w:val="0"/>
          <w:color w:val="auto"/>
          <w:highlight w:val="none"/>
        </w:rPr>
        <w:t>-2008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中2类标准要求</w:t>
      </w:r>
      <w:r>
        <w:rPr>
          <w:rFonts w:hint="eastAsia" w:ascii="Times New Roman" w:hAnsi="Times New Roman" w:eastAsia="宋体"/>
          <w:strike w:val="0"/>
          <w:dstrike w:val="0"/>
          <w:color w:val="auto"/>
          <w:highlight w:val="none"/>
          <w:lang w:eastAsia="zh-CN"/>
        </w:rPr>
        <w:t>。</w:t>
      </w:r>
    </w:p>
    <w:p w14:paraId="17782960">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生态环境</w:t>
      </w:r>
    </w:p>
    <w:p w14:paraId="4A516B3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固体废物污染防治目标：确保项目所产生的固体废弃物均得到妥善处置，最大限度地减小固体废物对周围环境的影响，避免二次污染</w:t>
      </w:r>
      <w:r>
        <w:rPr>
          <w:rFonts w:hint="eastAsia" w:ascii="Times New Roman" w:hAnsi="Times New Roman" w:eastAsia="宋体"/>
          <w:strike w:val="0"/>
          <w:dstrike w:val="0"/>
          <w:color w:val="auto"/>
          <w:highlight w:val="none"/>
          <w:lang w:eastAsia="zh-CN"/>
        </w:rPr>
        <w:t>。</w:t>
      </w:r>
    </w:p>
    <w:p w14:paraId="5121D3B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本项目环境保护目标见表</w:t>
      </w:r>
      <w:r>
        <w:rPr>
          <w:rFonts w:hint="eastAsia" w:ascii="Times New Roman" w:hAnsi="Times New Roman" w:eastAsia="宋体"/>
          <w:strike w:val="0"/>
          <w:dstrike w:val="0"/>
          <w:color w:val="auto"/>
          <w:highlight w:val="none"/>
          <w:lang w:val="en-US" w:eastAsia="zh-CN"/>
        </w:rPr>
        <w:t>2.7-1</w:t>
      </w:r>
      <w:r>
        <w:rPr>
          <w:rFonts w:hint="eastAsia" w:ascii="Times New Roman" w:hAnsi="Times New Roman" w:eastAsia="宋体"/>
          <w:strike w:val="0"/>
          <w:dstrike w:val="0"/>
          <w:color w:val="auto"/>
          <w:highlight w:val="none"/>
          <w:lang w:eastAsia="zh-CN"/>
        </w:rPr>
        <w:t>。</w:t>
      </w:r>
    </w:p>
    <w:p w14:paraId="23F45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表2.7-1主要环境保护目标一览表</w:t>
      </w:r>
    </w:p>
    <w:tbl>
      <w:tblPr>
        <w:tblStyle w:val="183"/>
        <w:tblW w:w="501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9"/>
        <w:gridCol w:w="1782"/>
        <w:gridCol w:w="1849"/>
        <w:gridCol w:w="551"/>
        <w:gridCol w:w="549"/>
        <w:gridCol w:w="781"/>
        <w:gridCol w:w="1010"/>
        <w:gridCol w:w="1271"/>
      </w:tblGrid>
      <w:tr w14:paraId="446C6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329" w:type="pct"/>
            <w:vAlign w:val="center"/>
          </w:tcPr>
          <w:p w14:paraId="7B3AE6D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环境要素</w:t>
            </w:r>
          </w:p>
        </w:tc>
        <w:tc>
          <w:tcPr>
            <w:tcW w:w="2176" w:type="pct"/>
            <w:gridSpan w:val="2"/>
            <w:vAlign w:val="center"/>
          </w:tcPr>
          <w:p w14:paraId="25C4DE3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坐标</w:t>
            </w:r>
            <w:r>
              <w:rPr>
                <w:rFonts w:ascii="Times New Roman" w:hAnsi="Times New Roman" w:eastAsia="宋体" w:cs="Times New Roman"/>
                <w:strike w:val="0"/>
                <w:dstrike w:val="0"/>
                <w:color w:val="auto"/>
                <w:spacing w:val="0"/>
                <w:position w:val="0"/>
                <w:sz w:val="21"/>
                <w:szCs w:val="21"/>
                <w:highlight w:val="none"/>
              </w:rPr>
              <w:t>/m</w:t>
            </w:r>
          </w:p>
        </w:tc>
        <w:tc>
          <w:tcPr>
            <w:tcW w:w="329" w:type="pct"/>
            <w:vMerge w:val="restart"/>
            <w:tcBorders>
              <w:bottom w:val="nil"/>
            </w:tcBorders>
            <w:vAlign w:val="center"/>
          </w:tcPr>
          <w:p w14:paraId="541D188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保护对象</w:t>
            </w:r>
          </w:p>
        </w:tc>
        <w:tc>
          <w:tcPr>
            <w:tcW w:w="329" w:type="pct"/>
            <w:vMerge w:val="restart"/>
            <w:tcBorders>
              <w:bottom w:val="nil"/>
            </w:tcBorders>
            <w:vAlign w:val="center"/>
          </w:tcPr>
          <w:p w14:paraId="4EE1A6B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保护内容</w:t>
            </w:r>
          </w:p>
        </w:tc>
        <w:tc>
          <w:tcPr>
            <w:tcW w:w="468" w:type="pct"/>
            <w:vMerge w:val="restart"/>
            <w:tcBorders>
              <w:bottom w:val="nil"/>
            </w:tcBorders>
            <w:vAlign w:val="center"/>
          </w:tcPr>
          <w:p w14:paraId="5EFB0CB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环境功能区</w:t>
            </w:r>
          </w:p>
        </w:tc>
        <w:tc>
          <w:tcPr>
            <w:tcW w:w="605" w:type="pct"/>
            <w:vMerge w:val="restart"/>
            <w:tcBorders>
              <w:bottom w:val="nil"/>
            </w:tcBorders>
            <w:vAlign w:val="center"/>
          </w:tcPr>
          <w:p w14:paraId="2F99695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相对厂址方位</w:t>
            </w:r>
          </w:p>
        </w:tc>
        <w:tc>
          <w:tcPr>
            <w:tcW w:w="760" w:type="pct"/>
            <w:vMerge w:val="restart"/>
            <w:tcBorders>
              <w:bottom w:val="nil"/>
            </w:tcBorders>
            <w:vAlign w:val="center"/>
          </w:tcPr>
          <w:p w14:paraId="795C8CC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相对厂界距离</w:t>
            </w:r>
            <w:r>
              <w:rPr>
                <w:rFonts w:ascii="Times New Roman" w:hAnsi="Times New Roman" w:eastAsia="宋体" w:cs="Times New Roman"/>
                <w:strike w:val="0"/>
                <w:dstrike w:val="0"/>
                <w:color w:val="auto"/>
                <w:spacing w:val="0"/>
                <w:position w:val="0"/>
                <w:sz w:val="21"/>
                <w:szCs w:val="21"/>
                <w:highlight w:val="none"/>
              </w:rPr>
              <w:t>/m</w:t>
            </w:r>
          </w:p>
        </w:tc>
      </w:tr>
      <w:tr w14:paraId="68CDB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restart"/>
            <w:vAlign w:val="center"/>
          </w:tcPr>
          <w:p w14:paraId="1CF9873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环境空气</w:t>
            </w:r>
          </w:p>
        </w:tc>
        <w:tc>
          <w:tcPr>
            <w:tcW w:w="1068" w:type="pct"/>
            <w:vAlign w:val="center"/>
          </w:tcPr>
          <w:p w14:paraId="57191D6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东经</w:t>
            </w:r>
          </w:p>
        </w:tc>
        <w:tc>
          <w:tcPr>
            <w:tcW w:w="1108" w:type="pct"/>
            <w:vAlign w:val="center"/>
          </w:tcPr>
          <w:p w14:paraId="414A120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北纬</w:t>
            </w:r>
          </w:p>
        </w:tc>
        <w:tc>
          <w:tcPr>
            <w:tcW w:w="329" w:type="pct"/>
            <w:vMerge w:val="continue"/>
            <w:tcBorders>
              <w:top w:val="nil"/>
            </w:tcBorders>
            <w:vAlign w:val="center"/>
          </w:tcPr>
          <w:p w14:paraId="42F1126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29" w:type="pct"/>
            <w:vMerge w:val="continue"/>
            <w:tcBorders>
              <w:top w:val="nil"/>
            </w:tcBorders>
            <w:vAlign w:val="center"/>
          </w:tcPr>
          <w:p w14:paraId="0E8541F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468" w:type="pct"/>
            <w:vMerge w:val="continue"/>
            <w:tcBorders>
              <w:top w:val="nil"/>
            </w:tcBorders>
            <w:vAlign w:val="center"/>
          </w:tcPr>
          <w:p w14:paraId="605E188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05" w:type="pct"/>
            <w:vMerge w:val="continue"/>
            <w:tcBorders>
              <w:top w:val="nil"/>
            </w:tcBorders>
            <w:vAlign w:val="center"/>
          </w:tcPr>
          <w:p w14:paraId="4C3293D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0" w:type="pct"/>
            <w:vMerge w:val="continue"/>
            <w:tcBorders>
              <w:top w:val="nil"/>
            </w:tcBorders>
            <w:vAlign w:val="center"/>
          </w:tcPr>
          <w:p w14:paraId="5D23C4A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1DF7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722B5E4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66D0D8B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90°36′6.80</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23F74F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43°43′37.15</w:t>
            </w:r>
            <w:r>
              <w:rPr>
                <w:rFonts w:hint="eastAsia" w:ascii="Times New Roman" w:hAnsi="Times New Roman" w:eastAsia="宋体" w:cs="Times New Roman"/>
                <w:strike w:val="0"/>
                <w:dstrike w:val="0"/>
                <w:color w:val="auto"/>
                <w:spacing w:val="0"/>
                <w:position w:val="0"/>
                <w:sz w:val="21"/>
                <w:szCs w:val="21"/>
                <w:highlight w:val="none"/>
                <w:lang w:val="en-US" w:eastAsia="zh-CN"/>
              </w:rPr>
              <w:t>1</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3132C7D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red"/>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阿克卓勒</w:t>
            </w:r>
            <w:r>
              <w:rPr>
                <w:rFonts w:hint="eastAsia" w:ascii="Times New Roman" w:hAnsi="Times New Roman" w:eastAsia="宋体" w:cs="宋体"/>
                <w:strike w:val="0"/>
                <w:dstrike w:val="0"/>
                <w:color w:val="auto"/>
                <w:spacing w:val="0"/>
                <w:sz w:val="21"/>
                <w:szCs w:val="21"/>
                <w:highlight w:val="none"/>
                <w:lang w:eastAsia="zh-CN"/>
              </w:rPr>
              <w:t>村</w:t>
            </w:r>
          </w:p>
        </w:tc>
        <w:tc>
          <w:tcPr>
            <w:tcW w:w="329" w:type="pct"/>
            <w:vMerge w:val="restart"/>
            <w:vAlign w:val="center"/>
          </w:tcPr>
          <w:p w14:paraId="5E060AC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人群健康</w:t>
            </w:r>
          </w:p>
        </w:tc>
        <w:tc>
          <w:tcPr>
            <w:tcW w:w="468" w:type="pct"/>
            <w:vMerge w:val="restart"/>
            <w:vAlign w:val="center"/>
          </w:tcPr>
          <w:p w14:paraId="6787BF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605" w:type="pct"/>
            <w:vAlign w:val="center"/>
          </w:tcPr>
          <w:p w14:paraId="75F917F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南</w:t>
            </w:r>
          </w:p>
        </w:tc>
        <w:tc>
          <w:tcPr>
            <w:tcW w:w="760" w:type="pct"/>
            <w:vAlign w:val="center"/>
          </w:tcPr>
          <w:p w14:paraId="346CF62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1450</w:t>
            </w:r>
          </w:p>
        </w:tc>
      </w:tr>
      <w:tr w14:paraId="0A773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5401E1A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7367BE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90°36′59.29</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74D20D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43°45′50.91</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633352E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依尔哈巴克村</w:t>
            </w:r>
          </w:p>
        </w:tc>
        <w:tc>
          <w:tcPr>
            <w:tcW w:w="329" w:type="pct"/>
            <w:vMerge w:val="continue"/>
            <w:vAlign w:val="center"/>
          </w:tcPr>
          <w:p w14:paraId="52EE47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468" w:type="pct"/>
            <w:vMerge w:val="continue"/>
            <w:vAlign w:val="center"/>
          </w:tcPr>
          <w:p w14:paraId="546DF6C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605" w:type="pct"/>
            <w:vAlign w:val="center"/>
          </w:tcPr>
          <w:p w14:paraId="563E8C0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东北</w:t>
            </w:r>
          </w:p>
        </w:tc>
        <w:tc>
          <w:tcPr>
            <w:tcW w:w="760" w:type="pct"/>
            <w:vAlign w:val="center"/>
          </w:tcPr>
          <w:p w14:paraId="2F4571E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1800</w:t>
            </w:r>
          </w:p>
        </w:tc>
      </w:tr>
      <w:tr w14:paraId="5F5E7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329" w:type="pct"/>
            <w:vAlign w:val="center"/>
          </w:tcPr>
          <w:p w14:paraId="01AE994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2506" w:type="pct"/>
            <w:gridSpan w:val="3"/>
            <w:vAlign w:val="center"/>
          </w:tcPr>
          <w:p w14:paraId="0D9B0B1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厂址区域及周围声环境</w:t>
            </w:r>
          </w:p>
        </w:tc>
        <w:tc>
          <w:tcPr>
            <w:tcW w:w="329" w:type="pct"/>
            <w:vAlign w:val="center"/>
          </w:tcPr>
          <w:p w14:paraId="3046EF8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468" w:type="pct"/>
            <w:vAlign w:val="center"/>
          </w:tcPr>
          <w:p w14:paraId="57065E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1365" w:type="pct"/>
            <w:gridSpan w:val="2"/>
            <w:vAlign w:val="center"/>
          </w:tcPr>
          <w:p w14:paraId="703DB7C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r w14:paraId="64CF1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329" w:type="pct"/>
            <w:vAlign w:val="center"/>
          </w:tcPr>
          <w:p w14:paraId="1F86C3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w:t>
            </w:r>
          </w:p>
        </w:tc>
        <w:tc>
          <w:tcPr>
            <w:tcW w:w="2506" w:type="pct"/>
            <w:gridSpan w:val="3"/>
            <w:vAlign w:val="center"/>
          </w:tcPr>
          <w:p w14:paraId="0760483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厂址区域及附近地下水</w:t>
            </w:r>
            <w:r>
              <w:rPr>
                <w:rFonts w:hint="eastAsia" w:ascii="Times New Roman" w:hAnsi="Times New Roman" w:eastAsia="宋体" w:cs="宋体"/>
                <w:strike w:val="0"/>
                <w:dstrike w:val="0"/>
                <w:color w:val="auto"/>
                <w:spacing w:val="0"/>
                <w:position w:val="0"/>
                <w:sz w:val="21"/>
                <w:szCs w:val="21"/>
                <w:highlight w:val="none"/>
                <w:lang w:val="en-US" w:eastAsia="zh-CN"/>
              </w:rPr>
              <w:t>潜水含水层</w:t>
            </w:r>
          </w:p>
        </w:tc>
        <w:tc>
          <w:tcPr>
            <w:tcW w:w="2163" w:type="pct"/>
            <w:gridSpan w:val="4"/>
            <w:vAlign w:val="center"/>
          </w:tcPr>
          <w:p w14:paraId="4CC169C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地下水质</w:t>
            </w:r>
          </w:p>
        </w:tc>
      </w:tr>
      <w:tr w14:paraId="41216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3EB5AE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土壤环境</w:t>
            </w:r>
          </w:p>
        </w:tc>
        <w:tc>
          <w:tcPr>
            <w:tcW w:w="2506" w:type="pct"/>
            <w:gridSpan w:val="3"/>
            <w:vAlign w:val="center"/>
          </w:tcPr>
          <w:p w14:paraId="155416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厂区及周边50m范围</w:t>
            </w:r>
          </w:p>
        </w:tc>
        <w:tc>
          <w:tcPr>
            <w:tcW w:w="2163" w:type="pct"/>
            <w:gridSpan w:val="4"/>
            <w:vAlign w:val="center"/>
          </w:tcPr>
          <w:p w14:paraId="3DF98F1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w:t>
            </w:r>
          </w:p>
        </w:tc>
      </w:tr>
      <w:tr w14:paraId="09316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4588210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w:t>
            </w:r>
          </w:p>
          <w:p w14:paraId="69FBB82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w:t>
            </w:r>
          </w:p>
        </w:tc>
        <w:tc>
          <w:tcPr>
            <w:tcW w:w="2506" w:type="pct"/>
            <w:gridSpan w:val="3"/>
            <w:vAlign w:val="center"/>
          </w:tcPr>
          <w:p w14:paraId="7FD9D93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w:t>
            </w:r>
          </w:p>
        </w:tc>
        <w:tc>
          <w:tcPr>
            <w:tcW w:w="2163" w:type="pct"/>
            <w:gridSpan w:val="4"/>
            <w:vAlign w:val="center"/>
          </w:tcPr>
          <w:p w14:paraId="7E4603F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保护区域生态环境</w:t>
            </w:r>
          </w:p>
        </w:tc>
      </w:tr>
      <w:bookmarkEnd w:id="80"/>
    </w:tbl>
    <w:p w14:paraId="00D934BA">
      <w:pPr>
        <w:pStyle w:val="3"/>
        <w:rPr>
          <w:rFonts w:ascii="Times New Roman" w:hAnsi="Times New Roman" w:eastAsia="宋体"/>
          <w:strike w:val="0"/>
          <w:dstrike w:val="0"/>
          <w:color w:val="auto"/>
          <w:highlight w:val="none"/>
        </w:rPr>
      </w:pPr>
      <w:bookmarkStart w:id="81" w:name="_Toc89619331"/>
      <w:bookmarkStart w:id="82" w:name="_Toc3751"/>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选址合理性分析</w:t>
      </w:r>
      <w:bookmarkEnd w:id="81"/>
      <w:bookmarkEnd w:id="82"/>
    </w:p>
    <w:p w14:paraId="31703777">
      <w:pPr>
        <w:pStyle w:val="4"/>
        <w:rPr>
          <w:rFonts w:ascii="Times New Roman" w:hAnsi="Times New Roman" w:eastAsia="宋体"/>
          <w:strike w:val="0"/>
          <w:dstrike w:val="0"/>
          <w:color w:val="auto"/>
          <w:highlight w:val="none"/>
        </w:rPr>
      </w:pPr>
      <w:bookmarkStart w:id="83" w:name="_Toc106663453"/>
      <w:bookmarkStart w:id="84" w:name="_Toc12883"/>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.1选址合理性</w:t>
      </w:r>
      <w:bookmarkEnd w:id="83"/>
      <w:bookmarkEnd w:id="84"/>
    </w:p>
    <w:p w14:paraId="39C52FC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本项目位于昌吉木垒县博斯坦乡阿克卓勒村，项目北侧和南侧为空地、西侧为农田，东侧为</w:t>
      </w:r>
      <w:r>
        <w:rPr>
          <w:rFonts w:hint="eastAsia" w:ascii="Times New Roman" w:hAnsi="Times New Roman" w:eastAsia="宋体"/>
          <w:strike w:val="0"/>
          <w:dstrike w:val="0"/>
          <w:color w:val="auto"/>
          <w:highlight w:val="none"/>
          <w:lang w:val="en-US" w:eastAsia="zh-CN"/>
        </w:rPr>
        <w:t>乡村</w:t>
      </w:r>
      <w:r>
        <w:rPr>
          <w:rFonts w:hint="eastAsia" w:ascii="Times New Roman" w:hAnsi="Times New Roman" w:eastAsia="宋体"/>
          <w:strike w:val="0"/>
          <w:dstrike w:val="0"/>
          <w:color w:val="auto"/>
          <w:highlight w:val="none"/>
        </w:rPr>
        <w:t>道路，用地类型为设施农用地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经分析，项目选址符合《畜禽养殖业污染防治技术规范》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、《动物防疫条件审查办法》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农业部令2010年第7号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、《畜禽养殖业污染治理工程技术规范》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HJ497-2009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等规范文件对畜禽养殖场的选址要求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因此，本项目选址合理可行</w:t>
      </w:r>
      <w:r>
        <w:rPr>
          <w:rFonts w:hint="eastAsia" w:ascii="Times New Roman" w:hAnsi="Times New Roman" w:eastAsia="宋体"/>
          <w:strike w:val="0"/>
          <w:dstrike w:val="0"/>
          <w:color w:val="auto"/>
          <w:highlight w:val="none"/>
          <w:lang w:eastAsia="zh-CN"/>
        </w:rPr>
        <w:t>。</w:t>
      </w:r>
    </w:p>
    <w:p w14:paraId="508A68C0">
      <w:pPr>
        <w:pStyle w:val="4"/>
        <w:rPr>
          <w:rFonts w:ascii="Times New Roman" w:hAnsi="Times New Roman" w:eastAsia="宋体"/>
          <w:strike w:val="0"/>
          <w:dstrike w:val="0"/>
          <w:color w:val="auto"/>
          <w:highlight w:val="none"/>
        </w:rPr>
      </w:pPr>
      <w:bookmarkStart w:id="85" w:name="_Toc22006"/>
      <w:bookmarkStart w:id="86" w:name="_Toc106663454"/>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.2环境容量</w:t>
      </w:r>
      <w:bookmarkEnd w:id="85"/>
      <w:bookmarkEnd w:id="86"/>
    </w:p>
    <w:p w14:paraId="14008A7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项目所在区域PM</w:t>
      </w:r>
      <w:r>
        <w:rPr>
          <w:rFonts w:hint="eastAsia" w:ascii="Times New Roman" w:hAnsi="Times New Roman" w:eastAsia="宋体"/>
          <w:strike w:val="0"/>
          <w:dstrike w:val="0"/>
          <w:color w:val="auto"/>
          <w:highlight w:val="none"/>
          <w:vertAlign w:val="subscript"/>
          <w:lang w:val="en-US" w:eastAsia="zh-CN"/>
        </w:rPr>
        <w:t>10</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PM</w:t>
      </w:r>
      <w:r>
        <w:rPr>
          <w:rFonts w:ascii="Times New Roman" w:hAnsi="Times New Roman" w:eastAsia="宋体"/>
          <w:strike w:val="0"/>
          <w:dstrike w:val="0"/>
          <w:color w:val="auto"/>
          <w:highlight w:val="none"/>
          <w:vertAlign w:val="subscript"/>
        </w:rPr>
        <w:t>2.5</w:t>
      </w:r>
      <w:r>
        <w:rPr>
          <w:rFonts w:ascii="Times New Roman" w:hAnsi="Times New Roman" w:eastAsia="宋体"/>
          <w:strike w:val="0"/>
          <w:dstrike w:val="0"/>
          <w:color w:val="auto"/>
          <w:highlight w:val="none"/>
        </w:rPr>
        <w:t>年平均浓度均超过《环境空气质量标准》（GB3095-20</w:t>
      </w:r>
      <w:r>
        <w:rPr>
          <w:rFonts w:hint="eastAsia" w:ascii="Times New Roman" w:hAnsi="Times New Roman" w:eastAsia="宋体"/>
          <w:strike w:val="0"/>
          <w:dstrike w:val="0"/>
          <w:color w:val="auto"/>
          <w:highlight w:val="none"/>
          <w:lang w:val="en-US" w:eastAsia="zh-CN"/>
        </w:rPr>
        <w:t>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二级标准要求；O</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最大8小时平均浓度及NO</w:t>
      </w:r>
      <w:r>
        <w:rPr>
          <w:rFonts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CO、SO</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的日、年均浓度均满足</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w:t>
      </w:r>
      <w:r>
        <w:rPr>
          <w:rFonts w:hint="eastAsia" w:ascii="Times New Roman" w:hAnsi="Times New Roman" w:eastAsia="宋体"/>
          <w:strike w:val="0"/>
          <w:dstrike w:val="0"/>
          <w:color w:val="auto"/>
          <w:highlight w:val="none"/>
        </w:rPr>
        <w:t>，NH</w:t>
      </w:r>
      <w:r>
        <w:rPr>
          <w:rFonts w:hint="eastAsia"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rPr>
        <w:t>和H</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S满足《环境影响评价技术导则大气环境》（HJ2.2-2018）附录D中的参考限值；区域内地下水体均满足水环境功能区划要求，评价指标均符合评价标准中的Ⅲ类标准，尚有一定环境容量；评价区声环境质量现状满足《声环境质量标准》（GB3096-2008）中的</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类标准，且厂区周围无声环境敏感目标</w:t>
      </w:r>
      <w:r>
        <w:rPr>
          <w:rFonts w:hint="eastAsia" w:ascii="Times New Roman" w:hAnsi="Times New Roman" w:eastAsia="宋体"/>
          <w:strike w:val="0"/>
          <w:dstrike w:val="0"/>
          <w:color w:val="auto"/>
          <w:highlight w:val="none"/>
          <w:lang w:eastAsia="zh-CN"/>
        </w:rPr>
        <w:t>。</w:t>
      </w:r>
    </w:p>
    <w:p w14:paraId="30A9BB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本项目区域水、气、声环境质量现状良好，尚有一定的环境容量，运营后污染物达标排放，对区域环境影响不大，区域环境仍可保持现有功能水平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因此，项目选址从环境容量角度分析是可行的</w:t>
      </w:r>
      <w:r>
        <w:rPr>
          <w:rFonts w:hint="eastAsia" w:ascii="Times New Roman" w:hAnsi="Times New Roman" w:eastAsia="宋体"/>
          <w:strike w:val="0"/>
          <w:dstrike w:val="0"/>
          <w:color w:val="auto"/>
          <w:highlight w:val="none"/>
          <w:lang w:eastAsia="zh-CN"/>
        </w:rPr>
        <w:t>。</w:t>
      </w:r>
    </w:p>
    <w:p w14:paraId="70019FA9">
      <w:pPr>
        <w:pStyle w:val="4"/>
        <w:rPr>
          <w:rFonts w:ascii="Times New Roman" w:hAnsi="Times New Roman" w:eastAsia="宋体"/>
          <w:strike w:val="0"/>
          <w:dstrike w:val="0"/>
          <w:color w:val="auto"/>
          <w:highlight w:val="none"/>
        </w:rPr>
      </w:pPr>
      <w:bookmarkStart w:id="87" w:name="_Toc1607"/>
      <w:bookmarkStart w:id="88" w:name="_Toc106663455"/>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.3区域主导风向及防护距离</w:t>
      </w:r>
      <w:bookmarkEnd w:id="87"/>
      <w:bookmarkEnd w:id="88"/>
    </w:p>
    <w:p w14:paraId="5ECD07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主导风向为</w:t>
      </w:r>
      <w:r>
        <w:rPr>
          <w:rFonts w:hint="eastAsia" w:ascii="Times New Roman" w:hAnsi="Times New Roman" w:eastAsia="宋体"/>
          <w:strike w:val="0"/>
          <w:dstrike w:val="0"/>
          <w:color w:val="auto"/>
          <w:highlight w:val="none"/>
          <w:lang w:val="en-US" w:eastAsia="zh-CN"/>
        </w:rPr>
        <w:t>西</w:t>
      </w:r>
      <w:r>
        <w:rPr>
          <w:rFonts w:hint="eastAsia" w:ascii="Times New Roman" w:hAnsi="Times New Roman" w:eastAsia="宋体"/>
          <w:strike w:val="0"/>
          <w:dstrike w:val="0"/>
          <w:color w:val="auto"/>
          <w:highlight w:val="none"/>
        </w:rPr>
        <w:t>风，</w:t>
      </w:r>
      <w:r>
        <w:rPr>
          <w:rFonts w:hint="eastAsia" w:ascii="Times New Roman" w:hAnsi="Times New Roman" w:eastAsia="宋体"/>
          <w:b w:val="0"/>
          <w:bCs w:val="0"/>
          <w:strike w:val="0"/>
          <w:dstrike w:val="0"/>
          <w:color w:val="auto"/>
          <w:highlight w:val="none"/>
          <w:lang w:val="en-US" w:eastAsia="zh-CN"/>
        </w:rPr>
        <w:t>项目北侧、西侧、南侧均为空地，东侧为乡道，</w:t>
      </w:r>
      <w:r>
        <w:rPr>
          <w:rFonts w:hint="eastAsia" w:ascii="Times New Roman" w:hAnsi="Times New Roman" w:eastAsia="宋体"/>
          <w:b w:val="0"/>
          <w:bCs w:val="0"/>
          <w:strike w:val="0"/>
          <w:dstrike w:val="0"/>
          <w:color w:val="auto"/>
          <w:highlight w:val="none"/>
          <w:lang w:val="en-US" w:eastAsia="zh-CN"/>
        </w:rPr>
        <w:t>项</w:t>
      </w:r>
      <w:r>
        <w:rPr>
          <w:rFonts w:hint="eastAsia" w:ascii="Times New Roman" w:hAnsi="Times New Roman" w:eastAsia="宋体"/>
          <w:b w:val="0"/>
          <w:bCs w:val="0"/>
          <w:strike w:val="0"/>
          <w:dstrike w:val="0"/>
          <w:color w:val="auto"/>
          <w:highlight w:val="none"/>
          <w:lang w:val="en-US" w:eastAsia="zh-CN"/>
        </w:rPr>
        <w:t>目周边关系卫星图见附图3.1-2</w:t>
      </w:r>
      <w:r>
        <w:rPr>
          <w:rFonts w:hint="eastAsia" w:ascii="Times New Roman" w:hAnsi="Times New Roman" w:eastAsia="宋体"/>
          <w:b w:val="0"/>
          <w:bCs w:val="0"/>
          <w:strike w:val="0"/>
          <w:dstrike w:val="0"/>
          <w:color w:val="auto"/>
          <w:highlight w:val="none"/>
          <w:lang w:val="en-US" w:eastAsia="zh-CN"/>
        </w:rPr>
        <w:t>，堆肥场和黑膜池位于厂区西南侧，远离东侧道路，骆驼互动体验区位于主出入口附近，交通便捷，对外展示、接待、办公，位于堆肥场东北方向，本项目区域常年主导风向为西风，运营期间产生恶臭对骆驼互动体验区较小</w:t>
      </w:r>
      <w:r>
        <w:rPr>
          <w:rFonts w:hint="eastAsia" w:ascii="Times New Roman" w:hAnsi="Times New Roman" w:eastAsia="宋体"/>
          <w:strike w:val="0"/>
          <w:dstrike w:val="0"/>
          <w:color w:val="auto"/>
          <w:highlight w:val="none"/>
          <w:lang w:eastAsia="zh-CN"/>
        </w:rPr>
        <w:t>。</w:t>
      </w:r>
    </w:p>
    <w:p w14:paraId="1445CDE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根据估算结果可知厂界外大气污染物短期贡献浓度不超过环境质量浓度限值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项目区内均无居民区、学校、医院等环境敏感区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为了降低项目区大气污染物排放对周围敏感目标的影响，环评要求在项目区周围设置500m限制区，并做出如下要求：严格控制人口导入，不再批准建设新的居住项目，限制区内已规划但尚未动工的项目应停止建设</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不再批准建设新的集中居住区、医院、学校等敏感目标</w:t>
      </w:r>
      <w:r>
        <w:rPr>
          <w:rFonts w:hint="eastAsia" w:ascii="Times New Roman" w:hAnsi="Times New Roman" w:eastAsia="宋体"/>
          <w:strike w:val="0"/>
          <w:dstrike w:val="0"/>
          <w:color w:val="auto"/>
          <w:highlight w:val="none"/>
          <w:lang w:eastAsia="zh-CN"/>
        </w:rPr>
        <w:t>。</w:t>
      </w:r>
    </w:p>
    <w:p w14:paraId="156BA5BC">
      <w:pPr>
        <w:pStyle w:val="4"/>
        <w:rPr>
          <w:rFonts w:ascii="Times New Roman" w:hAnsi="Times New Roman" w:eastAsia="宋体"/>
          <w:strike w:val="0"/>
          <w:dstrike w:val="0"/>
          <w:color w:val="auto"/>
          <w:highlight w:val="none"/>
        </w:rPr>
      </w:pPr>
      <w:bookmarkStart w:id="89" w:name="_Toc106663456"/>
      <w:bookmarkStart w:id="90" w:name="_Toc3612"/>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.4环境敏感性分析</w:t>
      </w:r>
      <w:bookmarkEnd w:id="89"/>
      <w:bookmarkEnd w:id="90"/>
    </w:p>
    <w:p w14:paraId="5CCD137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从环境敏感性看，评价区无国家及</w:t>
      </w:r>
      <w:r>
        <w:rPr>
          <w:rFonts w:hint="eastAsia" w:ascii="Times New Roman" w:hAnsi="Times New Roman" w:eastAsia="宋体"/>
          <w:strike w:val="0"/>
          <w:dstrike w:val="0"/>
          <w:color w:val="auto"/>
          <w:highlight w:val="none"/>
          <w:lang w:val="en-US" w:eastAsia="zh-CN"/>
        </w:rPr>
        <w:t>自治区</w:t>
      </w:r>
      <w:r>
        <w:rPr>
          <w:rFonts w:hint="eastAsia" w:ascii="Times New Roman" w:hAnsi="Times New Roman" w:eastAsia="宋体"/>
          <w:strike w:val="0"/>
          <w:dstrike w:val="0"/>
          <w:color w:val="auto"/>
          <w:highlight w:val="none"/>
        </w:rPr>
        <w:t>确定的风景名胜、历史遗迹等保护区；无饮用水水源保护区；厂区内无特殊自然观赏价值较高的景观，也不属于土地荒漠化地区；项目区周围无居民区，学校等敏感点</w:t>
      </w:r>
      <w:r>
        <w:rPr>
          <w:rFonts w:hint="eastAsia" w:ascii="Times New Roman" w:hAnsi="Times New Roman" w:eastAsia="宋体"/>
          <w:strike w:val="0"/>
          <w:dstrike w:val="0"/>
          <w:color w:val="auto"/>
          <w:highlight w:val="none"/>
          <w:lang w:eastAsia="zh-CN"/>
        </w:rPr>
        <w:t>。</w:t>
      </w:r>
    </w:p>
    <w:p w14:paraId="3326765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按照《建设项目环境影响评价分类管理名录》（2021年版）中关于环境敏感因素的界定原则，经调查本项目选址地区不属于特殊保护地区、社会关注区和特殊地貌景观区，也无重点保护生态品种及濒危生物物种，文物古迹等，区域环境敏感因素较少</w:t>
      </w:r>
      <w:r>
        <w:rPr>
          <w:rFonts w:hint="eastAsia" w:ascii="Times New Roman" w:hAnsi="Times New Roman" w:eastAsia="宋体"/>
          <w:strike w:val="0"/>
          <w:dstrike w:val="0"/>
          <w:color w:val="auto"/>
          <w:highlight w:val="none"/>
          <w:lang w:eastAsia="zh-CN"/>
        </w:rPr>
        <w:t>。</w:t>
      </w:r>
    </w:p>
    <w:p w14:paraId="7E540712">
      <w:pPr>
        <w:pStyle w:val="4"/>
        <w:rPr>
          <w:rFonts w:ascii="Times New Roman" w:hAnsi="Times New Roman" w:eastAsia="宋体"/>
          <w:strike w:val="0"/>
          <w:dstrike w:val="0"/>
          <w:color w:val="auto"/>
          <w:highlight w:val="none"/>
        </w:rPr>
      </w:pPr>
      <w:bookmarkStart w:id="91" w:name="_Toc11506"/>
      <w:bookmarkStart w:id="92" w:name="_Toc106663457"/>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rPr>
        <w:t>.5小结</w:t>
      </w:r>
      <w:bookmarkEnd w:id="91"/>
      <w:bookmarkEnd w:id="92"/>
    </w:p>
    <w:p w14:paraId="2316B8C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项目厂址位于</w:t>
      </w:r>
      <w:r>
        <w:rPr>
          <w:rFonts w:hint="eastAsia" w:ascii="Times New Roman" w:hAnsi="Times New Roman" w:eastAsia="宋体"/>
          <w:strike w:val="0"/>
          <w:dstrike w:val="0"/>
          <w:color w:val="auto"/>
          <w:highlight w:val="none"/>
          <w:lang w:eastAsia="zh-CN"/>
        </w:rPr>
        <w:t>昌吉木垒县博斯坦乡阿克卓勒村</w:t>
      </w:r>
      <w:r>
        <w:rPr>
          <w:rFonts w:hint="eastAsia" w:ascii="Times New Roman" w:hAnsi="Times New Roman" w:eastAsia="宋体"/>
          <w:strike w:val="0"/>
          <w:dstrike w:val="0"/>
          <w:color w:val="auto"/>
          <w:highlight w:val="none"/>
        </w:rPr>
        <w:t>，用地性质为设施农业用地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项目厂址未选择在环境敏感区域，厂址附近无国家公园、自然保护区、风景名胜区和自然保护区等需要特殊保护的区域</w:t>
      </w:r>
      <w:r>
        <w:rPr>
          <w:rFonts w:hint="eastAsia" w:ascii="Times New Roman" w:hAnsi="Times New Roman" w:eastAsia="宋体"/>
          <w:strike w:val="0"/>
          <w:dstrike w:val="0"/>
          <w:color w:val="auto"/>
          <w:highlight w:val="none"/>
          <w:lang w:eastAsia="zh-CN"/>
        </w:rPr>
        <w:t>。</w:t>
      </w:r>
    </w:p>
    <w:p w14:paraId="2C7D0FA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符合国家及地方的产业政策和发展规划，建设区域环境质量现状良好，区域环境敏感程度较低，有一定的区域环境容量，项目正常运行对环境的影响不大，环境风险水平可接受，卫生防护距离满足要求，结合环境影响预测评价结果综合分析，厂址选择是合理可行的</w:t>
      </w:r>
      <w:r>
        <w:rPr>
          <w:rFonts w:hint="eastAsia" w:ascii="Times New Roman" w:hAnsi="Times New Roman" w:eastAsia="宋体"/>
          <w:strike w:val="0"/>
          <w:dstrike w:val="0"/>
          <w:color w:val="auto"/>
          <w:highlight w:val="none"/>
          <w:lang w:eastAsia="zh-CN"/>
        </w:rPr>
        <w:t>。</w:t>
      </w:r>
    </w:p>
    <w:p w14:paraId="60D56E39">
      <w:pPr>
        <w:ind w:firstLine="480"/>
        <w:rPr>
          <w:rFonts w:ascii="Times New Roman" w:hAnsi="Times New Roman" w:eastAsia="宋体"/>
          <w:strike w:val="0"/>
          <w:dstrike w:val="0"/>
          <w:color w:val="auto"/>
          <w:highlight w:val="none"/>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34D78874">
      <w:pPr>
        <w:pStyle w:val="2"/>
        <w:rPr>
          <w:rFonts w:ascii="Times New Roman" w:hAnsi="Times New Roman" w:eastAsia="宋体"/>
          <w:strike w:val="0"/>
          <w:dstrike w:val="0"/>
          <w:color w:val="auto"/>
          <w:highlight w:val="none"/>
        </w:rPr>
      </w:pPr>
      <w:bookmarkStart w:id="93" w:name="_Toc27486"/>
      <w:bookmarkStart w:id="94" w:name="_Toc89619332"/>
      <w:r>
        <w:rPr>
          <w:rFonts w:hint="eastAsia" w:ascii="Times New Roman" w:hAnsi="Times New Roman" w:eastAsia="宋体"/>
          <w:strike w:val="0"/>
          <w:dstrike w:val="0"/>
          <w:color w:val="auto"/>
          <w:highlight w:val="none"/>
        </w:rPr>
        <w:t>3、工程分析</w:t>
      </w:r>
      <w:bookmarkEnd w:id="93"/>
      <w:bookmarkEnd w:id="94"/>
    </w:p>
    <w:p w14:paraId="10F28926">
      <w:pPr>
        <w:pStyle w:val="3"/>
        <w:rPr>
          <w:rFonts w:ascii="Times New Roman" w:hAnsi="Times New Roman" w:eastAsia="宋体"/>
          <w:strike w:val="0"/>
          <w:dstrike w:val="0"/>
          <w:color w:val="auto"/>
          <w:highlight w:val="none"/>
        </w:rPr>
      </w:pPr>
      <w:bookmarkStart w:id="95" w:name="_Toc25991"/>
      <w:bookmarkStart w:id="96" w:name="_Toc89619333"/>
      <w:r>
        <w:rPr>
          <w:rFonts w:hint="eastAsia" w:ascii="Times New Roman" w:hAnsi="Times New Roman" w:eastAsia="宋体"/>
          <w:strike w:val="0"/>
          <w:dstrike w:val="0"/>
          <w:color w:val="auto"/>
          <w:highlight w:val="none"/>
        </w:rPr>
        <w:t>3.1工程概况</w:t>
      </w:r>
      <w:bookmarkEnd w:id="95"/>
      <w:bookmarkEnd w:id="96"/>
    </w:p>
    <w:p w14:paraId="5FD93EBA">
      <w:pPr>
        <w:pStyle w:val="4"/>
        <w:rPr>
          <w:rFonts w:ascii="Times New Roman" w:hAnsi="Times New Roman" w:eastAsia="宋体"/>
          <w:strike w:val="0"/>
          <w:dstrike w:val="0"/>
          <w:color w:val="auto"/>
          <w:highlight w:val="none"/>
        </w:rPr>
      </w:pPr>
      <w:bookmarkStart w:id="97" w:name="_Toc106663460"/>
      <w:bookmarkStart w:id="98" w:name="_Toc1078"/>
      <w:r>
        <w:rPr>
          <w:rFonts w:hint="eastAsia" w:ascii="Times New Roman" w:hAnsi="Times New Roman" w:eastAsia="宋体"/>
          <w:strike w:val="0"/>
          <w:dstrike w:val="0"/>
          <w:color w:val="auto"/>
          <w:highlight w:val="none"/>
        </w:rPr>
        <w:t>3.1.1项目基本情况</w:t>
      </w:r>
      <w:bookmarkEnd w:id="97"/>
      <w:bookmarkEnd w:id="98"/>
    </w:p>
    <w:p w14:paraId="4D983F0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（1）项目名称：</w:t>
      </w:r>
      <w:r>
        <w:rPr>
          <w:rFonts w:hint="eastAsia" w:ascii="Times New Roman" w:hAnsi="Times New Roman" w:eastAsia="宋体"/>
          <w:strike w:val="0"/>
          <w:dstrike w:val="0"/>
          <w:color w:val="auto"/>
          <w:highlight w:val="none"/>
          <w:lang w:eastAsia="zh-CN"/>
        </w:rPr>
        <w:t>木垒县2026年长眉驼良种繁育基地建设项目</w:t>
      </w:r>
    </w:p>
    <w:p w14:paraId="5B1D744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（2）建设单位：</w:t>
      </w:r>
      <w:r>
        <w:rPr>
          <w:rFonts w:hint="eastAsia" w:ascii="Times New Roman" w:hAnsi="Times New Roman" w:eastAsia="宋体"/>
          <w:strike w:val="0"/>
          <w:dstrike w:val="0"/>
          <w:color w:val="auto"/>
          <w:highlight w:val="none"/>
          <w:lang w:eastAsia="zh-CN"/>
        </w:rPr>
        <w:t>木垒县博斯坦乡人民政府</w:t>
      </w:r>
    </w:p>
    <w:p w14:paraId="7DD32ED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（3）项目性质：新建</w:t>
      </w:r>
    </w:p>
    <w:p w14:paraId="785A637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（4）建设地点：</w:t>
      </w:r>
      <w:r>
        <w:rPr>
          <w:rFonts w:hint="eastAsia" w:ascii="Times New Roman" w:hAnsi="Times New Roman" w:eastAsia="宋体"/>
          <w:strike w:val="0"/>
          <w:dstrike w:val="0"/>
          <w:color w:val="auto"/>
          <w:highlight w:val="none"/>
          <w:lang w:eastAsia="zh-CN"/>
        </w:rPr>
        <w:t>昌吉木垒县博斯坦乡阿克卓勒村</w:t>
      </w:r>
      <w:r>
        <w:rPr>
          <w:rFonts w:hint="eastAsia" w:ascii="Times New Roman" w:hAnsi="Times New Roman" w:eastAsia="宋体"/>
          <w:strike w:val="0"/>
          <w:dstrike w:val="0"/>
          <w:color w:val="auto"/>
          <w:highlight w:val="none"/>
        </w:rPr>
        <w:t>，项目</w:t>
      </w:r>
      <w:r>
        <w:rPr>
          <w:rFonts w:hint="eastAsia" w:ascii="Times New Roman" w:hAnsi="Times New Roman" w:eastAsia="宋体"/>
          <w:strike w:val="0"/>
          <w:dstrike w:val="0"/>
          <w:color w:val="auto"/>
          <w:highlight w:val="none"/>
          <w:lang w:val="en-US" w:eastAsia="zh-CN"/>
        </w:rPr>
        <w:t>北侧和南侧为空地、西侧为农田</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东侧为乡村道路，</w:t>
      </w:r>
      <w:r>
        <w:rPr>
          <w:rFonts w:hint="eastAsia" w:ascii="Times New Roman" w:hAnsi="Times New Roman" w:eastAsia="宋体"/>
          <w:strike w:val="0"/>
          <w:dstrike w:val="0"/>
          <w:color w:val="auto"/>
          <w:highlight w:val="none"/>
        </w:rPr>
        <w:t>用地类型为设施农用地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中心地理坐标：90°36′6.39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E，</w:t>
      </w:r>
      <w:r>
        <w:rPr>
          <w:rFonts w:hint="eastAsia" w:ascii="Times New Roman" w:hAnsi="Times New Roman" w:eastAsia="宋体"/>
          <w:strike w:val="0"/>
          <w:dstrike w:val="0"/>
          <w:color w:val="auto"/>
          <w:highlight w:val="none"/>
          <w:lang w:eastAsia="zh-CN"/>
        </w:rPr>
        <w:t>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N</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项目区地理位置示意图见附图3.1-1，项目周边关系卫星图见附图3.1-2</w:t>
      </w:r>
      <w:r>
        <w:rPr>
          <w:rFonts w:hint="eastAsia" w:ascii="Times New Roman" w:hAnsi="Times New Roman" w:eastAsia="宋体"/>
          <w:strike w:val="0"/>
          <w:dstrike w:val="0"/>
          <w:color w:val="auto"/>
          <w:highlight w:val="none"/>
          <w:lang w:eastAsia="zh-CN"/>
        </w:rPr>
        <w:t>。</w:t>
      </w:r>
    </w:p>
    <w:p w14:paraId="7204D7EC">
      <w:pPr>
        <w:ind w:firstLine="480"/>
        <w:rPr>
          <w:rFonts w:hint="default" w:ascii="Times New Roman" w:hAnsi="Times New Roman" w:eastAsia="宋体"/>
          <w:strike w:val="0"/>
          <w:dstrike w:val="0"/>
          <w:color w:val="auto"/>
          <w:highlight w:val="none"/>
          <w:lang w:val="en-US"/>
        </w:rPr>
      </w:pPr>
      <w:r>
        <w:rPr>
          <w:rFonts w:hint="eastAsia" w:ascii="Times New Roman" w:hAnsi="Times New Roman" w:eastAsia="宋体"/>
          <w:strike w:val="0"/>
          <w:dstrike w:val="0"/>
          <w:color w:val="auto"/>
          <w:highlight w:val="none"/>
        </w:rPr>
        <w:t>（5）项目投资：项目总投资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w:t>
      </w:r>
      <w:r>
        <w:rPr>
          <w:rFonts w:hint="eastAsia" w:ascii="Times New Roman" w:hAnsi="Times New Roman" w:eastAsia="宋体"/>
          <w:strike w:val="0"/>
          <w:dstrike w:val="0"/>
          <w:color w:val="auto"/>
          <w:highlight w:val="none"/>
          <w:lang w:val="en-US" w:eastAsia="zh-CN"/>
        </w:rPr>
        <w:t>资金来源为中央财政衔接资金。</w:t>
      </w:r>
    </w:p>
    <w:p w14:paraId="096363E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（6）占地面积：总占地面积为</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0DCE2036">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（7）生产规模：总建筑面积9000平方米。其中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泌乳母驼舍建筑面积4560平方米、后备驼舍建筑面积725平方米、公驼舍建筑面积725平方米、隔离舍建筑面积190平方米、挤奶厅建筑面积2800平方米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供水管网及配套附属设施等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项目建成后，新进骆驼1015峰，其中母驼1000峰，种公驼15峰。通过人工授精技术和精细化饲养管理等手段，平均每年可产驼奶540吨、出栏骆驼400峰，出栏公幼驼200峰。</w:t>
      </w:r>
    </w:p>
    <w:p w14:paraId="42058A7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（8）劳动定员：本项目工作人员共</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人，年工作时间为365天，采用两班制，每班工作12h</w:t>
      </w:r>
      <w:r>
        <w:rPr>
          <w:rFonts w:hint="eastAsia" w:ascii="Times New Roman" w:hAnsi="Times New Roman" w:eastAsia="宋体"/>
          <w:strike w:val="0"/>
          <w:dstrike w:val="0"/>
          <w:color w:val="auto"/>
          <w:highlight w:val="none"/>
          <w:lang w:eastAsia="zh-CN"/>
        </w:rPr>
        <w:t>。</w:t>
      </w:r>
    </w:p>
    <w:p w14:paraId="4C31B51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（9）项目实施规划：计划202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月开工，2</w:t>
      </w:r>
      <w:r>
        <w:rPr>
          <w:rFonts w:ascii="Times New Roman" w:hAnsi="Times New Roman" w:eastAsia="宋体"/>
          <w:strike w:val="0"/>
          <w:dstrike w:val="0"/>
          <w:color w:val="auto"/>
          <w:highlight w:val="none"/>
        </w:rPr>
        <w:t>02</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月建成投产</w:t>
      </w:r>
      <w:r>
        <w:rPr>
          <w:rFonts w:hint="eastAsia" w:ascii="Times New Roman" w:hAnsi="Times New Roman" w:eastAsia="宋体"/>
          <w:strike w:val="0"/>
          <w:dstrike w:val="0"/>
          <w:color w:val="auto"/>
          <w:highlight w:val="none"/>
          <w:lang w:eastAsia="zh-CN"/>
        </w:rPr>
        <w:t>。</w:t>
      </w:r>
    </w:p>
    <w:p w14:paraId="7A72DCEC">
      <w:pPr>
        <w:pStyle w:val="4"/>
        <w:rPr>
          <w:rFonts w:ascii="Times New Roman" w:hAnsi="Times New Roman" w:eastAsia="宋体"/>
          <w:strike w:val="0"/>
          <w:dstrike w:val="0"/>
          <w:color w:val="auto"/>
          <w:highlight w:val="none"/>
        </w:rPr>
      </w:pPr>
      <w:bookmarkStart w:id="99" w:name="_Toc106663461"/>
      <w:bookmarkStart w:id="100" w:name="_Toc14426"/>
      <w:r>
        <w:rPr>
          <w:rFonts w:hint="eastAsia" w:ascii="Times New Roman" w:hAnsi="Times New Roman" w:eastAsia="宋体"/>
          <w:strike w:val="0"/>
          <w:dstrike w:val="0"/>
          <w:color w:val="auto"/>
          <w:highlight w:val="none"/>
        </w:rPr>
        <w:t>3.1.2主要建设内容</w:t>
      </w:r>
      <w:bookmarkEnd w:id="99"/>
      <w:bookmarkEnd w:id="100"/>
    </w:p>
    <w:p w14:paraId="2AC2279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本项目建设内容主要包括</w:t>
      </w:r>
      <w:r>
        <w:rPr>
          <w:rFonts w:hint="eastAsia" w:ascii="Times New Roman" w:hAnsi="Times New Roman" w:eastAsia="宋体"/>
          <w:strike w:val="0"/>
          <w:dstrike w:val="0"/>
          <w:color w:val="auto"/>
          <w:highlight w:val="none"/>
        </w:rPr>
        <w:t>泌乳母驼舍建筑面积4560平方米、后备驼舍建筑面积725平方米、公驼舍建筑面积725平方米、隔离舍建筑面积190平方米、挤奶厅建筑面积2800平方米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供水管网及配套附属设施等</w:t>
      </w:r>
      <w:r>
        <w:rPr>
          <w:rFonts w:hint="eastAsia" w:ascii="Times New Roman" w:hAnsi="Times New Roman" w:eastAsia="宋体"/>
          <w:strike w:val="0"/>
          <w:dstrike w:val="0"/>
          <w:color w:val="auto"/>
          <w:highlight w:val="none"/>
          <w:lang w:eastAsia="zh-CN"/>
        </w:rPr>
        <w:t>。</w:t>
      </w:r>
    </w:p>
    <w:p w14:paraId="18E18A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表3.1-1项目工程组成一览表</w:t>
      </w:r>
    </w:p>
    <w:tbl>
      <w:tblPr>
        <w:tblStyle w:val="183"/>
        <w:tblW w:w="500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73"/>
        <w:gridCol w:w="954"/>
        <w:gridCol w:w="6645"/>
        <w:gridCol w:w="252"/>
      </w:tblGrid>
      <w:tr w14:paraId="1F623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tcBorders>
              <w:tl2br w:val="nil"/>
              <w:tr2bl w:val="nil"/>
            </w:tcBorders>
            <w:vAlign w:val="center"/>
          </w:tcPr>
          <w:p w14:paraId="7277E7A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工程分类</w:t>
            </w:r>
          </w:p>
        </w:tc>
        <w:tc>
          <w:tcPr>
            <w:tcW w:w="573" w:type="pct"/>
            <w:tcBorders>
              <w:tl2br w:val="nil"/>
              <w:tr2bl w:val="nil"/>
            </w:tcBorders>
            <w:vAlign w:val="center"/>
          </w:tcPr>
          <w:p w14:paraId="52F710F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项目名称</w:t>
            </w:r>
          </w:p>
        </w:tc>
        <w:tc>
          <w:tcPr>
            <w:tcW w:w="3990" w:type="pct"/>
            <w:tcBorders>
              <w:tl2br w:val="nil"/>
              <w:tr2bl w:val="nil"/>
            </w:tcBorders>
            <w:vAlign w:val="center"/>
          </w:tcPr>
          <w:p w14:paraId="3BAB7D9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建设规模</w:t>
            </w:r>
          </w:p>
        </w:tc>
        <w:tc>
          <w:tcPr>
            <w:tcW w:w="151" w:type="pct"/>
            <w:tcBorders>
              <w:tl2br w:val="nil"/>
              <w:tr2bl w:val="nil"/>
            </w:tcBorders>
            <w:vAlign w:val="center"/>
          </w:tcPr>
          <w:p w14:paraId="54C0BF5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备注</w:t>
            </w:r>
          </w:p>
        </w:tc>
      </w:tr>
      <w:tr w14:paraId="0A704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tcBorders>
              <w:tl2br w:val="nil"/>
              <w:tr2bl w:val="nil"/>
            </w:tcBorders>
            <w:vAlign w:val="center"/>
          </w:tcPr>
          <w:p w14:paraId="45A3E2A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主体工程</w:t>
            </w:r>
          </w:p>
        </w:tc>
        <w:tc>
          <w:tcPr>
            <w:tcW w:w="573" w:type="pct"/>
            <w:tcBorders>
              <w:tl2br w:val="nil"/>
              <w:tr2bl w:val="nil"/>
            </w:tcBorders>
            <w:vAlign w:val="center"/>
          </w:tcPr>
          <w:p w14:paraId="58CCCC3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3990" w:type="pct"/>
            <w:tcBorders>
              <w:tl2br w:val="nil"/>
              <w:tr2bl w:val="nil"/>
            </w:tcBorders>
            <w:vAlign w:val="center"/>
          </w:tcPr>
          <w:p w14:paraId="1DD9FD4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vertAlign w:val="baseline"/>
                <w:lang w:val="en-US" w:eastAsia="zh-CN"/>
              </w:rPr>
            </w:pPr>
            <w:r>
              <w:rPr>
                <w:rFonts w:hint="eastAsia" w:ascii="Times New Roman" w:hAnsi="Times New Roman" w:eastAsia="宋体" w:cs="宋体"/>
                <w:strike w:val="0"/>
                <w:dstrike w:val="0"/>
                <w:color w:val="auto"/>
                <w:spacing w:val="0"/>
                <w:position w:val="0"/>
                <w:sz w:val="21"/>
                <w:szCs w:val="21"/>
                <w:highlight w:val="none"/>
              </w:rPr>
              <w:t>泌乳母驼舍建筑面积4560平方米、后备驼舍建筑面积725平方米、公驼舍建筑面积725平方米、隔离舍建筑面积190平方米、挤奶厅建筑面积2800平方米</w:t>
            </w:r>
          </w:p>
        </w:tc>
        <w:tc>
          <w:tcPr>
            <w:tcW w:w="151" w:type="pct"/>
            <w:tcBorders>
              <w:tl2br w:val="nil"/>
              <w:tr2bl w:val="nil"/>
            </w:tcBorders>
            <w:vAlign w:val="center"/>
          </w:tcPr>
          <w:p w14:paraId="3577655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2978B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restart"/>
            <w:tcBorders>
              <w:tl2br w:val="nil"/>
              <w:tr2bl w:val="nil"/>
            </w:tcBorders>
            <w:vAlign w:val="center"/>
          </w:tcPr>
          <w:p w14:paraId="62A502B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配套工程</w:t>
            </w:r>
          </w:p>
        </w:tc>
        <w:tc>
          <w:tcPr>
            <w:tcW w:w="573" w:type="pct"/>
            <w:tcBorders>
              <w:tl2br w:val="nil"/>
              <w:tr2bl w:val="nil"/>
            </w:tcBorders>
            <w:vAlign w:val="center"/>
          </w:tcPr>
          <w:p w14:paraId="1431F01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c>
          <w:tcPr>
            <w:tcW w:w="3990" w:type="pct"/>
            <w:tcBorders>
              <w:tl2br w:val="nil"/>
              <w:tr2bl w:val="nil"/>
            </w:tcBorders>
            <w:vAlign w:val="center"/>
          </w:tcPr>
          <w:p w14:paraId="3E25F56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14"/>
                <w:highlight w:val="none"/>
                <w:lang w:val="en-US" w:eastAsia="zh-CN"/>
              </w:rPr>
              <w:t>占地面积1450m</w:t>
            </w:r>
            <w:r>
              <w:rPr>
                <w:rFonts w:hint="eastAsia" w:ascii="Times New Roman" w:hAnsi="Times New Roman" w:eastAsia="宋体" w:cs="Times New Roman"/>
                <w:strike w:val="0"/>
                <w:dstrike w:val="0"/>
                <w:color w:val="auto"/>
                <w:spacing w:val="0"/>
                <w:position w:val="0"/>
                <w:sz w:val="21"/>
                <w:szCs w:val="14"/>
                <w:highlight w:val="none"/>
                <w:vertAlign w:val="superscript"/>
                <w:lang w:val="en-US" w:eastAsia="zh-CN"/>
              </w:rPr>
              <w:t>2</w:t>
            </w:r>
            <w:r>
              <w:rPr>
                <w:rFonts w:hint="eastAsia" w:ascii="Times New Roman" w:hAnsi="Times New Roman" w:eastAsia="宋体" w:cs="Times New Roman"/>
                <w:strike w:val="0"/>
                <w:dstrike w:val="0"/>
                <w:color w:val="auto"/>
                <w:spacing w:val="0"/>
                <w:position w:val="0"/>
                <w:sz w:val="21"/>
                <w:szCs w:val="14"/>
                <w:highlight w:val="none"/>
                <w:vertAlign w:val="baseline"/>
                <w:lang w:val="en-US" w:eastAsia="zh-CN"/>
              </w:rPr>
              <w:t>。</w:t>
            </w:r>
          </w:p>
        </w:tc>
        <w:tc>
          <w:tcPr>
            <w:tcW w:w="151" w:type="pct"/>
            <w:tcBorders>
              <w:tl2br w:val="nil"/>
              <w:tr2bl w:val="nil"/>
            </w:tcBorders>
            <w:vAlign w:val="center"/>
          </w:tcPr>
          <w:p w14:paraId="05C2F09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5CF73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12CF4EF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573" w:type="pct"/>
            <w:tcBorders>
              <w:tl2br w:val="nil"/>
              <w:tr2bl w:val="nil"/>
            </w:tcBorders>
            <w:vAlign w:val="center"/>
          </w:tcPr>
          <w:p w14:paraId="0886D14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堆肥场</w:t>
            </w:r>
          </w:p>
        </w:tc>
        <w:tc>
          <w:tcPr>
            <w:tcW w:w="3990" w:type="pct"/>
            <w:tcBorders>
              <w:tl2br w:val="nil"/>
              <w:tr2bl w:val="nil"/>
            </w:tcBorders>
            <w:vAlign w:val="center"/>
          </w:tcPr>
          <w:p w14:paraId="21652E0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14"/>
                <w:highlight w:val="none"/>
                <w:lang w:val="en-US" w:eastAsia="zh-CN"/>
              </w:rPr>
              <w:t>占地面积2000m</w:t>
            </w:r>
            <w:r>
              <w:rPr>
                <w:rFonts w:hint="eastAsia" w:ascii="Times New Roman" w:hAnsi="Times New Roman" w:eastAsia="宋体" w:cs="Times New Roman"/>
                <w:strike w:val="0"/>
                <w:dstrike w:val="0"/>
                <w:color w:val="auto"/>
                <w:spacing w:val="0"/>
                <w:position w:val="0"/>
                <w:sz w:val="21"/>
                <w:szCs w:val="14"/>
                <w:highlight w:val="none"/>
                <w:vertAlign w:val="superscript"/>
                <w:lang w:val="en-US" w:eastAsia="zh-CN"/>
              </w:rPr>
              <w:t>2</w:t>
            </w:r>
            <w:r>
              <w:rPr>
                <w:rFonts w:hint="eastAsia" w:ascii="Times New Roman" w:hAnsi="Times New Roman" w:eastAsia="宋体" w:cs="Times New Roman"/>
                <w:strike w:val="0"/>
                <w:dstrike w:val="0"/>
                <w:color w:val="auto"/>
                <w:spacing w:val="0"/>
                <w:position w:val="0"/>
                <w:sz w:val="21"/>
                <w:szCs w:val="14"/>
                <w:highlight w:val="none"/>
                <w:vertAlign w:val="baseline"/>
                <w:lang w:val="en-US" w:eastAsia="zh-CN"/>
              </w:rPr>
              <w:t>。</w:t>
            </w:r>
          </w:p>
        </w:tc>
        <w:tc>
          <w:tcPr>
            <w:tcW w:w="151" w:type="pct"/>
            <w:tcBorders>
              <w:tl2br w:val="nil"/>
              <w:tr2bl w:val="nil"/>
            </w:tcBorders>
            <w:vAlign w:val="center"/>
          </w:tcPr>
          <w:p w14:paraId="2BEE47A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943F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5BE737C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573" w:type="pct"/>
            <w:tcBorders>
              <w:tl2br w:val="nil"/>
              <w:tr2bl w:val="nil"/>
            </w:tcBorders>
            <w:vAlign w:val="center"/>
          </w:tcPr>
          <w:p w14:paraId="0089D45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w:t>
            </w:r>
          </w:p>
        </w:tc>
        <w:tc>
          <w:tcPr>
            <w:tcW w:w="3990" w:type="pct"/>
            <w:tcBorders>
              <w:tl2br w:val="nil"/>
              <w:tr2bl w:val="nil"/>
            </w:tcBorders>
            <w:vAlign w:val="center"/>
          </w:tcPr>
          <w:p w14:paraId="57D48D7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14"/>
                <w:highlight w:val="none"/>
                <w:lang w:val="en-US" w:eastAsia="zh-CN"/>
              </w:rPr>
            </w:pPr>
            <w:r>
              <w:rPr>
                <w:rFonts w:hint="eastAsia" w:ascii="Times New Roman" w:hAnsi="Times New Roman" w:eastAsia="宋体" w:cs="宋体"/>
                <w:color w:val="auto"/>
                <w:kern w:val="0"/>
                <w:sz w:val="21"/>
                <w:szCs w:val="21"/>
                <w:lang w:bidi="ar"/>
              </w:rPr>
              <w:t>建设1座黑膜池，容积为</w:t>
            </w:r>
            <w:r>
              <w:rPr>
                <w:rFonts w:hint="eastAsia" w:ascii="Times New Roman" w:hAnsi="Times New Roman" w:eastAsia="宋体" w:cs="宋体"/>
                <w:color w:val="auto"/>
                <w:kern w:val="0"/>
                <w:sz w:val="21"/>
                <w:szCs w:val="21"/>
                <w:lang w:val="en-US" w:eastAsia="zh-CN" w:bidi="ar"/>
              </w:rPr>
              <w:t>1500</w:t>
            </w:r>
            <w:r>
              <w:rPr>
                <w:rFonts w:hint="eastAsia" w:ascii="Times New Roman" w:hAnsi="Times New Roman" w:eastAsia="宋体" w:cs="宋体"/>
                <w:color w:val="auto"/>
                <w:kern w:val="0"/>
                <w:sz w:val="21"/>
                <w:szCs w:val="21"/>
                <w:lang w:bidi="ar"/>
              </w:rPr>
              <w:t>m</w:t>
            </w:r>
            <w:r>
              <w:rPr>
                <w:rFonts w:ascii="Times New Roman" w:hAnsi="Times New Roman" w:eastAsia="宋体" w:cs="宋体"/>
                <w:color w:val="auto"/>
                <w:kern w:val="0"/>
                <w:sz w:val="21"/>
                <w:szCs w:val="21"/>
                <w:vertAlign w:val="superscript"/>
                <w:lang w:bidi="ar"/>
              </w:rPr>
              <w:t>3</w:t>
            </w:r>
            <w:r>
              <w:rPr>
                <w:rFonts w:hint="eastAsia" w:ascii="Times New Roman" w:hAnsi="Times New Roman" w:eastAsia="宋体" w:cs="宋体"/>
                <w:color w:val="auto"/>
                <w:kern w:val="0"/>
                <w:sz w:val="21"/>
                <w:szCs w:val="21"/>
                <w:lang w:bidi="ar"/>
              </w:rPr>
              <w:t>，用于处理生产废水以及生活污水，冬季用于储存生产废水以及生活污水</w:t>
            </w:r>
            <w:r>
              <w:rPr>
                <w:rFonts w:hint="eastAsia" w:ascii="Times New Roman" w:hAnsi="Times New Roman" w:eastAsia="宋体" w:cs="宋体"/>
                <w:color w:val="auto"/>
                <w:kern w:val="0"/>
                <w:sz w:val="21"/>
                <w:szCs w:val="21"/>
                <w:lang w:eastAsia="zh-CN" w:bidi="ar"/>
              </w:rPr>
              <w:t>。</w:t>
            </w:r>
          </w:p>
        </w:tc>
        <w:tc>
          <w:tcPr>
            <w:tcW w:w="151" w:type="pct"/>
            <w:tcBorders>
              <w:tl2br w:val="nil"/>
              <w:tr2bl w:val="nil"/>
            </w:tcBorders>
            <w:vAlign w:val="center"/>
          </w:tcPr>
          <w:p w14:paraId="6BC28CA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p>
        </w:tc>
      </w:tr>
      <w:tr w14:paraId="036DB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restart"/>
            <w:tcBorders>
              <w:tl2br w:val="nil"/>
              <w:tr2bl w:val="nil"/>
            </w:tcBorders>
            <w:vAlign w:val="center"/>
          </w:tcPr>
          <w:p w14:paraId="3190C20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公用工程</w:t>
            </w:r>
          </w:p>
        </w:tc>
        <w:tc>
          <w:tcPr>
            <w:tcW w:w="573" w:type="pct"/>
            <w:tcBorders>
              <w:tl2br w:val="nil"/>
              <w:tr2bl w:val="nil"/>
            </w:tcBorders>
            <w:vAlign w:val="center"/>
          </w:tcPr>
          <w:p w14:paraId="282BB25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供水</w:t>
            </w:r>
          </w:p>
        </w:tc>
        <w:tc>
          <w:tcPr>
            <w:tcW w:w="3990" w:type="pct"/>
            <w:tcBorders>
              <w:tl2br w:val="nil"/>
              <w:tr2bl w:val="nil"/>
            </w:tcBorders>
            <w:vAlign w:val="center"/>
          </w:tcPr>
          <w:p w14:paraId="5BC5E97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生产、生活用水</w:t>
            </w:r>
            <w:r>
              <w:rPr>
                <w:rFonts w:hint="eastAsia" w:ascii="Times New Roman" w:hAnsi="Times New Roman" w:eastAsia="宋体" w:cs="宋体"/>
                <w:strike w:val="0"/>
                <w:dstrike w:val="0"/>
                <w:color w:val="auto"/>
                <w:spacing w:val="0"/>
                <w:position w:val="0"/>
                <w:sz w:val="21"/>
                <w:szCs w:val="21"/>
                <w:highlight w:val="none"/>
                <w:lang w:val="en-US" w:eastAsia="zh-CN"/>
              </w:rPr>
              <w:t>由村庄供水管网供给。</w:t>
            </w:r>
          </w:p>
        </w:tc>
        <w:tc>
          <w:tcPr>
            <w:tcW w:w="151" w:type="pct"/>
            <w:tcBorders>
              <w:tl2br w:val="nil"/>
              <w:tr2bl w:val="nil"/>
            </w:tcBorders>
            <w:vAlign w:val="center"/>
          </w:tcPr>
          <w:p w14:paraId="009811E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79CF86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1D77842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265A170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排水</w:t>
            </w:r>
          </w:p>
        </w:tc>
        <w:tc>
          <w:tcPr>
            <w:tcW w:w="3990" w:type="pct"/>
            <w:tcBorders>
              <w:tl2br w:val="nil"/>
              <w:tr2bl w:val="nil"/>
            </w:tcBorders>
            <w:vAlign w:val="center"/>
          </w:tcPr>
          <w:p w14:paraId="021B1B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本项目无废水产生，</w:t>
            </w:r>
            <w:r>
              <w:rPr>
                <w:rFonts w:hint="eastAsia" w:ascii="Times New Roman" w:hAnsi="Times New Roman" w:eastAsia="宋体" w:cs="宋体"/>
                <w:strike w:val="0"/>
                <w:dstrike w:val="0"/>
                <w:color w:val="auto"/>
                <w:spacing w:val="0"/>
                <w:position w:val="0"/>
                <w:sz w:val="21"/>
                <w:szCs w:val="21"/>
                <w:highlight w:val="none"/>
              </w:rPr>
              <w:t>生活污水</w:t>
            </w:r>
            <w:r>
              <w:rPr>
                <w:rFonts w:hint="eastAsia" w:ascii="Times New Roman" w:hAnsi="Times New Roman" w:eastAsia="宋体" w:cs="宋体"/>
                <w:strike w:val="0"/>
                <w:dstrike w:val="0"/>
                <w:color w:val="auto"/>
                <w:spacing w:val="0"/>
                <w:position w:val="0"/>
                <w:sz w:val="21"/>
                <w:szCs w:val="21"/>
                <w:highlight w:val="none"/>
                <w:lang w:val="en-US" w:eastAsia="zh-CN"/>
              </w:rPr>
              <w:t>和生产废水经黑膜池发酵处理后用于项目区周边林带施肥。</w:t>
            </w:r>
          </w:p>
        </w:tc>
        <w:tc>
          <w:tcPr>
            <w:tcW w:w="151" w:type="pct"/>
            <w:tcBorders>
              <w:tl2br w:val="nil"/>
              <w:tr2bl w:val="nil"/>
            </w:tcBorders>
            <w:vAlign w:val="center"/>
          </w:tcPr>
          <w:p w14:paraId="4747BEA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4A629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45D6679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5D3CBD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供电</w:t>
            </w:r>
          </w:p>
        </w:tc>
        <w:tc>
          <w:tcPr>
            <w:tcW w:w="3990" w:type="pct"/>
            <w:tcBorders>
              <w:tl2br w:val="nil"/>
              <w:tr2bl w:val="nil"/>
            </w:tcBorders>
            <w:vAlign w:val="center"/>
          </w:tcPr>
          <w:p w14:paraId="05EB554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由项目区外电网接入</w:t>
            </w:r>
          </w:p>
        </w:tc>
        <w:tc>
          <w:tcPr>
            <w:tcW w:w="151" w:type="pct"/>
            <w:tcBorders>
              <w:tl2br w:val="nil"/>
              <w:tr2bl w:val="nil"/>
            </w:tcBorders>
            <w:vAlign w:val="center"/>
          </w:tcPr>
          <w:p w14:paraId="61EDEA1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C0B0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743755F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55581FA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供暖</w:t>
            </w:r>
          </w:p>
        </w:tc>
        <w:tc>
          <w:tcPr>
            <w:tcW w:w="3990" w:type="pct"/>
            <w:tcBorders>
              <w:tl2br w:val="nil"/>
              <w:tr2bl w:val="nil"/>
            </w:tcBorders>
            <w:vAlign w:val="center"/>
          </w:tcPr>
          <w:p w14:paraId="1DB7359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夏季办公区采用空调制冷，冬季通过</w:t>
            </w:r>
            <w:r>
              <w:rPr>
                <w:rFonts w:hint="eastAsia" w:ascii="Times New Roman" w:hAnsi="Times New Roman" w:eastAsia="宋体" w:cs="宋体"/>
                <w:strike w:val="0"/>
                <w:dstrike w:val="0"/>
                <w:color w:val="auto"/>
                <w:spacing w:val="0"/>
                <w:position w:val="0"/>
                <w:sz w:val="21"/>
                <w:szCs w:val="21"/>
                <w:highlight w:val="none"/>
                <w:lang w:val="en-US" w:eastAsia="zh-CN"/>
              </w:rPr>
              <w:t>电采暖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51" w:type="pct"/>
            <w:tcBorders>
              <w:tl2br w:val="nil"/>
              <w:tr2bl w:val="nil"/>
            </w:tcBorders>
            <w:vAlign w:val="center"/>
          </w:tcPr>
          <w:p w14:paraId="5B88416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4F3DC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restart"/>
            <w:tcBorders>
              <w:tl2br w:val="nil"/>
              <w:tr2bl w:val="nil"/>
            </w:tcBorders>
            <w:vAlign w:val="center"/>
          </w:tcPr>
          <w:p w14:paraId="260065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环保工程</w:t>
            </w:r>
          </w:p>
        </w:tc>
        <w:tc>
          <w:tcPr>
            <w:tcW w:w="573" w:type="pct"/>
            <w:tcBorders>
              <w:tl2br w:val="nil"/>
              <w:tr2bl w:val="nil"/>
            </w:tcBorders>
            <w:vAlign w:val="center"/>
          </w:tcPr>
          <w:p w14:paraId="7BE06E6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固废处置</w:t>
            </w:r>
          </w:p>
        </w:tc>
        <w:tc>
          <w:tcPr>
            <w:tcW w:w="3990" w:type="pct"/>
            <w:tcBorders>
              <w:tl2br w:val="nil"/>
              <w:tr2bl w:val="nil"/>
            </w:tcBorders>
            <w:vAlign w:val="center"/>
          </w:tcPr>
          <w:p w14:paraId="55CBECA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骆驼粪便定期清运至堆肥场，经过处理后作为有机肥外售；病死骆驼、分娩废弃物（胎衣、死胎、胎盘附属物）委托具有合法资质的无害化处理单位进行无害化处理</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医疗废物暂存于医疗废物暂存间（15m</w:t>
            </w:r>
            <w:r>
              <w:rPr>
                <w:rFonts w:hint="eastAsia" w:ascii="Times New Roman" w:hAnsi="Times New Roman" w:eastAsia="宋体" w:cs="宋体"/>
                <w:strike w:val="0"/>
                <w:dstrike w:val="0"/>
                <w:color w:val="auto"/>
                <w:spacing w:val="0"/>
                <w:position w:val="0"/>
                <w:sz w:val="21"/>
                <w:szCs w:val="21"/>
                <w:highlight w:val="none"/>
                <w:vertAlign w:val="superscript"/>
                <w:lang w:val="en-US" w:eastAsia="zh-CN"/>
              </w:rPr>
              <w:t>2</w:t>
            </w:r>
            <w:r>
              <w:rPr>
                <w:rFonts w:hint="eastAsia" w:ascii="Times New Roman" w:hAnsi="Times New Roman" w:eastAsia="宋体" w:cs="宋体"/>
                <w:strike w:val="0"/>
                <w:dstrike w:val="0"/>
                <w:color w:val="auto"/>
                <w:spacing w:val="0"/>
                <w:position w:val="0"/>
                <w:sz w:val="21"/>
                <w:szCs w:val="21"/>
                <w:highlight w:val="none"/>
                <w:lang w:val="en-US" w:eastAsia="zh-CN"/>
              </w:rPr>
              <w:t>），定期委托有资质单位进行处置。</w:t>
            </w:r>
          </w:p>
        </w:tc>
        <w:tc>
          <w:tcPr>
            <w:tcW w:w="151" w:type="pct"/>
            <w:tcBorders>
              <w:tl2br w:val="nil"/>
              <w:tr2bl w:val="nil"/>
            </w:tcBorders>
            <w:vAlign w:val="center"/>
          </w:tcPr>
          <w:p w14:paraId="63F7F34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10447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jc w:val="center"/>
        </w:trPr>
        <w:tc>
          <w:tcPr>
            <w:tcW w:w="284" w:type="pct"/>
            <w:vMerge w:val="continue"/>
            <w:tcBorders>
              <w:tl2br w:val="nil"/>
              <w:tr2bl w:val="nil"/>
            </w:tcBorders>
            <w:vAlign w:val="center"/>
          </w:tcPr>
          <w:p w14:paraId="476B262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6279F9B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废水治理</w:t>
            </w:r>
          </w:p>
        </w:tc>
        <w:tc>
          <w:tcPr>
            <w:tcW w:w="3990" w:type="pct"/>
            <w:tcBorders>
              <w:tl2br w:val="nil"/>
              <w:tr2bl w:val="nil"/>
            </w:tcBorders>
            <w:vAlign w:val="center"/>
          </w:tcPr>
          <w:p w14:paraId="1EAD5F8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厂区设置1座黑膜池，黑膜池采用厌氧发酵工艺，用于处理生产废水和生活污水。项目生产废水及生活污水经黑膜池发酵处理后用于项目区周边林带施肥。</w:t>
            </w:r>
          </w:p>
        </w:tc>
        <w:tc>
          <w:tcPr>
            <w:tcW w:w="151" w:type="pct"/>
            <w:tcBorders>
              <w:tl2br w:val="nil"/>
              <w:tr2bl w:val="nil"/>
            </w:tcBorders>
            <w:vAlign w:val="center"/>
          </w:tcPr>
          <w:p w14:paraId="418FB66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25CD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284" w:type="pct"/>
            <w:vMerge w:val="continue"/>
            <w:tcBorders>
              <w:tl2br w:val="nil"/>
              <w:tr2bl w:val="nil"/>
            </w:tcBorders>
            <w:vAlign w:val="center"/>
          </w:tcPr>
          <w:p w14:paraId="73BD5AA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tcBorders>
              <w:tl2br w:val="nil"/>
              <w:tr2bl w:val="nil"/>
            </w:tcBorders>
            <w:vAlign w:val="center"/>
          </w:tcPr>
          <w:p w14:paraId="52FCC8A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噪声治理</w:t>
            </w:r>
          </w:p>
        </w:tc>
        <w:tc>
          <w:tcPr>
            <w:tcW w:w="3990" w:type="pct"/>
            <w:tcBorders>
              <w:tl2br w:val="nil"/>
              <w:tr2bl w:val="nil"/>
            </w:tcBorders>
            <w:vAlign w:val="center"/>
          </w:tcPr>
          <w:p w14:paraId="4CDCEBC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对产生噪声的设备采取消音、厂房屏蔽及隔声措施</w:t>
            </w:r>
          </w:p>
        </w:tc>
        <w:tc>
          <w:tcPr>
            <w:tcW w:w="151" w:type="pct"/>
            <w:tcBorders>
              <w:tl2br w:val="nil"/>
              <w:tr2bl w:val="nil"/>
            </w:tcBorders>
            <w:vAlign w:val="center"/>
          </w:tcPr>
          <w:p w14:paraId="6A6AF0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B6BE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284" w:type="pct"/>
            <w:vMerge w:val="continue"/>
            <w:tcBorders>
              <w:tl2br w:val="nil"/>
              <w:tr2bl w:val="nil"/>
            </w:tcBorders>
            <w:vAlign w:val="center"/>
          </w:tcPr>
          <w:p w14:paraId="65FE2A1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73" w:type="pct"/>
            <w:vMerge w:val="restart"/>
            <w:tcBorders>
              <w:tl2br w:val="nil"/>
              <w:tr2bl w:val="nil"/>
            </w:tcBorders>
            <w:vAlign w:val="center"/>
          </w:tcPr>
          <w:p w14:paraId="4E35DCC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废气治理</w:t>
            </w:r>
          </w:p>
        </w:tc>
        <w:tc>
          <w:tcPr>
            <w:tcW w:w="3990" w:type="pct"/>
            <w:tcBorders>
              <w:tl2br w:val="nil"/>
              <w:tr2bl w:val="nil"/>
            </w:tcBorders>
            <w:vAlign w:val="center"/>
          </w:tcPr>
          <w:p w14:paraId="11ED33E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在饲料中添加沙皂素等除臭剂，并科学合理调控饲粮，同时加强骆驼养殖场的环境跟踪和管理动气清理粪便，对堆肥场定期喷洒除臭剂，加强厂区绿化，使用透气发酵膜全覆盖堆垛，周边压实，防雨、阻隔臭气，翻堆仅局部揭膜，同步喷淋除臭，完工马上盖膜</w:t>
            </w:r>
          </w:p>
        </w:tc>
        <w:tc>
          <w:tcPr>
            <w:tcW w:w="151" w:type="pct"/>
            <w:vMerge w:val="restart"/>
            <w:tcBorders>
              <w:tl2br w:val="nil"/>
              <w:tr2bl w:val="nil"/>
            </w:tcBorders>
            <w:vAlign w:val="center"/>
          </w:tcPr>
          <w:p w14:paraId="2278C2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新建</w:t>
            </w:r>
          </w:p>
        </w:tc>
      </w:tr>
      <w:tr w14:paraId="38FD07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jc w:val="center"/>
        </w:trPr>
        <w:tc>
          <w:tcPr>
            <w:tcW w:w="284" w:type="pct"/>
            <w:vMerge w:val="continue"/>
            <w:tcBorders>
              <w:tl2br w:val="nil"/>
              <w:tr2bl w:val="nil"/>
            </w:tcBorders>
            <w:vAlign w:val="center"/>
          </w:tcPr>
          <w:p w14:paraId="335B24D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olor w:val="auto"/>
              </w:rPr>
            </w:pPr>
          </w:p>
        </w:tc>
        <w:tc>
          <w:tcPr>
            <w:tcW w:w="573" w:type="pct"/>
            <w:vMerge w:val="continue"/>
            <w:tcBorders>
              <w:tl2br w:val="nil"/>
              <w:tr2bl w:val="nil"/>
            </w:tcBorders>
            <w:vAlign w:val="center"/>
          </w:tcPr>
          <w:p w14:paraId="0E110B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olor w:val="auto"/>
              </w:rPr>
            </w:pPr>
          </w:p>
        </w:tc>
        <w:tc>
          <w:tcPr>
            <w:tcW w:w="3990" w:type="pct"/>
            <w:tcBorders>
              <w:tl2br w:val="nil"/>
              <w:tr2bl w:val="nil"/>
            </w:tcBorders>
            <w:vAlign w:val="center"/>
          </w:tcPr>
          <w:p w14:paraId="00E3AE8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黑膜池：池体覆膜密闭，定时喷洒生物除臭剂；加强绿化</w:t>
            </w:r>
          </w:p>
        </w:tc>
        <w:tc>
          <w:tcPr>
            <w:tcW w:w="151" w:type="pct"/>
            <w:vMerge w:val="continue"/>
            <w:tcBorders>
              <w:tl2br w:val="nil"/>
              <w:tr2bl w:val="nil"/>
            </w:tcBorders>
            <w:vAlign w:val="center"/>
          </w:tcPr>
          <w:p w14:paraId="63B1874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p>
        </w:tc>
      </w:tr>
    </w:tbl>
    <w:p w14:paraId="0A9105D0">
      <w:pPr>
        <w:pStyle w:val="4"/>
        <w:rPr>
          <w:rFonts w:ascii="Times New Roman" w:hAnsi="Times New Roman" w:eastAsia="宋体"/>
          <w:strike w:val="0"/>
          <w:dstrike w:val="0"/>
          <w:color w:val="auto"/>
          <w:highlight w:val="none"/>
        </w:rPr>
      </w:pPr>
      <w:bookmarkStart w:id="101" w:name="_Toc106663462"/>
      <w:bookmarkStart w:id="102" w:name="_Toc1096"/>
      <w:r>
        <w:rPr>
          <w:rFonts w:hint="eastAsia" w:ascii="Times New Roman" w:hAnsi="Times New Roman" w:eastAsia="宋体"/>
          <w:strike w:val="0"/>
          <w:dstrike w:val="0"/>
          <w:color w:val="auto"/>
          <w:highlight w:val="none"/>
        </w:rPr>
        <w:t>3.1.3主要原辅材料</w:t>
      </w:r>
      <w:bookmarkEnd w:id="101"/>
      <w:bookmarkEnd w:id="102"/>
    </w:p>
    <w:p w14:paraId="4BF0B42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本项目原辅材</w:t>
      </w:r>
      <w:r>
        <w:rPr>
          <w:rFonts w:hint="eastAsia" w:ascii="Times New Roman" w:hAnsi="Times New Roman" w:eastAsia="宋体"/>
          <w:strike w:val="0"/>
          <w:dstrike w:val="0"/>
          <w:color w:val="auto"/>
          <w:highlight w:val="none"/>
          <w:lang w:eastAsia="zh-CN"/>
        </w:rPr>
        <w:t>料消</w:t>
      </w:r>
      <w:r>
        <w:rPr>
          <w:rFonts w:hint="eastAsia" w:ascii="Times New Roman" w:hAnsi="Times New Roman" w:eastAsia="宋体"/>
          <w:strike w:val="0"/>
          <w:dstrike w:val="0"/>
          <w:color w:val="auto"/>
          <w:highlight w:val="none"/>
        </w:rPr>
        <w:t>耗情况见下表3.1-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666D37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表3.1-本项目原辅材料用量情况一览表</w:t>
      </w:r>
    </w:p>
    <w:tbl>
      <w:tblPr>
        <w:tblStyle w:val="183"/>
        <w:tblW w:w="500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6"/>
        <w:gridCol w:w="1157"/>
        <w:gridCol w:w="1173"/>
        <w:gridCol w:w="2933"/>
        <w:gridCol w:w="2690"/>
      </w:tblGrid>
      <w:tr w14:paraId="06E1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915" w:type="pct"/>
            <w:gridSpan w:val="2"/>
            <w:vAlign w:val="center"/>
          </w:tcPr>
          <w:p w14:paraId="73A5AAD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名称</w:t>
            </w:r>
          </w:p>
        </w:tc>
        <w:tc>
          <w:tcPr>
            <w:tcW w:w="705" w:type="pct"/>
            <w:vAlign w:val="center"/>
          </w:tcPr>
          <w:p w14:paraId="6133CFC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数量</w:t>
            </w:r>
          </w:p>
        </w:tc>
        <w:tc>
          <w:tcPr>
            <w:tcW w:w="1762" w:type="pct"/>
            <w:vAlign w:val="center"/>
          </w:tcPr>
          <w:p w14:paraId="69EC04A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来源</w:t>
            </w:r>
          </w:p>
        </w:tc>
        <w:tc>
          <w:tcPr>
            <w:tcW w:w="1616" w:type="pct"/>
            <w:vAlign w:val="center"/>
          </w:tcPr>
          <w:p w14:paraId="2AA9477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备注</w:t>
            </w:r>
          </w:p>
        </w:tc>
      </w:tr>
      <w:tr w14:paraId="3E3CE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restart"/>
            <w:vAlign w:val="center"/>
          </w:tcPr>
          <w:p w14:paraId="232C2E9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val="en-US" w:eastAsia="zh-CN"/>
              </w:rPr>
              <w:t>骆驼</w:t>
            </w:r>
            <w:r>
              <w:rPr>
                <w:rFonts w:ascii="Times New Roman" w:hAnsi="Times New Roman" w:eastAsia="宋体" w:cs="宋体"/>
                <w:strike w:val="0"/>
                <w:dstrike w:val="0"/>
                <w:color w:val="auto"/>
                <w:spacing w:val="0"/>
                <w:sz w:val="21"/>
                <w:szCs w:val="21"/>
                <w:highlight w:val="none"/>
              </w:rPr>
              <w:t>饲养</w:t>
            </w:r>
          </w:p>
        </w:tc>
        <w:tc>
          <w:tcPr>
            <w:tcW w:w="695" w:type="pct"/>
            <w:vAlign w:val="center"/>
          </w:tcPr>
          <w:p w14:paraId="7D00A41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骆驼</w:t>
            </w:r>
          </w:p>
        </w:tc>
        <w:tc>
          <w:tcPr>
            <w:tcW w:w="705" w:type="pct"/>
            <w:vAlign w:val="center"/>
          </w:tcPr>
          <w:p w14:paraId="7BB247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1015峰</w:t>
            </w:r>
          </w:p>
        </w:tc>
        <w:tc>
          <w:tcPr>
            <w:tcW w:w="1762" w:type="pct"/>
            <w:vAlign w:val="center"/>
          </w:tcPr>
          <w:p w14:paraId="1A64137D">
            <w:pPr>
              <w:keepNext w:val="0"/>
              <w:keepLines w:val="0"/>
              <w:pageBreakBefore w:val="0"/>
              <w:widowControl w:val="0"/>
              <w:kinsoku/>
              <w:wordWrap/>
              <w:overflowPunct/>
              <w:topLinePunct w:val="0"/>
              <w:autoSpaceDE/>
              <w:autoSpaceDN/>
              <w:bidi w:val="0"/>
              <w:adjustRightInd/>
              <w:snapToGrid/>
              <w:spacing w:line="360" w:lineRule="exact"/>
              <w:ind w:left="0" w:right="192"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2AAC33D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w:t>
            </w:r>
          </w:p>
        </w:tc>
      </w:tr>
      <w:tr w14:paraId="2DCE4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47C8D1E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5B0D92B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防疫药品</w:t>
            </w:r>
          </w:p>
        </w:tc>
        <w:tc>
          <w:tcPr>
            <w:tcW w:w="705" w:type="pct"/>
            <w:vAlign w:val="center"/>
          </w:tcPr>
          <w:p w14:paraId="7203C7C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2.6t/a</w:t>
            </w:r>
          </w:p>
        </w:tc>
        <w:tc>
          <w:tcPr>
            <w:tcW w:w="1762" w:type="pct"/>
            <w:vAlign w:val="center"/>
          </w:tcPr>
          <w:p w14:paraId="2485A959">
            <w:pPr>
              <w:keepNext w:val="0"/>
              <w:keepLines w:val="0"/>
              <w:pageBreakBefore w:val="0"/>
              <w:widowControl w:val="0"/>
              <w:kinsoku/>
              <w:wordWrap/>
              <w:overflowPunct/>
              <w:topLinePunct w:val="0"/>
              <w:autoSpaceDE/>
              <w:autoSpaceDN/>
              <w:bidi w:val="0"/>
              <w:adjustRightInd/>
              <w:snapToGrid/>
              <w:spacing w:line="360" w:lineRule="exact"/>
              <w:ind w:left="0" w:right="139"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198EC92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222B0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02271F2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17F79DE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消毒药品</w:t>
            </w:r>
          </w:p>
        </w:tc>
        <w:tc>
          <w:tcPr>
            <w:tcW w:w="705" w:type="pct"/>
            <w:vAlign w:val="center"/>
          </w:tcPr>
          <w:p w14:paraId="7826CD9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20</w:t>
            </w:r>
            <w:r>
              <w:rPr>
                <w:rFonts w:ascii="Times New Roman" w:hAnsi="Times New Roman" w:eastAsia="宋体" w:cs="Times New Roman"/>
                <w:strike w:val="0"/>
                <w:dstrike w:val="0"/>
                <w:color w:val="auto"/>
                <w:spacing w:val="0"/>
                <w:sz w:val="21"/>
                <w:szCs w:val="21"/>
                <w:highlight w:val="none"/>
              </w:rPr>
              <w:t>t/a</w:t>
            </w:r>
          </w:p>
        </w:tc>
        <w:tc>
          <w:tcPr>
            <w:tcW w:w="1762" w:type="pct"/>
            <w:vAlign w:val="center"/>
          </w:tcPr>
          <w:p w14:paraId="7766F66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0B5B31B8">
            <w:pPr>
              <w:keepNext w:val="0"/>
              <w:keepLines w:val="0"/>
              <w:pageBreakBefore w:val="0"/>
              <w:widowControl w:val="0"/>
              <w:kinsoku/>
              <w:wordWrap/>
              <w:overflowPunct/>
              <w:topLinePunct w:val="0"/>
              <w:autoSpaceDE/>
              <w:autoSpaceDN/>
              <w:bidi w:val="0"/>
              <w:adjustRightInd/>
              <w:snapToGrid/>
              <w:spacing w:line="360" w:lineRule="exact"/>
              <w:ind w:left="0" w:right="137"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主要复合酚、来苏尔、氯制剂</w:t>
            </w:r>
          </w:p>
        </w:tc>
      </w:tr>
      <w:tr w14:paraId="66D43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1586BF2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2BD65BA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精饲料</w:t>
            </w:r>
          </w:p>
        </w:tc>
        <w:tc>
          <w:tcPr>
            <w:tcW w:w="705" w:type="pct"/>
            <w:vAlign w:val="center"/>
          </w:tcPr>
          <w:p w14:paraId="159FE74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2.34×10</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t/a</w:t>
            </w:r>
          </w:p>
        </w:tc>
        <w:tc>
          <w:tcPr>
            <w:tcW w:w="1762" w:type="pct"/>
            <w:vAlign w:val="center"/>
          </w:tcPr>
          <w:p w14:paraId="4280135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0A71EB5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64C00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41E0913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345748A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苜蓿干草</w:t>
            </w:r>
          </w:p>
        </w:tc>
        <w:tc>
          <w:tcPr>
            <w:tcW w:w="705" w:type="pct"/>
            <w:vAlign w:val="center"/>
          </w:tcPr>
          <w:p w14:paraId="07B9878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438t/a</w:t>
            </w:r>
          </w:p>
        </w:tc>
        <w:tc>
          <w:tcPr>
            <w:tcW w:w="1762" w:type="pct"/>
            <w:vAlign w:val="center"/>
          </w:tcPr>
          <w:p w14:paraId="08945CF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外购</w:t>
            </w:r>
          </w:p>
        </w:tc>
        <w:tc>
          <w:tcPr>
            <w:tcW w:w="1616" w:type="pct"/>
            <w:vAlign w:val="center"/>
          </w:tcPr>
          <w:p w14:paraId="67016B8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w:t>
            </w:r>
          </w:p>
        </w:tc>
      </w:tr>
      <w:tr w14:paraId="7D4E1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57D778E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024BA7D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燕麦干草</w:t>
            </w:r>
          </w:p>
        </w:tc>
        <w:tc>
          <w:tcPr>
            <w:tcW w:w="705" w:type="pct"/>
            <w:vAlign w:val="center"/>
          </w:tcPr>
          <w:p w14:paraId="13ADCD0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328.5t/a</w:t>
            </w:r>
          </w:p>
        </w:tc>
        <w:tc>
          <w:tcPr>
            <w:tcW w:w="1762" w:type="pct"/>
            <w:vAlign w:val="center"/>
          </w:tcPr>
          <w:p w14:paraId="490A507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外购</w:t>
            </w:r>
          </w:p>
        </w:tc>
        <w:tc>
          <w:tcPr>
            <w:tcW w:w="1616" w:type="pct"/>
            <w:vAlign w:val="center"/>
          </w:tcPr>
          <w:p w14:paraId="17A75E9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w:t>
            </w:r>
          </w:p>
        </w:tc>
      </w:tr>
      <w:tr w14:paraId="7EA0F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extDirection w:val="tbRlV"/>
            <w:vAlign w:val="center"/>
          </w:tcPr>
          <w:p w14:paraId="7C94D13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253BBC2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芦苇干草</w:t>
            </w:r>
          </w:p>
        </w:tc>
        <w:tc>
          <w:tcPr>
            <w:tcW w:w="705" w:type="pct"/>
            <w:vAlign w:val="center"/>
          </w:tcPr>
          <w:p w14:paraId="162CF41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569.4t/a</w:t>
            </w:r>
          </w:p>
        </w:tc>
        <w:tc>
          <w:tcPr>
            <w:tcW w:w="1762" w:type="pct"/>
            <w:vAlign w:val="center"/>
          </w:tcPr>
          <w:p w14:paraId="5C8896A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外购</w:t>
            </w:r>
          </w:p>
        </w:tc>
        <w:tc>
          <w:tcPr>
            <w:tcW w:w="1616" w:type="pct"/>
            <w:vAlign w:val="center"/>
          </w:tcPr>
          <w:p w14:paraId="193049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w:t>
            </w:r>
          </w:p>
        </w:tc>
      </w:tr>
      <w:tr w14:paraId="2D1DDF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restart"/>
            <w:tcBorders>
              <w:bottom w:val="nil"/>
            </w:tcBorders>
            <w:vAlign w:val="center"/>
          </w:tcPr>
          <w:p w14:paraId="3D90364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辅料</w:t>
            </w:r>
          </w:p>
        </w:tc>
        <w:tc>
          <w:tcPr>
            <w:tcW w:w="695" w:type="pct"/>
            <w:vAlign w:val="center"/>
          </w:tcPr>
          <w:p w14:paraId="7B0B37C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除臭剂</w:t>
            </w:r>
          </w:p>
        </w:tc>
        <w:tc>
          <w:tcPr>
            <w:tcW w:w="705" w:type="pct"/>
            <w:vAlign w:val="center"/>
          </w:tcPr>
          <w:p w14:paraId="0A8F1FE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500kg</w:t>
            </w:r>
          </w:p>
        </w:tc>
        <w:tc>
          <w:tcPr>
            <w:tcW w:w="1762" w:type="pct"/>
            <w:vAlign w:val="center"/>
          </w:tcPr>
          <w:p w14:paraId="059BD35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2816BBAD">
            <w:pPr>
              <w:keepNext w:val="0"/>
              <w:keepLines w:val="0"/>
              <w:pageBreakBefore w:val="0"/>
              <w:widowControl w:val="0"/>
              <w:kinsoku/>
              <w:wordWrap/>
              <w:overflowPunct/>
              <w:topLinePunct w:val="0"/>
              <w:autoSpaceDE/>
              <w:autoSpaceDN/>
              <w:bidi w:val="0"/>
              <w:adjustRightInd/>
              <w:snapToGrid/>
              <w:spacing w:line="360" w:lineRule="exact"/>
              <w:ind w:left="0" w:right="168"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主要为戊二醛、聚维酮碘</w:t>
            </w:r>
          </w:p>
        </w:tc>
      </w:tr>
      <w:tr w14:paraId="48E24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cBorders>
              <w:top w:val="nil"/>
            </w:tcBorders>
            <w:textDirection w:val="tbRlV"/>
            <w:vAlign w:val="center"/>
          </w:tcPr>
          <w:p w14:paraId="2E6EA2F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5D8799B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熟石灰</w:t>
            </w:r>
          </w:p>
        </w:tc>
        <w:tc>
          <w:tcPr>
            <w:tcW w:w="705" w:type="pct"/>
            <w:vAlign w:val="center"/>
          </w:tcPr>
          <w:p w14:paraId="04C2D9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4</w:t>
            </w:r>
            <w:r>
              <w:rPr>
                <w:rFonts w:ascii="Times New Roman" w:hAnsi="Times New Roman" w:eastAsia="宋体" w:cs="Times New Roman"/>
                <w:strike w:val="0"/>
                <w:dstrike w:val="0"/>
                <w:color w:val="auto"/>
                <w:spacing w:val="0"/>
                <w:sz w:val="21"/>
                <w:szCs w:val="21"/>
                <w:highlight w:val="none"/>
              </w:rPr>
              <w:t>t/a</w:t>
            </w:r>
          </w:p>
        </w:tc>
        <w:tc>
          <w:tcPr>
            <w:tcW w:w="1762" w:type="pct"/>
            <w:vAlign w:val="center"/>
          </w:tcPr>
          <w:p w14:paraId="0EE8DF0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外购</w:t>
            </w:r>
          </w:p>
        </w:tc>
        <w:tc>
          <w:tcPr>
            <w:tcW w:w="1616" w:type="pct"/>
            <w:vAlign w:val="center"/>
          </w:tcPr>
          <w:p w14:paraId="7CC8420A">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27481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restart"/>
            <w:tcBorders>
              <w:bottom w:val="nil"/>
            </w:tcBorders>
            <w:vAlign w:val="center"/>
          </w:tcPr>
          <w:p w14:paraId="0610CF2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能源</w:t>
            </w:r>
          </w:p>
        </w:tc>
        <w:tc>
          <w:tcPr>
            <w:tcW w:w="695" w:type="pct"/>
            <w:vAlign w:val="center"/>
          </w:tcPr>
          <w:p w14:paraId="0BC1BFD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水</w:t>
            </w:r>
          </w:p>
        </w:tc>
        <w:tc>
          <w:tcPr>
            <w:tcW w:w="705" w:type="pct"/>
            <w:vAlign w:val="center"/>
          </w:tcPr>
          <w:p w14:paraId="63559DD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4421.975</w:t>
            </w:r>
            <w:r>
              <w:rPr>
                <w:rFonts w:ascii="Times New Roman" w:hAnsi="Times New Roman" w:eastAsia="宋体" w:cs="Times New Roman"/>
                <w:strike w:val="0"/>
                <w:dstrike w:val="0"/>
                <w:color w:val="auto"/>
                <w:spacing w:val="0"/>
                <w:sz w:val="21"/>
                <w:szCs w:val="21"/>
                <w:highlight w:val="none"/>
              </w:rPr>
              <w:t>m³/a</w:t>
            </w:r>
          </w:p>
        </w:tc>
        <w:tc>
          <w:tcPr>
            <w:tcW w:w="1762" w:type="pct"/>
            <w:vAlign w:val="center"/>
          </w:tcPr>
          <w:p w14:paraId="181E8C56">
            <w:pPr>
              <w:keepNext w:val="0"/>
              <w:keepLines w:val="0"/>
              <w:pageBreakBefore w:val="0"/>
              <w:widowControl w:val="0"/>
              <w:kinsoku/>
              <w:wordWrap/>
              <w:overflowPunct/>
              <w:topLinePunct w:val="0"/>
              <w:autoSpaceDE/>
              <w:autoSpaceDN/>
              <w:bidi w:val="0"/>
              <w:adjustRightInd/>
              <w:snapToGrid/>
              <w:spacing w:line="360" w:lineRule="exact"/>
              <w:ind w:left="0" w:right="139"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从</w:t>
            </w:r>
            <w:r>
              <w:rPr>
                <w:rFonts w:hint="eastAsia" w:ascii="Times New Roman" w:hAnsi="Times New Roman" w:eastAsia="宋体" w:cs="宋体"/>
                <w:strike w:val="0"/>
                <w:dstrike w:val="0"/>
                <w:color w:val="auto"/>
                <w:spacing w:val="0"/>
                <w:sz w:val="21"/>
                <w:szCs w:val="21"/>
                <w:highlight w:val="none"/>
                <w:lang w:val="en-US" w:eastAsia="zh-CN"/>
              </w:rPr>
              <w:t>村庄供水管网</w:t>
            </w:r>
            <w:r>
              <w:rPr>
                <w:rFonts w:ascii="Times New Roman" w:hAnsi="Times New Roman" w:eastAsia="宋体" w:cs="宋体"/>
                <w:strike w:val="0"/>
                <w:dstrike w:val="0"/>
                <w:color w:val="auto"/>
                <w:spacing w:val="0"/>
                <w:sz w:val="21"/>
                <w:szCs w:val="21"/>
                <w:highlight w:val="none"/>
              </w:rPr>
              <w:t>预留接口接入</w:t>
            </w:r>
          </w:p>
        </w:tc>
        <w:tc>
          <w:tcPr>
            <w:tcW w:w="1616" w:type="pct"/>
            <w:vAlign w:val="center"/>
          </w:tcPr>
          <w:p w14:paraId="48E7406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r w14:paraId="0FE6B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20" w:type="pct"/>
            <w:vMerge w:val="continue"/>
            <w:tcBorders>
              <w:top w:val="nil"/>
            </w:tcBorders>
            <w:textDirection w:val="tbRlV"/>
            <w:vAlign w:val="center"/>
          </w:tcPr>
          <w:p w14:paraId="1349D7B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695" w:type="pct"/>
            <w:vAlign w:val="center"/>
          </w:tcPr>
          <w:p w14:paraId="0B25C6CE">
            <w:pPr>
              <w:keepNext w:val="0"/>
              <w:keepLines w:val="0"/>
              <w:pageBreakBefore w:val="0"/>
              <w:widowControl w:val="0"/>
              <w:kinsoku/>
              <w:wordWrap/>
              <w:overflowPunct/>
              <w:topLinePunct w:val="0"/>
              <w:autoSpaceDE/>
              <w:autoSpaceDN/>
              <w:bidi w:val="0"/>
              <w:adjustRightInd/>
              <w:snapToGrid/>
              <w:spacing w:line="360" w:lineRule="exact"/>
              <w:ind w:left="0" w:right="122"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电</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KWh/a</w:t>
            </w:r>
            <w:r>
              <w:rPr>
                <w:rFonts w:hint="eastAsia" w:ascii="Times New Roman" w:hAnsi="Times New Roman" w:eastAsia="宋体" w:cs="宋体"/>
                <w:strike w:val="0"/>
                <w:dstrike w:val="0"/>
                <w:color w:val="auto"/>
                <w:spacing w:val="0"/>
                <w:sz w:val="21"/>
                <w:szCs w:val="21"/>
                <w:highlight w:val="none"/>
                <w:lang w:eastAsia="zh-CN"/>
              </w:rPr>
              <w:t>）</w:t>
            </w:r>
          </w:p>
        </w:tc>
        <w:tc>
          <w:tcPr>
            <w:tcW w:w="705" w:type="pct"/>
            <w:vAlign w:val="center"/>
          </w:tcPr>
          <w:p w14:paraId="456F336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16</w:t>
            </w:r>
            <w:r>
              <w:rPr>
                <w:rFonts w:ascii="Times New Roman" w:hAnsi="Times New Roman" w:eastAsia="宋体" w:cs="宋体"/>
                <w:strike w:val="0"/>
                <w:dstrike w:val="0"/>
                <w:color w:val="auto"/>
                <w:spacing w:val="0"/>
                <w:sz w:val="21"/>
                <w:szCs w:val="21"/>
                <w:highlight w:val="none"/>
              </w:rPr>
              <w:t>万</w:t>
            </w:r>
            <w:r>
              <w:rPr>
                <w:rFonts w:ascii="Times New Roman" w:hAnsi="Times New Roman" w:eastAsia="宋体" w:cs="Times New Roman"/>
                <w:strike w:val="0"/>
                <w:dstrike w:val="0"/>
                <w:color w:val="auto"/>
                <w:spacing w:val="0"/>
                <w:sz w:val="21"/>
                <w:szCs w:val="21"/>
                <w:highlight w:val="none"/>
              </w:rPr>
              <w:t>kWh/a</w:t>
            </w:r>
          </w:p>
        </w:tc>
        <w:tc>
          <w:tcPr>
            <w:tcW w:w="1762" w:type="pct"/>
            <w:vAlign w:val="center"/>
          </w:tcPr>
          <w:p w14:paraId="66B3D6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电网</w:t>
            </w:r>
          </w:p>
        </w:tc>
        <w:tc>
          <w:tcPr>
            <w:tcW w:w="1616" w:type="pct"/>
            <w:vAlign w:val="center"/>
          </w:tcPr>
          <w:p w14:paraId="1EA38F5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w:t>
            </w:r>
          </w:p>
        </w:tc>
      </w:tr>
    </w:tbl>
    <w:p w14:paraId="2E37559E">
      <w:pPr>
        <w:pStyle w:val="4"/>
        <w:rPr>
          <w:rFonts w:ascii="Times New Roman" w:hAnsi="Times New Roman" w:eastAsia="宋体"/>
          <w:strike w:val="0"/>
          <w:dstrike w:val="0"/>
          <w:color w:val="auto"/>
          <w:highlight w:val="none"/>
        </w:rPr>
      </w:pPr>
      <w:bookmarkStart w:id="103" w:name="_Toc106663464"/>
      <w:bookmarkStart w:id="104" w:name="_Toc23707"/>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平面布置</w:t>
      </w:r>
      <w:bookmarkEnd w:id="103"/>
      <w:bookmarkEnd w:id="104"/>
    </w:p>
    <w:p w14:paraId="40EE72A3">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总平面布置</w:t>
      </w:r>
    </w:p>
    <w:p w14:paraId="63F587F5">
      <w:pPr>
        <w:ind w:firstLine="480"/>
        <w:rPr>
          <w:rFonts w:hint="default" w:ascii="Times New Roman" w:hAnsi="Times New Roman" w:eastAsia="宋体"/>
          <w:b w:val="0"/>
          <w:bCs w:val="0"/>
          <w:strike w:val="0"/>
          <w:dstrike w:val="0"/>
          <w:color w:val="auto"/>
          <w:highlight w:val="none"/>
          <w:lang w:val="en-US" w:eastAsia="zh-CN"/>
        </w:rPr>
      </w:pPr>
      <w:r>
        <w:rPr>
          <w:rFonts w:hint="eastAsia" w:ascii="Times New Roman" w:hAnsi="Times New Roman" w:eastAsia="宋体"/>
          <w:b w:val="0"/>
          <w:bCs w:val="0"/>
          <w:strike w:val="0"/>
          <w:dstrike w:val="0"/>
          <w:color w:val="auto"/>
          <w:highlight w:val="none"/>
          <w:lang w:val="en-US" w:eastAsia="zh-CN"/>
        </w:rPr>
        <w:t>本项目北侧、西侧、南侧均为空地，东侧为乡道，</w:t>
      </w:r>
      <w:r>
        <w:rPr>
          <w:rFonts w:hint="eastAsia" w:ascii="Times New Roman" w:hAnsi="Times New Roman" w:eastAsia="宋体"/>
          <w:b w:val="0"/>
          <w:bCs w:val="0"/>
          <w:strike w:val="0"/>
          <w:dstrike w:val="0"/>
          <w:color w:val="auto"/>
          <w:highlight w:val="none"/>
          <w:lang w:val="en-US" w:eastAsia="zh-CN"/>
        </w:rPr>
        <w:t>项</w:t>
      </w:r>
      <w:r>
        <w:rPr>
          <w:rFonts w:hint="eastAsia" w:ascii="Times New Roman" w:hAnsi="Times New Roman" w:eastAsia="宋体"/>
          <w:b w:val="0"/>
          <w:bCs w:val="0"/>
          <w:strike w:val="0"/>
          <w:dstrike w:val="0"/>
          <w:color w:val="auto"/>
          <w:highlight w:val="none"/>
          <w:lang w:val="en-US" w:eastAsia="zh-CN"/>
        </w:rPr>
        <w:t>目周边关系卫星图见附图3.1-2</w:t>
      </w:r>
      <w:r>
        <w:rPr>
          <w:rFonts w:hint="eastAsia" w:ascii="Times New Roman" w:hAnsi="Times New Roman" w:eastAsia="宋体"/>
          <w:b w:val="0"/>
          <w:bCs w:val="0"/>
          <w:strike w:val="0"/>
          <w:dstrike w:val="0"/>
          <w:color w:val="auto"/>
          <w:highlight w:val="none"/>
          <w:lang w:val="en-US" w:eastAsia="zh-CN"/>
        </w:rPr>
        <w:t>，堆肥场和黑膜池集中布置，布置在场区西南侧地势较低处、远离东侧道路，骆驼互动体验区位于主出入口附近，交通便捷，对外展示、接待、办公，位于堆肥场东北方向，属本项目区域常年主导风向西风的侧风向，运营期间产生恶臭对骆驼互动体验区较小；</w:t>
      </w:r>
      <w:r>
        <w:rPr>
          <w:rFonts w:hint="eastAsia" w:ascii="Times New Roman" w:hAnsi="Times New Roman" w:eastAsia="宋体"/>
          <w:strike w:val="0"/>
          <w:dstrike w:val="0"/>
          <w:color w:val="auto"/>
          <w:highlight w:val="none"/>
        </w:rPr>
        <w:t>含饲料加工间、草料房、青贮窖，</w:t>
      </w:r>
      <w:r>
        <w:rPr>
          <w:rFonts w:hint="eastAsia" w:ascii="Times New Roman" w:hAnsi="Times New Roman" w:eastAsia="宋体"/>
          <w:strike w:val="0"/>
          <w:dstrike w:val="0"/>
          <w:color w:val="auto"/>
          <w:highlight w:val="none"/>
          <w:lang w:val="en-US" w:eastAsia="zh-CN"/>
        </w:rPr>
        <w:t>位于养殖生产区北侧，</w:t>
      </w:r>
      <w:r>
        <w:rPr>
          <w:rFonts w:hint="eastAsia" w:ascii="Times New Roman" w:hAnsi="Times New Roman" w:eastAsia="宋体"/>
          <w:strike w:val="0"/>
          <w:dstrike w:val="0"/>
          <w:color w:val="auto"/>
          <w:highlight w:val="none"/>
        </w:rPr>
        <w:t>靠近场区</w:t>
      </w:r>
      <w:r>
        <w:rPr>
          <w:rFonts w:hint="eastAsia" w:ascii="Times New Roman" w:hAnsi="Times New Roman" w:eastAsia="宋体"/>
          <w:strike w:val="0"/>
          <w:dstrike w:val="0"/>
          <w:color w:val="auto"/>
          <w:highlight w:val="none"/>
          <w:lang w:val="en-US" w:eastAsia="zh-CN"/>
        </w:rPr>
        <w:t>次出入</w:t>
      </w:r>
      <w:r>
        <w:rPr>
          <w:rFonts w:hint="eastAsia" w:ascii="Times New Roman" w:hAnsi="Times New Roman" w:eastAsia="宋体"/>
          <w:strike w:val="0"/>
          <w:dstrike w:val="0"/>
          <w:color w:val="auto"/>
          <w:highlight w:val="none"/>
        </w:rPr>
        <w:t>口，减少场内运输交叉。</w:t>
      </w:r>
    </w:p>
    <w:p w14:paraId="141354C3">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母驼舍：</w:t>
      </w:r>
      <w:r>
        <w:rPr>
          <w:rFonts w:hint="eastAsia" w:ascii="Times New Roman" w:hAnsi="Times New Roman" w:eastAsia="宋体"/>
          <w:strike w:val="0"/>
          <w:dstrike w:val="0"/>
          <w:color w:val="auto"/>
          <w:highlight w:val="none"/>
        </w:rPr>
        <w:t>布置于场区采光、通风最佳位置，满足规模化饲养。</w:t>
      </w:r>
    </w:p>
    <w:p w14:paraId="364A5729">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公驼舍：</w:t>
      </w:r>
      <w:r>
        <w:rPr>
          <w:rFonts w:hint="eastAsia" w:ascii="Times New Roman" w:hAnsi="Times New Roman" w:eastAsia="宋体"/>
          <w:strike w:val="0"/>
          <w:dstrike w:val="0"/>
          <w:color w:val="auto"/>
          <w:highlight w:val="none"/>
        </w:rPr>
        <w:t>与母驼舍保持合理间距，实行分群饲养。</w:t>
      </w:r>
    </w:p>
    <w:p w14:paraId="1F6F7A92">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孕驼舍：</w:t>
      </w:r>
      <w:r>
        <w:rPr>
          <w:rFonts w:hint="eastAsia" w:ascii="Times New Roman" w:hAnsi="Times New Roman" w:eastAsia="宋体"/>
          <w:strike w:val="0"/>
          <w:dstrike w:val="0"/>
          <w:color w:val="auto"/>
          <w:highlight w:val="none"/>
        </w:rPr>
        <w:t>环境安静、独立设置，利于孕期母驼管护。</w:t>
      </w:r>
    </w:p>
    <w:p w14:paraId="062BDC3D">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各驼舍行列式排布，间距满足防疫、通风、采光及消防要求，舍外设活动场地与运动跑道。</w:t>
      </w:r>
    </w:p>
    <w:p w14:paraId="0D2BA7D8">
      <w:pPr>
        <w:ind w:firstLine="480"/>
        <w:rPr>
          <w:rFonts w:hint="eastAsia" w:ascii="Times New Roman" w:hAnsi="Times New Roman" w:eastAsia="宋体"/>
          <w:strike w:val="0"/>
          <w:dstrike w:val="0"/>
          <w:color w:val="auto"/>
          <w:highlight w:val="none"/>
        </w:rPr>
      </w:pPr>
      <w:r>
        <w:rPr>
          <w:rFonts w:hint="eastAsia" w:ascii="Times New Roman" w:hAnsi="Times New Roman" w:eastAsia="宋体"/>
          <w:b/>
          <w:bCs/>
          <w:strike w:val="0"/>
          <w:dstrike w:val="0"/>
          <w:color w:val="auto"/>
          <w:highlight w:val="none"/>
        </w:rPr>
        <w:t>挤奶大厅：</w:t>
      </w:r>
      <w:r>
        <w:rPr>
          <w:rFonts w:hint="eastAsia" w:ascii="Times New Roman" w:hAnsi="Times New Roman" w:eastAsia="宋体"/>
          <w:strike w:val="0"/>
          <w:dstrike w:val="0"/>
          <w:color w:val="auto"/>
          <w:highlight w:val="none"/>
        </w:rPr>
        <w:t>靠近母驼舍，流线短捷，便于驼奶采集、暂存、转运。</w:t>
      </w:r>
    </w:p>
    <w:p w14:paraId="5030BBB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3.1.</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平面布置与相关规范符合性分析</w:t>
      </w:r>
    </w:p>
    <w:p w14:paraId="552B4F7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（1）与《畜禽养殖业污染防治技术规范》（HJ/T81-2001）符合性</w:t>
      </w:r>
    </w:p>
    <w:p w14:paraId="077281B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根据《畜禽养殖业污染防治技术规范》（HJ/T81-2001）中场区布局有关要求，本项目场区平面布置与其符合性分析见表3.1-4</w:t>
      </w:r>
      <w:r>
        <w:rPr>
          <w:rFonts w:hint="eastAsia" w:ascii="Times New Roman" w:hAnsi="Times New Roman" w:eastAsia="宋体"/>
          <w:strike w:val="0"/>
          <w:dstrike w:val="0"/>
          <w:color w:val="auto"/>
          <w:highlight w:val="none"/>
          <w:lang w:eastAsia="zh-CN"/>
        </w:rPr>
        <w:t>。</w:t>
      </w:r>
    </w:p>
    <w:p w14:paraId="5D6B4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表3.1-4场区布局与《畜禽养殖业污染防治技术规范》（HJ/T81-2001）符合性</w:t>
      </w:r>
    </w:p>
    <w:tbl>
      <w:tblPr>
        <w:tblStyle w:val="183"/>
        <w:tblW w:w="8302" w:type="dxa"/>
        <w:tblInd w:w="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6"/>
        <w:gridCol w:w="3832"/>
        <w:gridCol w:w="3367"/>
        <w:gridCol w:w="727"/>
      </w:tblGrid>
      <w:tr w14:paraId="251BF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376" w:type="dxa"/>
            <w:vAlign w:val="top"/>
          </w:tcPr>
          <w:p w14:paraId="1F852CE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3832" w:type="dxa"/>
            <w:vAlign w:val="top"/>
          </w:tcPr>
          <w:p w14:paraId="421136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《畜禽养殖业污染防治技术规范》</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HJ/T81-2001</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宋体"/>
                <w:strike w:val="0"/>
                <w:dstrike w:val="0"/>
                <w:color w:val="auto"/>
                <w:spacing w:val="0"/>
                <w:sz w:val="21"/>
                <w:szCs w:val="21"/>
                <w:highlight w:val="none"/>
              </w:rPr>
              <w:t>中要求</w:t>
            </w:r>
          </w:p>
        </w:tc>
        <w:tc>
          <w:tcPr>
            <w:tcW w:w="3367" w:type="dxa"/>
            <w:vAlign w:val="top"/>
          </w:tcPr>
          <w:p w14:paraId="075A200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本项目情况</w:t>
            </w:r>
          </w:p>
        </w:tc>
        <w:tc>
          <w:tcPr>
            <w:tcW w:w="727" w:type="dxa"/>
            <w:vAlign w:val="top"/>
          </w:tcPr>
          <w:p w14:paraId="10CD152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结论</w:t>
            </w:r>
          </w:p>
        </w:tc>
      </w:tr>
      <w:tr w14:paraId="605C2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8302" w:type="dxa"/>
            <w:gridSpan w:val="4"/>
            <w:vAlign w:val="top"/>
          </w:tcPr>
          <w:p w14:paraId="484FDA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根据该规范，畜禽养殖场厂区布局如下：</w:t>
            </w:r>
          </w:p>
        </w:tc>
      </w:tr>
      <w:tr w14:paraId="4449F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76" w:type="dxa"/>
            <w:vAlign w:val="top"/>
          </w:tcPr>
          <w:p w14:paraId="2A56546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3832" w:type="dxa"/>
            <w:vAlign w:val="top"/>
          </w:tcPr>
          <w:p w14:paraId="148D1E7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新建、改建、扩建的畜禽养殖场应实现生产区、生活管理区的隔离，粪便污水处理设施和畜禽尸体焚烧炉应设在养殖场的生产区、生活管理区的常年主导风向的下风向或侧风向处</w:t>
            </w:r>
            <w:r>
              <w:rPr>
                <w:rFonts w:hint="eastAsia" w:ascii="Times New Roman" w:hAnsi="Times New Roman" w:eastAsia="宋体" w:cs="宋体"/>
                <w:strike w:val="0"/>
                <w:dstrike w:val="0"/>
                <w:color w:val="auto"/>
                <w:spacing w:val="0"/>
                <w:sz w:val="21"/>
                <w:szCs w:val="21"/>
                <w:highlight w:val="none"/>
                <w:lang w:eastAsia="zh-CN"/>
              </w:rPr>
              <w:t>。</w:t>
            </w:r>
          </w:p>
        </w:tc>
        <w:tc>
          <w:tcPr>
            <w:tcW w:w="3367" w:type="dxa"/>
            <w:vAlign w:val="top"/>
          </w:tcPr>
          <w:p w14:paraId="6A7DC3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本项目北侧、西侧、南侧均为空地，东侧为乡道，养殖生产区（核心区）位于场区中心位置，骆驼互动体验区</w:t>
            </w:r>
            <w:r>
              <w:rPr>
                <w:rFonts w:hint="eastAsia" w:ascii="Times New Roman" w:hAnsi="Times New Roman" w:eastAsia="宋体" w:cs="宋体"/>
                <w:strike w:val="0"/>
                <w:dstrike w:val="0"/>
                <w:color w:val="auto"/>
                <w:spacing w:val="0"/>
                <w:sz w:val="21"/>
                <w:szCs w:val="21"/>
                <w:highlight w:val="none"/>
                <w:lang w:val="en-US" w:eastAsia="zh-CN"/>
              </w:rPr>
              <w:t>位于</w:t>
            </w:r>
            <w:r>
              <w:rPr>
                <w:rFonts w:hint="eastAsia" w:ascii="Times New Roman" w:hAnsi="Times New Roman" w:eastAsia="宋体" w:cs="宋体"/>
                <w:strike w:val="0"/>
                <w:dstrike w:val="0"/>
                <w:color w:val="auto"/>
                <w:spacing w:val="0"/>
                <w:sz w:val="21"/>
                <w:szCs w:val="21"/>
                <w:highlight w:val="none"/>
                <w:lang w:eastAsia="zh-CN"/>
              </w:rPr>
              <w:t>场区主入口附近，</w:t>
            </w:r>
            <w:r>
              <w:rPr>
                <w:rFonts w:hint="eastAsia" w:ascii="Times New Roman" w:hAnsi="Times New Roman" w:eastAsia="宋体" w:cs="宋体"/>
                <w:strike w:val="0"/>
                <w:dstrike w:val="0"/>
                <w:color w:val="auto"/>
                <w:spacing w:val="0"/>
                <w:sz w:val="21"/>
                <w:szCs w:val="21"/>
                <w:highlight w:val="none"/>
                <w:lang w:val="en-US" w:eastAsia="zh-CN"/>
              </w:rPr>
              <w:t>堆肥场和黑膜池</w:t>
            </w:r>
            <w:r>
              <w:rPr>
                <w:rFonts w:hint="eastAsia" w:ascii="Times New Roman" w:hAnsi="Times New Roman" w:eastAsia="宋体" w:cs="宋体"/>
                <w:strike w:val="0"/>
                <w:dstrike w:val="0"/>
                <w:color w:val="auto"/>
                <w:spacing w:val="0"/>
                <w:sz w:val="21"/>
                <w:szCs w:val="21"/>
                <w:highlight w:val="none"/>
                <w:lang w:eastAsia="zh-CN"/>
              </w:rPr>
              <w:t>集中布置，布置在场区</w:t>
            </w:r>
            <w:r>
              <w:rPr>
                <w:rFonts w:hint="eastAsia" w:ascii="Times New Roman" w:hAnsi="Times New Roman" w:eastAsia="宋体" w:cs="宋体"/>
                <w:strike w:val="0"/>
                <w:dstrike w:val="0"/>
                <w:color w:val="auto"/>
                <w:spacing w:val="0"/>
                <w:sz w:val="21"/>
                <w:szCs w:val="21"/>
                <w:highlight w:val="none"/>
                <w:lang w:val="en-US" w:eastAsia="zh-CN"/>
              </w:rPr>
              <w:t>西南侧</w:t>
            </w:r>
            <w:r>
              <w:rPr>
                <w:rFonts w:hint="eastAsia" w:ascii="Times New Roman" w:hAnsi="Times New Roman" w:eastAsia="宋体" w:cs="宋体"/>
                <w:strike w:val="0"/>
                <w:dstrike w:val="0"/>
                <w:color w:val="auto"/>
                <w:spacing w:val="0"/>
                <w:sz w:val="21"/>
                <w:szCs w:val="21"/>
                <w:highlight w:val="none"/>
                <w:lang w:eastAsia="zh-CN"/>
              </w:rPr>
              <w:t>、</w:t>
            </w:r>
            <w:r>
              <w:rPr>
                <w:rFonts w:hint="eastAsia" w:ascii="Times New Roman" w:hAnsi="Times New Roman" w:eastAsia="宋体" w:cs="宋体"/>
                <w:strike w:val="0"/>
                <w:dstrike w:val="0"/>
                <w:color w:val="auto"/>
                <w:spacing w:val="0"/>
                <w:sz w:val="21"/>
                <w:szCs w:val="21"/>
                <w:highlight w:val="none"/>
                <w:lang w:val="en-US" w:eastAsia="zh-CN"/>
              </w:rPr>
              <w:t>远离东侧道路，</w:t>
            </w:r>
            <w:r>
              <w:rPr>
                <w:rFonts w:hint="eastAsia" w:ascii="Times New Roman" w:hAnsi="Times New Roman" w:eastAsia="宋体" w:cs="宋体"/>
                <w:strike w:val="0"/>
                <w:dstrike w:val="0"/>
                <w:color w:val="auto"/>
                <w:spacing w:val="0"/>
                <w:sz w:val="21"/>
                <w:szCs w:val="21"/>
                <w:highlight w:val="none"/>
                <w:lang w:eastAsia="zh-CN"/>
              </w:rPr>
              <w:t>地势较低处，项目区域常年主导风向为西风，运营期间产生恶臭对骆驼互动体验区影响较小减少对生产、办公影响</w:t>
            </w:r>
          </w:p>
        </w:tc>
        <w:tc>
          <w:tcPr>
            <w:tcW w:w="727" w:type="dxa"/>
            <w:vMerge w:val="restart"/>
            <w:tcBorders>
              <w:bottom w:val="nil"/>
            </w:tcBorders>
            <w:vAlign w:val="top"/>
          </w:tcPr>
          <w:p w14:paraId="788D4327">
            <w:pPr>
              <w:keepNext w:val="0"/>
              <w:keepLines w:val="0"/>
              <w:pageBreakBefore w:val="0"/>
              <w:widowControl w:val="0"/>
              <w:kinsoku/>
              <w:wordWrap/>
              <w:overflowPunct/>
              <w:topLinePunct w:val="0"/>
              <w:autoSpaceDE/>
              <w:autoSpaceDN/>
              <w:bidi w:val="0"/>
              <w:adjustRightInd/>
              <w:snapToGrid/>
              <w:spacing w:line="360" w:lineRule="exact"/>
              <w:ind w:left="0" w:right="46" w:firstLine="0" w:firstLineChars="0"/>
              <w:jc w:val="center"/>
              <w:textAlignment w:val="auto"/>
              <w:rPr>
                <w:rFonts w:ascii="Times New Roman" w:hAnsi="Times New Roman" w:eastAsia="宋体" w:cs="宋体"/>
                <w:strike w:val="0"/>
                <w:dstrike w:val="0"/>
                <w:color w:val="auto"/>
                <w:spacing w:val="0"/>
                <w:sz w:val="21"/>
                <w:szCs w:val="21"/>
                <w:highlight w:val="red"/>
              </w:rPr>
            </w:pPr>
            <w:r>
              <w:rPr>
                <w:rFonts w:ascii="Times New Roman" w:hAnsi="Times New Roman" w:eastAsia="宋体" w:cs="宋体"/>
                <w:strike w:val="0"/>
                <w:dstrike w:val="0"/>
                <w:color w:val="auto"/>
                <w:spacing w:val="0"/>
                <w:sz w:val="21"/>
                <w:szCs w:val="21"/>
                <w:highlight w:val="none"/>
              </w:rPr>
              <w:t>布局可行</w:t>
            </w:r>
          </w:p>
        </w:tc>
      </w:tr>
      <w:tr w14:paraId="210AB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7" w:hRule="atLeast"/>
        </w:trPr>
        <w:tc>
          <w:tcPr>
            <w:tcW w:w="376" w:type="dxa"/>
            <w:vAlign w:val="top"/>
          </w:tcPr>
          <w:p w14:paraId="731063D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2</w:t>
            </w:r>
          </w:p>
        </w:tc>
        <w:tc>
          <w:tcPr>
            <w:tcW w:w="3832" w:type="dxa"/>
            <w:vAlign w:val="top"/>
          </w:tcPr>
          <w:p w14:paraId="74966E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养殖场的排水系统应实现雨水和污水收集输送系统分离，在厂区内外设置的污水收集输送系统，不得采取明沟布设</w:t>
            </w:r>
            <w:r>
              <w:rPr>
                <w:rFonts w:hint="eastAsia" w:ascii="Times New Roman" w:hAnsi="Times New Roman" w:eastAsia="宋体" w:cs="宋体"/>
                <w:strike w:val="0"/>
                <w:dstrike w:val="0"/>
                <w:color w:val="auto"/>
                <w:spacing w:val="0"/>
                <w:sz w:val="21"/>
                <w:szCs w:val="21"/>
                <w:highlight w:val="none"/>
                <w:lang w:eastAsia="zh-CN"/>
              </w:rPr>
              <w:t>。</w:t>
            </w:r>
          </w:p>
        </w:tc>
        <w:tc>
          <w:tcPr>
            <w:tcW w:w="3367" w:type="dxa"/>
            <w:vAlign w:val="top"/>
          </w:tcPr>
          <w:p w14:paraId="1CD2A5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养殖场排水采用雨、污分流的形式，</w:t>
            </w:r>
            <w:r>
              <w:rPr>
                <w:rFonts w:hint="eastAsia" w:ascii="Times New Roman" w:hAnsi="Times New Roman" w:eastAsia="宋体" w:cs="宋体"/>
                <w:strike w:val="0"/>
                <w:dstrike w:val="0"/>
                <w:color w:val="auto"/>
                <w:spacing w:val="0"/>
                <w:position w:val="0"/>
                <w:sz w:val="21"/>
                <w:szCs w:val="21"/>
                <w:highlight w:val="none"/>
                <w:lang w:eastAsia="zh-CN"/>
              </w:rPr>
              <w:t>本项目生活污水和生产废水经黑膜池发酵处理后用于项目区周边林带施肥</w:t>
            </w:r>
            <w:r>
              <w:rPr>
                <w:rFonts w:hint="eastAsia" w:ascii="Times New Roman" w:hAnsi="Times New Roman" w:eastAsia="宋体" w:cs="宋体"/>
                <w:strike w:val="0"/>
                <w:dstrike w:val="0"/>
                <w:color w:val="auto"/>
                <w:spacing w:val="0"/>
                <w:sz w:val="21"/>
                <w:szCs w:val="21"/>
                <w:highlight w:val="none"/>
                <w:lang w:eastAsia="zh-CN"/>
              </w:rPr>
              <w:t>。</w:t>
            </w:r>
          </w:p>
        </w:tc>
        <w:tc>
          <w:tcPr>
            <w:tcW w:w="727" w:type="dxa"/>
            <w:vMerge w:val="continue"/>
            <w:tcBorders>
              <w:top w:val="nil"/>
            </w:tcBorders>
            <w:vAlign w:val="top"/>
          </w:tcPr>
          <w:p w14:paraId="667460B2">
            <w:pPr>
              <w:rPr>
                <w:rFonts w:ascii="Times New Roman" w:hAnsi="Times New Roman" w:eastAsia="宋体"/>
                <w:strike w:val="0"/>
                <w:dstrike w:val="0"/>
                <w:color w:val="auto"/>
                <w:sz w:val="21"/>
                <w:highlight w:val="red"/>
              </w:rPr>
            </w:pPr>
          </w:p>
        </w:tc>
      </w:tr>
    </w:tbl>
    <w:p w14:paraId="2CE6ABF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综上所述，整个厂区布置根据现代养殖技术要求，进行了合理规划布局，配备必要的设备设施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净道和污道分开，减少不必要的交叉，切断疫病的传播途径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w:t>
      </w:r>
      <w:r>
        <w:rPr>
          <w:rFonts w:hint="eastAsia" w:ascii="Times New Roman" w:hAnsi="Times New Roman" w:eastAsia="宋体"/>
          <w:strike w:val="0"/>
          <w:dstrike w:val="0"/>
          <w:color w:val="auto"/>
          <w:highlight w:val="none"/>
          <w:lang w:eastAsia="zh-CN"/>
        </w:rPr>
        <w:t>骆驼圈舍</w:t>
      </w:r>
      <w:r>
        <w:rPr>
          <w:rFonts w:ascii="Times New Roman" w:hAnsi="Times New Roman" w:eastAsia="宋体"/>
          <w:strike w:val="0"/>
          <w:dstrike w:val="0"/>
          <w:color w:val="auto"/>
          <w:highlight w:val="none"/>
        </w:rPr>
        <w:t>周围、道路两边和</w:t>
      </w:r>
      <w:r>
        <w:rPr>
          <w:rFonts w:hint="eastAsia" w:ascii="Times New Roman" w:hAnsi="Times New Roman" w:eastAsia="宋体"/>
          <w:strike w:val="0"/>
          <w:dstrike w:val="0"/>
          <w:color w:val="auto"/>
          <w:highlight w:val="none"/>
          <w:lang w:eastAsia="zh-CN"/>
        </w:rPr>
        <w:t>骆驼圈舍</w:t>
      </w:r>
      <w:r>
        <w:rPr>
          <w:rFonts w:ascii="Times New Roman" w:hAnsi="Times New Roman" w:eastAsia="宋体"/>
          <w:strike w:val="0"/>
          <w:dstrike w:val="0"/>
          <w:color w:val="auto"/>
          <w:highlight w:val="none"/>
        </w:rPr>
        <w:t>之间栽种树木，种植花草，净化空气，绿化环境，减少对周围环境的影响</w:t>
      </w:r>
      <w:r>
        <w:rPr>
          <w:rFonts w:hint="eastAsia" w:ascii="Times New Roman" w:hAnsi="Times New Roman" w:eastAsia="宋体"/>
          <w:strike w:val="0"/>
          <w:dstrike w:val="0"/>
          <w:color w:val="auto"/>
          <w:highlight w:val="none"/>
          <w:lang w:eastAsia="zh-CN"/>
        </w:rPr>
        <w:t>。</w:t>
      </w:r>
    </w:p>
    <w:p w14:paraId="1AE9812B">
      <w:pPr>
        <w:ind w:firstLine="480"/>
        <w:rPr>
          <w:rFonts w:hint="eastAsia" w:ascii="Times New Roman" w:hAnsi="Times New Roman" w:eastAsia="宋体"/>
          <w:strike w:val="0"/>
          <w:dstrike w:val="0"/>
          <w:color w:val="auto"/>
          <w:highlight w:val="none"/>
          <w:lang w:val="en-US" w:eastAsia="zh-CN"/>
        </w:rPr>
      </w:pPr>
      <w:r>
        <w:rPr>
          <w:rFonts w:ascii="Times New Roman" w:hAnsi="Times New Roman" w:eastAsia="宋体"/>
          <w:strike w:val="0"/>
          <w:dstrike w:val="0"/>
          <w:color w:val="auto"/>
          <w:highlight w:val="none"/>
        </w:rPr>
        <w:t>综上，本项目总平面布置功能分区清晰，工艺流程顺畅，物流短捷，人流、物流互不交叉干扰，协调了生产和环保的关系，从环保角度分析其平面布局基本合理，项目布局符合《畜禽养殖业污染防治技术规范》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HJ/T81-2001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要求</w:t>
      </w:r>
      <w:r>
        <w:rPr>
          <w:rFonts w:hint="eastAsia" w:ascii="Times New Roman" w:hAnsi="Times New Roman" w:eastAsia="宋体"/>
          <w:strike w:val="0"/>
          <w:dstrike w:val="0"/>
          <w:color w:val="auto"/>
          <w:highlight w:val="none"/>
          <w:lang w:eastAsia="zh-CN"/>
        </w:rPr>
        <w:t>。</w:t>
      </w:r>
    </w:p>
    <w:p w14:paraId="6A0FD897">
      <w:pPr>
        <w:ind w:firstLine="480"/>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2</w:t>
      </w:r>
      <w:r>
        <w:rPr>
          <w:rFonts w:hint="eastAsia" w:ascii="Times New Roman" w:hAnsi="Times New Roman" w:eastAsia="宋体"/>
          <w:b/>
          <w:bCs/>
          <w:strike w:val="0"/>
          <w:dstrike w:val="0"/>
          <w:color w:val="auto"/>
          <w:highlight w:val="none"/>
          <w:lang w:eastAsia="zh-CN"/>
        </w:rPr>
        <w:t>）</w:t>
      </w:r>
      <w:r>
        <w:rPr>
          <w:rFonts w:hint="eastAsia" w:ascii="Times New Roman" w:hAnsi="Times New Roman" w:eastAsia="宋体"/>
          <w:b/>
          <w:bCs/>
          <w:strike w:val="0"/>
          <w:dstrike w:val="0"/>
          <w:color w:val="auto"/>
          <w:highlight w:val="none"/>
          <w:lang w:val="en-US" w:eastAsia="zh-CN"/>
        </w:rPr>
        <w:t>与《动物防疫条件审查办法》的符合性分析</w:t>
      </w:r>
    </w:p>
    <w:p w14:paraId="43A5445F">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根据《动物防疫条件审查办法》，动物饲养场、养殖小区选址应符合以下要求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距离生活饮用水源地、动物屠宰加工场所、动物和动物产品集贸市场500米以上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距离种畜禽场1000米以上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距离动物诊疗场所200米以上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动物饲养场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之间距离不少于500米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《农业农村部关于调整动物防疫条件审查有关规定的通知》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农牧发</w:t>
      </w:r>
      <w:r>
        <w:rPr>
          <w:rFonts w:hint="eastAsia" w:ascii="Times New Roman" w:hAnsi="Times New Roman" w:eastAsia="宋体"/>
          <w:strike w:val="0"/>
          <w:dstrike w:val="0"/>
          <w:color w:val="auto"/>
          <w:highlight w:val="none"/>
          <w:lang w:eastAsia="zh-CN"/>
        </w:rPr>
        <w:t>〔2019〕42号）</w:t>
      </w:r>
      <w:r>
        <w:rPr>
          <w:rFonts w:hint="eastAsia" w:ascii="Times New Roman" w:hAnsi="Times New Roman" w:eastAsia="宋体"/>
          <w:strike w:val="0"/>
          <w:dstrike w:val="0"/>
          <w:color w:val="auto"/>
          <w:highlight w:val="none"/>
        </w:rPr>
        <w:t>中规定“自2019年12月18日起，暂停执行关于兴办动物饲养场、养殖小区、动物隔离场所、动物屠宰加工场所以及动物和动物产品无害化处理场所的选址距离规定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w:t>
      </w:r>
    </w:p>
    <w:p w14:paraId="0CC19A4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根据现场查看，项目周边500m以内无水源保护区、动物屠宰场所等，1000m以内无种畜禽场，项目周边500以内无其他动物养场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养殖小区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，选址符合《动物防疫条件审查办法》要求</w:t>
      </w:r>
      <w:r>
        <w:rPr>
          <w:rFonts w:hint="eastAsia" w:ascii="Times New Roman" w:hAnsi="Times New Roman" w:eastAsia="宋体"/>
          <w:strike w:val="0"/>
          <w:dstrike w:val="0"/>
          <w:color w:val="auto"/>
          <w:highlight w:val="none"/>
          <w:lang w:eastAsia="zh-CN"/>
        </w:rPr>
        <w:t>。</w:t>
      </w:r>
    </w:p>
    <w:p w14:paraId="6996DCB6">
      <w:pPr>
        <w:pStyle w:val="4"/>
        <w:rPr>
          <w:rFonts w:ascii="Times New Roman" w:hAnsi="Times New Roman" w:eastAsia="宋体"/>
          <w:strike w:val="0"/>
          <w:dstrike w:val="0"/>
          <w:color w:val="auto"/>
          <w:highlight w:val="none"/>
        </w:rPr>
      </w:pPr>
      <w:bookmarkStart w:id="105" w:name="_Toc32699"/>
      <w:bookmarkStart w:id="106" w:name="_Toc106663466"/>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公用工程</w:t>
      </w:r>
      <w:bookmarkEnd w:id="105"/>
      <w:bookmarkEnd w:id="106"/>
    </w:p>
    <w:p w14:paraId="4CF437AF">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.1给水系统</w:t>
      </w:r>
    </w:p>
    <w:p w14:paraId="6714D83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本项目生产、生活用水水源来自</w:t>
      </w:r>
      <w:r>
        <w:rPr>
          <w:rFonts w:hint="eastAsia" w:ascii="Times New Roman" w:hAnsi="Times New Roman" w:eastAsia="宋体"/>
          <w:strike w:val="0"/>
          <w:dstrike w:val="0"/>
          <w:color w:val="auto"/>
          <w:highlight w:val="none"/>
          <w:lang w:val="en-US" w:eastAsia="zh-CN"/>
        </w:rPr>
        <w:t>村庄</w:t>
      </w:r>
      <w:r>
        <w:rPr>
          <w:rFonts w:hint="eastAsia" w:ascii="Times New Roman" w:hAnsi="Times New Roman" w:eastAsia="宋体"/>
          <w:strike w:val="0"/>
          <w:dstrike w:val="0"/>
          <w:color w:val="auto"/>
          <w:highlight w:val="none"/>
          <w:lang w:eastAsia="zh-CN"/>
        </w:rPr>
        <w:t>管网</w:t>
      </w:r>
      <w:r>
        <w:rPr>
          <w:rFonts w:ascii="Times New Roman" w:hAnsi="Times New Roman" w:eastAsia="宋体"/>
          <w:strike w:val="0"/>
          <w:dstrike w:val="0"/>
          <w:color w:val="auto"/>
          <w:highlight w:val="none"/>
        </w:rPr>
        <w:t>接入，由厂区</w:t>
      </w:r>
      <w:r>
        <w:rPr>
          <w:rFonts w:hint="eastAsia" w:ascii="Times New Roman" w:hAnsi="Times New Roman" w:eastAsia="宋体"/>
          <w:strike w:val="0"/>
          <w:dstrike w:val="0"/>
          <w:color w:val="auto"/>
          <w:highlight w:val="none"/>
          <w:lang w:val="en-US" w:eastAsia="zh-CN"/>
        </w:rPr>
        <w:t>东</w:t>
      </w:r>
      <w:r>
        <w:rPr>
          <w:rFonts w:ascii="Times New Roman" w:hAnsi="Times New Roman" w:eastAsia="宋体"/>
          <w:strike w:val="0"/>
          <w:dstrike w:val="0"/>
          <w:color w:val="auto"/>
          <w:highlight w:val="none"/>
        </w:rPr>
        <w:t>侧接入</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本项目总用水量</w:t>
      </w:r>
      <w:r>
        <w:rPr>
          <w:rFonts w:hint="eastAsia" w:ascii="Times New Roman" w:hAnsi="Times New Roman" w:eastAsia="宋体"/>
          <w:strike w:val="0"/>
          <w:dstrike w:val="0"/>
          <w:color w:val="auto"/>
          <w:highlight w:val="none"/>
          <w:lang w:val="en-US" w:eastAsia="zh-CN"/>
        </w:rPr>
        <w:t>6121.05</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/a，主要用于员工生活用水、</w:t>
      </w:r>
      <w:r>
        <w:rPr>
          <w:rFonts w:hint="eastAsia" w:ascii="Times New Roman" w:hAnsi="Times New Roman" w:eastAsia="宋体"/>
          <w:strike w:val="0"/>
          <w:dstrike w:val="0"/>
          <w:color w:val="auto"/>
          <w:highlight w:val="none"/>
          <w:lang w:val="en-US" w:eastAsia="zh-CN"/>
        </w:rPr>
        <w:t>骆驼饮用水、</w:t>
      </w:r>
      <w:r>
        <w:rPr>
          <w:rFonts w:ascii="Times New Roman" w:hAnsi="Times New Roman" w:eastAsia="宋体"/>
          <w:strike w:val="0"/>
          <w:dstrike w:val="0"/>
          <w:color w:val="auto"/>
          <w:highlight w:val="none"/>
        </w:rPr>
        <w:t>消毒用水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挤奶厅（待挤区）清洗用水、设备清洗废水</w:t>
      </w:r>
      <w:r>
        <w:rPr>
          <w:rFonts w:hint="eastAsia" w:ascii="Times New Roman" w:hAnsi="Times New Roman" w:eastAsia="宋体"/>
          <w:strike w:val="0"/>
          <w:dstrike w:val="0"/>
          <w:color w:val="auto"/>
          <w:highlight w:val="none"/>
          <w:lang w:eastAsia="zh-CN"/>
        </w:rPr>
        <w:t>。</w:t>
      </w:r>
    </w:p>
    <w:p w14:paraId="3B96FE1B">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骆驼饮用水</w:t>
      </w:r>
    </w:p>
    <w:p w14:paraId="27E8547B">
      <w:pPr>
        <w:ind w:firstLine="480"/>
        <w:rPr>
          <w:rFonts w:hint="default" w:ascii="Times New Roman" w:hAnsi="Times New Roman" w:eastAsia="宋体"/>
          <w:strike w:val="0"/>
          <w:dstrike w:val="0"/>
          <w:color w:val="auto"/>
          <w:highlight w:val="none"/>
          <w:vertAlign w:val="baseline"/>
          <w:lang w:val="en-US" w:eastAsia="zh-CN"/>
        </w:rPr>
      </w:pPr>
      <w:r>
        <w:rPr>
          <w:rFonts w:hint="eastAsia" w:ascii="Times New Roman" w:hAnsi="Times New Roman" w:eastAsia="宋体"/>
          <w:strike w:val="0"/>
          <w:dstrike w:val="0"/>
          <w:color w:val="auto"/>
          <w:highlight w:val="none"/>
          <w:lang w:val="en-US" w:eastAsia="zh-CN"/>
        </w:rPr>
        <w:t>本项目生产用水主要为骆驼饮用水，根据骆驼养殖经验和骆驼生长习性，本项目不需要冲洗骆驼圈舍，故不涉及骆驼圈舍冲洗用水。根据建设方提供的数据，骆驼饮用水按8kg/（峰·d）计算，</w:t>
      </w:r>
      <w:r>
        <w:rPr>
          <w:rFonts w:hint="eastAsia" w:ascii="Times New Roman" w:hAnsi="Times New Roman" w:eastAsia="宋体"/>
          <w:strike w:val="0"/>
          <w:dstrike w:val="0"/>
          <w:color w:val="auto"/>
          <w:highlight w:val="none"/>
          <w:vertAlign w:val="baseline"/>
          <w:lang w:val="en-US" w:eastAsia="zh-CN"/>
        </w:rPr>
        <w:t>本项目共1015峰骆驼，</w:t>
      </w:r>
      <w:r>
        <w:rPr>
          <w:rFonts w:hint="eastAsia" w:ascii="Times New Roman" w:hAnsi="Times New Roman" w:eastAsia="宋体"/>
          <w:strike w:val="0"/>
          <w:dstrike w:val="0"/>
          <w:color w:val="auto"/>
          <w:highlight w:val="none"/>
          <w:lang w:val="en-US" w:eastAsia="zh-CN"/>
        </w:rPr>
        <w:t>则骆驼饮用水量为8.12m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/d，2963.8m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/a。</w:t>
      </w:r>
    </w:p>
    <w:p w14:paraId="5371654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职工生活用水</w:t>
      </w:r>
    </w:p>
    <w:p w14:paraId="339063B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根据《新疆维吾尔自治区工业和生活用水定额》中相关数据，工作人员用水约80L/人·d，本项目劳动定员共</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0人，则工作人员的生活用水量为</w:t>
      </w:r>
      <w:r>
        <w:rPr>
          <w:rFonts w:hint="eastAsia" w:ascii="Times New Roman" w:hAnsi="Times New Roman" w:eastAsia="宋体"/>
          <w:strike w:val="0"/>
          <w:dstrike w:val="0"/>
          <w:color w:val="auto"/>
          <w:highlight w:val="none"/>
          <w:lang w:val="en-US" w:eastAsia="zh-CN"/>
        </w:rPr>
        <w:t>4m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w:t>
      </w:r>
      <w:r>
        <w:rPr>
          <w:rFonts w:hint="eastAsia" w:ascii="Times New Roman" w:hAnsi="Times New Roman" w:eastAsia="宋体"/>
          <w:strike w:val="0"/>
          <w:dstrike w:val="0"/>
          <w:color w:val="auto"/>
          <w:highlight w:val="none"/>
          <w:lang w:val="en-US" w:eastAsia="zh-CN"/>
        </w:rPr>
        <w:t>1460</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p>
    <w:p w14:paraId="30513B3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消毒用水</w:t>
      </w:r>
    </w:p>
    <w:p w14:paraId="44F9E830">
      <w:pPr>
        <w:ind w:firstLine="480"/>
        <w:rPr>
          <w:rFonts w:hint="eastAsia" w:ascii="Times New Roman" w:hAnsi="Times New Roman" w:eastAsia="宋体"/>
          <w:strike w:val="0"/>
          <w:dstrike w:val="0"/>
          <w:color w:val="auto"/>
          <w:highlight w:val="none"/>
          <w:vertAlign w:val="baseline"/>
          <w:lang w:val="en-US" w:eastAsia="zh-CN"/>
        </w:rPr>
      </w:pPr>
      <w:r>
        <w:rPr>
          <w:rFonts w:hint="eastAsia" w:ascii="Times New Roman" w:hAnsi="Times New Roman" w:eastAsia="宋体"/>
          <w:strike w:val="0"/>
          <w:dstrike w:val="0"/>
          <w:color w:val="auto"/>
          <w:highlight w:val="none"/>
          <w:lang w:val="en-US" w:eastAsia="zh-CN"/>
        </w:rPr>
        <w:t>根据业主提供资料，本项目消毒用水主要是为进入厂区内的拉驼车、饲料运输车、骆驼挤奶前清洗消毒，采用喷洒式消毒方式，合计0.05m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/d，18.25m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/a。</w:t>
      </w:r>
    </w:p>
    <w:p w14:paraId="0913374D">
      <w:pPr>
        <w:numPr>
          <w:ilvl w:val="0"/>
          <w:numId w:val="0"/>
        </w:numPr>
        <w:ind w:firstLine="480" w:firstLineChars="20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（4）</w:t>
      </w:r>
      <w:r>
        <w:rPr>
          <w:rFonts w:hint="eastAsia" w:ascii="Times New Roman" w:hAnsi="Times New Roman" w:eastAsia="宋体"/>
          <w:strike w:val="0"/>
          <w:dstrike w:val="0"/>
          <w:color w:val="auto"/>
          <w:highlight w:val="none"/>
          <w:lang w:val="en-US" w:eastAsia="zh-CN"/>
        </w:rPr>
        <w:t>挤奶厅（待挤区）清洗用水：挤奶厅建筑面积 2800</w:t>
      </w:r>
      <w:r>
        <w:rPr>
          <w:rFonts w:hint="default" w:ascii="Times New Roman" w:hAnsi="Times New Roman" w:eastAsia="宋体" w:cs="Times New Roman"/>
          <w:strike w:val="0"/>
          <w:dstrike w:val="0"/>
          <w:color w:val="auto"/>
          <w:highlight w:val="none"/>
          <w:lang w:val="en-US" w:eastAsia="zh-CN"/>
        </w:rPr>
        <w:t xml:space="preserve"> </w:t>
      </w:r>
      <w:r>
        <w:rPr>
          <w:rFonts w:hint="eastAsia" w:ascii="Times New Roman" w:hAnsi="Times New Roman" w:eastAsia="宋体"/>
          <w:strike w:val="0"/>
          <w:dstrike w:val="0"/>
          <w:color w:val="auto"/>
          <w:highlight w:val="none"/>
          <w:vertAlign w:val="baseline"/>
          <w:lang w:val="en-US" w:eastAsia="zh-CN"/>
        </w:rPr>
        <w:t>m</w:t>
      </w:r>
      <w:r>
        <w:rPr>
          <w:rFonts w:hint="eastAsia" w:ascii="Times New Roman" w:hAnsi="Times New Roman" w:eastAsia="宋体"/>
          <w:strike w:val="0"/>
          <w:dstrike w:val="0"/>
          <w:color w:val="auto"/>
          <w:highlight w:val="none"/>
          <w:vertAlign w:val="superscript"/>
          <w:lang w:val="en-US" w:eastAsia="zh-CN"/>
        </w:rPr>
        <w:t>2</w:t>
      </w:r>
      <w:r>
        <w:rPr>
          <w:rFonts w:hint="eastAsia" w:ascii="Times New Roman" w:hAnsi="Times New Roman" w:eastAsia="宋体"/>
          <w:strike w:val="0"/>
          <w:dstrike w:val="0"/>
          <w:color w:val="auto"/>
          <w:highlight w:val="none"/>
          <w:lang w:val="en-US" w:eastAsia="zh-CN"/>
        </w:rPr>
        <w:t>，本项目挤奶厅（待挤区）地面清洗用水量按照1.5L/m</w:t>
      </w:r>
      <w:r>
        <w:rPr>
          <w:rFonts w:hint="eastAsia" w:ascii="Times New Roman" w:hAnsi="Times New Roman" w:eastAsia="宋体"/>
          <w:strike w:val="0"/>
          <w:dstrike w:val="0"/>
          <w:color w:val="auto"/>
          <w:highlight w:val="none"/>
          <w:vertAlign w:val="superscript"/>
          <w:lang w:val="en-US" w:eastAsia="zh-CN"/>
        </w:rPr>
        <w:t>2</w:t>
      </w:r>
      <w:r>
        <w:rPr>
          <w:rFonts w:hint="eastAsia" w:ascii="Times New Roman" w:hAnsi="Times New Roman" w:eastAsia="宋体"/>
          <w:strike w:val="0"/>
          <w:dstrike w:val="0"/>
          <w:color w:val="auto"/>
          <w:highlight w:val="none"/>
          <w:lang w:val="en-US" w:eastAsia="zh-CN"/>
        </w:rPr>
        <w:t>·d 计，面积为2800m</w:t>
      </w:r>
      <w:r>
        <w:rPr>
          <w:rFonts w:hint="eastAsia" w:ascii="Times New Roman" w:hAnsi="Times New Roman" w:eastAsia="宋体"/>
          <w:strike w:val="0"/>
          <w:dstrike w:val="0"/>
          <w:color w:val="auto"/>
          <w:highlight w:val="none"/>
          <w:vertAlign w:val="superscript"/>
          <w:lang w:val="en-US" w:eastAsia="zh-CN"/>
        </w:rPr>
        <w:t>2</w:t>
      </w:r>
      <w:r>
        <w:rPr>
          <w:rFonts w:hint="eastAsia" w:ascii="Times New Roman" w:hAnsi="Times New Roman" w:eastAsia="宋体"/>
          <w:strike w:val="0"/>
          <w:dstrike w:val="0"/>
          <w:color w:val="auto"/>
          <w:highlight w:val="none"/>
          <w:lang w:val="en-US" w:eastAsia="zh-CN"/>
        </w:rPr>
        <w:t>，则用水量为4.2m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/d，1533m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/a。</w:t>
      </w:r>
    </w:p>
    <w:p w14:paraId="2CC65781">
      <w:pPr>
        <w:pStyle w:val="17"/>
        <w:numPr>
          <w:ilvl w:val="0"/>
          <w:numId w:val="0"/>
        </w:numPr>
        <w:ind w:left="-113" w:leftChars="0" w:right="-510" w:rightChars="0" w:firstLine="480" w:firstLineChars="200"/>
        <w:rPr>
          <w:rFonts w:hint="default" w:ascii="Times New Roman" w:hAnsi="Times New Roman" w:eastAsia="宋体" w:cs="Times New Roman"/>
          <w:strike w:val="0"/>
          <w:dstrike w:val="0"/>
          <w:color w:val="auto"/>
          <w:sz w:val="24"/>
          <w:szCs w:val="20"/>
          <w:highlight w:val="none"/>
          <w:lang w:val="en-US" w:eastAsia="zh-CN" w:bidi="ar-SA"/>
        </w:rPr>
      </w:pPr>
      <w:r>
        <w:rPr>
          <w:rFonts w:hint="default" w:ascii="Times New Roman" w:hAnsi="Times New Roman" w:eastAsia="宋体" w:cs="Times New Roman"/>
          <w:strike w:val="0"/>
          <w:dstrike w:val="0"/>
          <w:color w:val="auto"/>
          <w:sz w:val="24"/>
          <w:szCs w:val="20"/>
          <w:lang w:val="en-US" w:eastAsia="zh-CN" w:bidi="ar-SA"/>
        </w:rPr>
        <w:t>（5）</w:t>
      </w:r>
      <w:r>
        <w:rPr>
          <w:rFonts w:hint="eastAsia" w:ascii="Times New Roman" w:hAnsi="Times New Roman" w:eastAsia="宋体" w:cs="Times New Roman"/>
          <w:strike w:val="0"/>
          <w:dstrike w:val="0"/>
          <w:color w:val="auto"/>
          <w:sz w:val="24"/>
          <w:szCs w:val="20"/>
          <w:lang w:val="en-US" w:eastAsia="zh-CN" w:bidi="ar-SA"/>
        </w:rPr>
        <w:t>挤奶</w:t>
      </w:r>
      <w:r>
        <w:rPr>
          <w:rFonts w:hint="eastAsia" w:ascii="Times New Roman" w:hAnsi="Times New Roman" w:eastAsia="宋体"/>
          <w:color w:val="auto"/>
          <w:lang w:val="en-US" w:eastAsia="zh-CN"/>
        </w:rPr>
        <w:t>设备清洗用水：根据业主提供资料</w:t>
      </w:r>
      <w:r>
        <w:rPr>
          <w:rFonts w:ascii="Times New Roman" w:hAnsi="Times New Roman" w:eastAsia="宋体" w:cs="宋体"/>
          <w:color w:val="auto"/>
          <w:sz w:val="24"/>
          <w:szCs w:val="24"/>
        </w:rPr>
        <w:t>挤奶设备需每天</w:t>
      </w:r>
      <w:r>
        <w:rPr>
          <w:rFonts w:hint="eastAsia" w:ascii="Times New Roman" w:hAnsi="Times New Roman" w:eastAsia="宋体" w:cs="Times New Roman"/>
          <w:strike w:val="0"/>
          <w:dstrike w:val="0"/>
          <w:color w:val="auto"/>
          <w:sz w:val="24"/>
          <w:szCs w:val="20"/>
          <w:highlight w:val="none"/>
          <w:lang w:val="en-US" w:eastAsia="zh-CN" w:bidi="ar-SA"/>
        </w:rPr>
        <w:t>清洗2次，</w:t>
      </w:r>
      <w:r>
        <w:rPr>
          <w:rFonts w:ascii="Times New Roman" w:hAnsi="Times New Roman" w:eastAsia="宋体" w:cs="宋体"/>
          <w:color w:val="auto"/>
          <w:sz w:val="24"/>
          <w:szCs w:val="24"/>
        </w:rPr>
        <w:t>项目冲洗设备用水量为</w:t>
      </w:r>
      <w:r>
        <w:rPr>
          <w:rFonts w:hint="eastAsia" w:ascii="Times New Roman" w:hAnsi="Times New Roman" w:eastAsia="宋体" w:cs="Times New Roman"/>
          <w:strike w:val="0"/>
          <w:dstrike w:val="0"/>
          <w:color w:val="auto"/>
          <w:sz w:val="24"/>
          <w:szCs w:val="20"/>
          <w:highlight w:val="none"/>
          <w:lang w:val="en-US" w:eastAsia="zh-CN" w:bidi="ar-SA"/>
        </w:rPr>
        <w:t>0.</w:t>
      </w:r>
      <w:r>
        <w:rPr>
          <w:rFonts w:hint="eastAsia" w:ascii="Times New Roman" w:hAnsi="Times New Roman" w:eastAsia="宋体" w:cs="Times New Roman"/>
          <w:strike w:val="0"/>
          <w:dstrike w:val="0"/>
          <w:color w:val="auto"/>
          <w:sz w:val="24"/>
          <w:szCs w:val="20"/>
          <w:highlight w:val="none"/>
          <w:lang w:val="en-US" w:eastAsia="zh-CN" w:bidi="ar-SA"/>
        </w:rPr>
        <w:t>4</w:t>
      </w:r>
      <w:r>
        <w:rPr>
          <w:rFonts w:hint="eastAsia" w:ascii="Times New Roman" w:hAnsi="Times New Roman" w:eastAsia="宋体" w:cs="Times New Roman"/>
          <w:strike w:val="0"/>
          <w:dstrike w:val="0"/>
          <w:color w:val="auto"/>
          <w:sz w:val="24"/>
          <w:szCs w:val="20"/>
          <w:highlight w:val="none"/>
          <w:lang w:val="en-US" w:eastAsia="zh-CN" w:bidi="ar-SA"/>
        </w:rPr>
        <w:t>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/d，</w:t>
      </w:r>
      <w:r>
        <w:rPr>
          <w:rFonts w:hint="eastAsia" w:ascii="Times New Roman" w:hAnsi="Times New Roman" w:eastAsia="宋体" w:cs="Times New Roman"/>
          <w:strike w:val="0"/>
          <w:dstrike w:val="0"/>
          <w:color w:val="auto"/>
          <w:sz w:val="24"/>
          <w:szCs w:val="20"/>
          <w:highlight w:val="none"/>
          <w:lang w:val="en-US" w:eastAsia="zh-CN" w:bidi="ar-SA"/>
        </w:rPr>
        <w:t>146</w:t>
      </w:r>
      <w:r>
        <w:rPr>
          <w:rFonts w:hint="eastAsia" w:ascii="Times New Roman" w:hAnsi="Times New Roman" w:eastAsia="宋体" w:cs="Times New Roman"/>
          <w:strike w:val="0"/>
          <w:dstrike w:val="0"/>
          <w:color w:val="auto"/>
          <w:sz w:val="24"/>
          <w:szCs w:val="20"/>
          <w:highlight w:val="none"/>
          <w:lang w:val="en-US" w:eastAsia="zh-CN" w:bidi="ar-SA"/>
        </w:rPr>
        <w:t>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/a</w:t>
      </w:r>
      <w:r>
        <w:rPr>
          <w:rFonts w:hint="eastAsia" w:ascii="Times New Roman" w:hAnsi="Times New Roman" w:eastAsia="宋体" w:cs="Times New Roman"/>
          <w:strike w:val="0"/>
          <w:dstrike w:val="0"/>
          <w:color w:val="auto"/>
          <w:sz w:val="24"/>
          <w:szCs w:val="20"/>
          <w:highlight w:val="none"/>
          <w:lang w:val="en-US" w:eastAsia="zh-CN" w:bidi="ar-SA"/>
        </w:rPr>
        <w:t>。</w:t>
      </w:r>
    </w:p>
    <w:p w14:paraId="5923E46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项目用水量估算表见表3.1-6</w:t>
      </w:r>
      <w:r>
        <w:rPr>
          <w:rFonts w:hint="eastAsia" w:ascii="Times New Roman" w:hAnsi="Times New Roman" w:eastAsia="宋体"/>
          <w:strike w:val="0"/>
          <w:dstrike w:val="0"/>
          <w:color w:val="auto"/>
          <w:highlight w:val="none"/>
          <w:lang w:eastAsia="zh-CN"/>
        </w:rPr>
        <w:t>。</w:t>
      </w:r>
    </w:p>
    <w:p w14:paraId="250E88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表3.1-6项目用水量估算表</w:t>
      </w:r>
    </w:p>
    <w:tbl>
      <w:tblPr>
        <w:tblStyle w:val="183"/>
        <w:tblW w:w="500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37"/>
        <w:gridCol w:w="4988"/>
      </w:tblGrid>
      <w:tr w14:paraId="4AAF4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0BC9B6B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w:t>
            </w:r>
          </w:p>
        </w:tc>
        <w:tc>
          <w:tcPr>
            <w:tcW w:w="2995" w:type="pct"/>
            <w:vAlign w:val="center"/>
          </w:tcPr>
          <w:p w14:paraId="0BD68CE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用水量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r>
              <w:rPr>
                <w:rFonts w:ascii="Times New Roman" w:hAnsi="Times New Roman" w:eastAsia="宋体" w:cs="Times New Roman"/>
                <w:strike w:val="0"/>
                <w:dstrike w:val="0"/>
                <w:color w:val="auto"/>
                <w:spacing w:val="0"/>
                <w:position w:val="0"/>
                <w:sz w:val="21"/>
                <w:szCs w:val="14"/>
                <w:highlight w:val="none"/>
                <w:vertAlign w:val="superscript"/>
              </w:rPr>
              <w:t>3</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5E4ED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449078B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骆驼</w:t>
            </w:r>
            <w:r>
              <w:rPr>
                <w:rFonts w:ascii="Times New Roman" w:hAnsi="Times New Roman" w:eastAsia="宋体" w:cs="宋体"/>
                <w:strike w:val="0"/>
                <w:dstrike w:val="0"/>
                <w:color w:val="auto"/>
                <w:spacing w:val="0"/>
                <w:position w:val="0"/>
                <w:sz w:val="21"/>
                <w:szCs w:val="21"/>
                <w:highlight w:val="none"/>
              </w:rPr>
              <w:t>饮用水</w:t>
            </w:r>
          </w:p>
        </w:tc>
        <w:tc>
          <w:tcPr>
            <w:tcW w:w="2995" w:type="pct"/>
            <w:vAlign w:val="center"/>
          </w:tcPr>
          <w:p w14:paraId="27F4D9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rPr>
            </w:pPr>
            <w:r>
              <w:rPr>
                <w:rFonts w:hint="eastAsia" w:ascii="Times New Roman" w:hAnsi="Times New Roman" w:eastAsia="宋体"/>
                <w:strike w:val="0"/>
                <w:dstrike w:val="0"/>
                <w:color w:val="auto"/>
                <w:sz w:val="21"/>
                <w:highlight w:val="none"/>
                <w:lang w:val="en-US" w:eastAsia="zh-CN"/>
              </w:rPr>
              <w:t>2963.8</w:t>
            </w:r>
          </w:p>
        </w:tc>
      </w:tr>
      <w:tr w14:paraId="5A3F9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12D0D93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职工生活用水</w:t>
            </w:r>
          </w:p>
        </w:tc>
        <w:tc>
          <w:tcPr>
            <w:tcW w:w="2995" w:type="pct"/>
            <w:vAlign w:val="center"/>
          </w:tcPr>
          <w:p w14:paraId="6A96F3A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1460</w:t>
            </w:r>
          </w:p>
        </w:tc>
      </w:tr>
      <w:tr w14:paraId="6824D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004" w:type="pct"/>
            <w:vAlign w:val="center"/>
          </w:tcPr>
          <w:p w14:paraId="4979A43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消毒用水</w:t>
            </w:r>
          </w:p>
        </w:tc>
        <w:tc>
          <w:tcPr>
            <w:tcW w:w="2995" w:type="pct"/>
            <w:vAlign w:val="center"/>
          </w:tcPr>
          <w:p w14:paraId="2EE2CE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rPr>
            </w:pPr>
            <w:r>
              <w:rPr>
                <w:rFonts w:hint="eastAsia" w:ascii="Times New Roman" w:hAnsi="Times New Roman" w:eastAsia="宋体" w:cs="Times New Roman"/>
                <w:strike w:val="0"/>
                <w:dstrike w:val="0"/>
                <w:color w:val="auto"/>
                <w:spacing w:val="0"/>
                <w:position w:val="0"/>
                <w:sz w:val="21"/>
                <w:szCs w:val="21"/>
                <w:highlight w:val="none"/>
                <w:lang w:val="en-US" w:eastAsia="zh-CN"/>
              </w:rPr>
              <w:t>18.25</w:t>
            </w:r>
          </w:p>
        </w:tc>
      </w:tr>
      <w:tr w14:paraId="6FEC8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04" w:type="pct"/>
            <w:vAlign w:val="center"/>
          </w:tcPr>
          <w:p w14:paraId="669451B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挤奶厅清洗用水</w:t>
            </w:r>
          </w:p>
        </w:tc>
        <w:tc>
          <w:tcPr>
            <w:tcW w:w="2995" w:type="pct"/>
            <w:vAlign w:val="center"/>
          </w:tcPr>
          <w:p w14:paraId="281D4F6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1533</w:t>
            </w:r>
          </w:p>
        </w:tc>
      </w:tr>
      <w:tr w14:paraId="6A6AC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004" w:type="pct"/>
            <w:vAlign w:val="center"/>
          </w:tcPr>
          <w:p w14:paraId="31A46AC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设备清洗用水</w:t>
            </w:r>
          </w:p>
        </w:tc>
        <w:tc>
          <w:tcPr>
            <w:tcW w:w="2995" w:type="pct"/>
            <w:vAlign w:val="center"/>
          </w:tcPr>
          <w:p w14:paraId="3C53698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146</w:t>
            </w:r>
          </w:p>
        </w:tc>
      </w:tr>
      <w:tr w14:paraId="2AA30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337" w:type="dxa"/>
            <w:vAlign w:val="center"/>
          </w:tcPr>
          <w:p w14:paraId="15AE223F">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合计</w:t>
            </w:r>
          </w:p>
        </w:tc>
        <w:tc>
          <w:tcPr>
            <w:tcW w:w="4988" w:type="dxa"/>
            <w:vAlign w:val="center"/>
          </w:tcPr>
          <w:p w14:paraId="1A8C94F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6121.05</w:t>
            </w:r>
          </w:p>
        </w:tc>
      </w:tr>
    </w:tbl>
    <w:p w14:paraId="554184B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.2排水系统</w:t>
      </w:r>
    </w:p>
    <w:p w14:paraId="3B27B756">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sz w:val="24"/>
          <w:highlight w:val="none"/>
        </w:rPr>
        <w:t>本项目</w:t>
      </w:r>
      <w:r>
        <w:rPr>
          <w:rFonts w:hint="eastAsia" w:ascii="Times New Roman" w:hAnsi="Times New Roman" w:eastAsia="宋体"/>
          <w:strike w:val="0"/>
          <w:dstrike w:val="0"/>
          <w:color w:val="auto"/>
          <w:sz w:val="24"/>
          <w:highlight w:val="none"/>
          <w:lang w:val="en-US" w:eastAsia="zh-CN"/>
        </w:rPr>
        <w:t>无生产废水产生，本项目运营过程中产生的</w:t>
      </w:r>
      <w:r>
        <w:rPr>
          <w:rFonts w:ascii="Times New Roman" w:hAnsi="Times New Roman" w:eastAsia="宋体"/>
          <w:strike w:val="0"/>
          <w:dstrike w:val="0"/>
          <w:color w:val="auto"/>
          <w:sz w:val="24"/>
          <w:highlight w:val="none"/>
        </w:rPr>
        <w:t>职工生活污水</w:t>
      </w:r>
      <w:r>
        <w:rPr>
          <w:rFonts w:hint="eastAsia" w:ascii="Times New Roman" w:hAnsi="Times New Roman" w:eastAsia="宋体"/>
          <w:strike w:val="0"/>
          <w:dstrike w:val="0"/>
          <w:color w:val="auto"/>
          <w:sz w:val="24"/>
          <w:highlight w:val="none"/>
          <w:lang w:val="en-US" w:eastAsia="zh-CN"/>
        </w:rPr>
        <w:t>、挤奶厅（待挤区）清洗废水、</w:t>
      </w:r>
      <w:r>
        <w:rPr>
          <w:rFonts w:hint="eastAsia" w:ascii="Times New Roman" w:hAnsi="Times New Roman" w:eastAsia="宋体" w:cs="Times New Roman"/>
          <w:strike w:val="0"/>
          <w:dstrike w:val="0"/>
          <w:color w:val="auto"/>
          <w:sz w:val="24"/>
          <w:lang w:val="en-US" w:eastAsia="zh-CN" w:bidi="ar-SA"/>
        </w:rPr>
        <w:t>挤奶</w:t>
      </w:r>
      <w:r>
        <w:rPr>
          <w:rFonts w:hint="eastAsia" w:ascii="Times New Roman" w:hAnsi="Times New Roman" w:eastAsia="宋体"/>
          <w:strike w:val="0"/>
          <w:dstrike w:val="0"/>
          <w:color w:val="auto"/>
          <w:sz w:val="24"/>
          <w:highlight w:val="none"/>
          <w:lang w:val="en-US" w:eastAsia="zh-CN"/>
        </w:rPr>
        <w:t>设备清洗废水进入本项目自行建设</w:t>
      </w:r>
      <w:r>
        <w:rPr>
          <w:rFonts w:hint="eastAsia" w:ascii="Times New Roman" w:hAnsi="Times New Roman" w:eastAsia="宋体"/>
          <w:strike w:val="0"/>
          <w:dstrike w:val="0"/>
          <w:color w:val="auto"/>
          <w:sz w:val="24"/>
          <w:highlight w:val="none"/>
          <w:lang w:val="en-US" w:eastAsia="zh-CN"/>
        </w:rPr>
        <w:t>黑膜池</w:t>
      </w:r>
      <w:r>
        <w:rPr>
          <w:rFonts w:hint="eastAsia" w:ascii="Times New Roman" w:hAnsi="Times New Roman" w:eastAsia="宋体"/>
          <w:strike w:val="0"/>
          <w:dstrike w:val="0"/>
          <w:color w:val="auto"/>
          <w:sz w:val="24"/>
          <w:highlight w:val="none"/>
          <w:lang w:val="en-US" w:eastAsia="zh-CN"/>
        </w:rPr>
        <w:t>厌氧发酵处理后，用于周边林带及厂区绿化</w:t>
      </w:r>
      <w:r>
        <w:rPr>
          <w:rFonts w:hint="eastAsia" w:ascii="Times New Roman" w:hAnsi="Times New Roman" w:eastAsia="宋体"/>
          <w:strike w:val="0"/>
          <w:dstrike w:val="0"/>
          <w:color w:val="auto"/>
          <w:sz w:val="24"/>
          <w:highlight w:val="none"/>
          <w:lang w:val="en-US" w:eastAsia="zh-CN"/>
        </w:rPr>
        <w:t>施肥</w:t>
      </w:r>
      <w:r>
        <w:rPr>
          <w:rFonts w:hint="eastAsia" w:ascii="Times New Roman" w:hAnsi="Times New Roman" w:eastAsia="宋体"/>
          <w:strike w:val="0"/>
          <w:dstrike w:val="0"/>
          <w:color w:val="auto"/>
          <w:highlight w:val="none"/>
          <w:lang w:eastAsia="zh-CN"/>
        </w:rPr>
        <w:t>。</w:t>
      </w:r>
    </w:p>
    <w:p w14:paraId="54B7F6D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职工生活污水</w:t>
      </w:r>
    </w:p>
    <w:p w14:paraId="63D98F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trike w:val="0"/>
          <w:dstrike w:val="0"/>
          <w:color w:val="auto"/>
          <w:sz w:val="24"/>
          <w:lang w:val="en-US" w:eastAsia="zh-CN" w:bidi="ar-SA"/>
        </w:rPr>
      </w:pPr>
      <w:r>
        <w:rPr>
          <w:rFonts w:ascii="Times New Roman" w:hAnsi="Times New Roman" w:eastAsia="宋体"/>
          <w:strike w:val="0"/>
          <w:dstrike w:val="0"/>
          <w:color w:val="auto"/>
          <w:highlight w:val="none"/>
        </w:rPr>
        <w:t>职工生活污水按照用水量的80%计算，则生活污水产生量约为</w:t>
      </w:r>
      <w:r>
        <w:rPr>
          <w:rFonts w:hint="eastAsia" w:ascii="Times New Roman" w:hAnsi="Times New Roman" w:eastAsia="宋体"/>
          <w:strike w:val="0"/>
          <w:dstrike w:val="0"/>
          <w:color w:val="auto"/>
          <w:highlight w:val="none"/>
          <w:lang w:val="en-US" w:eastAsia="zh-CN"/>
        </w:rPr>
        <w:t>3.2m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1168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生活污水经地下排污管道流至舍外黑膜池，经</w:t>
      </w:r>
      <w:r>
        <w:rPr>
          <w:rFonts w:hint="eastAsia" w:ascii="Times New Roman" w:hAnsi="Times New Roman" w:eastAsia="宋体"/>
          <w:strike w:val="0"/>
          <w:dstrike w:val="0"/>
          <w:color w:val="auto"/>
          <w:sz w:val="24"/>
          <w:highlight w:val="none"/>
          <w:lang w:val="en-US" w:eastAsia="zh-CN"/>
        </w:rPr>
        <w:t>黑膜池</w:t>
      </w:r>
      <w:r>
        <w:rPr>
          <w:rFonts w:hint="eastAsia" w:ascii="Times New Roman" w:hAnsi="Times New Roman" w:eastAsia="宋体"/>
          <w:strike w:val="0"/>
          <w:dstrike w:val="0"/>
          <w:color w:val="auto"/>
          <w:sz w:val="24"/>
          <w:highlight w:val="none"/>
          <w:lang w:val="en-US" w:eastAsia="zh-CN"/>
        </w:rPr>
        <w:t>厌氧发酵处理后，用于周边林带及厂区绿化</w:t>
      </w:r>
      <w:r>
        <w:rPr>
          <w:rFonts w:hint="eastAsia" w:ascii="Times New Roman" w:hAnsi="Times New Roman" w:eastAsia="宋体"/>
          <w:strike w:val="0"/>
          <w:dstrike w:val="0"/>
          <w:color w:val="auto"/>
          <w:sz w:val="24"/>
          <w:highlight w:val="none"/>
          <w:lang w:val="en-US" w:eastAsia="zh-CN"/>
        </w:rPr>
        <w:t>施肥</w:t>
      </w:r>
      <w:r>
        <w:rPr>
          <w:rFonts w:hint="eastAsia" w:ascii="Times New Roman" w:hAnsi="Times New Roman" w:eastAsia="宋体"/>
          <w:strike w:val="0"/>
          <w:dstrike w:val="0"/>
          <w:color w:val="auto"/>
          <w:highlight w:val="none"/>
          <w:lang w:eastAsia="zh-CN"/>
        </w:rPr>
        <w:t>。</w:t>
      </w:r>
    </w:p>
    <w:p w14:paraId="66AFC608">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骆驼尿</w:t>
      </w:r>
    </w:p>
    <w:p w14:paraId="12BBACBE">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根据建设方提供的数据，骆驼尿按2kg/（峰·d）计算，则驼尿产生量为2.03m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/d，740.95m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vertAlign w:val="baseline"/>
          <w:lang w:val="en-US" w:eastAsia="zh-CN"/>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根据当地已建成项目，骆驼尿全部自然风干。</w:t>
      </w:r>
    </w:p>
    <w:p w14:paraId="3C17921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（3）消毒用水</w:t>
      </w:r>
    </w:p>
    <w:p w14:paraId="5EBCA5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本项目消毒采用喷洒式消毒方式，消毒用水量较小，不会在厂区形成径流，自然蒸发损耗。</w:t>
      </w:r>
    </w:p>
    <w:p w14:paraId="3CCF4F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（4）</w:t>
      </w:r>
      <w:r>
        <w:rPr>
          <w:rFonts w:hint="eastAsia" w:ascii="Times New Roman" w:hAnsi="Times New Roman" w:eastAsia="宋体"/>
          <w:strike w:val="0"/>
          <w:dstrike w:val="0"/>
          <w:color w:val="auto"/>
          <w:highlight w:val="none"/>
          <w:lang w:val="en-US" w:eastAsia="zh-CN"/>
        </w:rPr>
        <w:t>挤奶厅（待挤区）清洗废水</w:t>
      </w:r>
    </w:p>
    <w:p w14:paraId="5EB385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挤奶厅清洗废水按照用水量的</w:t>
      </w:r>
      <w:r>
        <w:rPr>
          <w:rFonts w:ascii="Times New Roman" w:hAnsi="Times New Roman" w:eastAsia="宋体"/>
          <w:strike w:val="0"/>
          <w:dstrike w:val="0"/>
          <w:color w:val="auto"/>
          <w:highlight w:val="none"/>
        </w:rPr>
        <w:t>80%计算，则</w:t>
      </w:r>
      <w:r>
        <w:rPr>
          <w:rFonts w:hint="eastAsia" w:ascii="Times New Roman" w:hAnsi="Times New Roman" w:eastAsia="宋体"/>
          <w:strike w:val="0"/>
          <w:dstrike w:val="0"/>
          <w:color w:val="auto"/>
          <w:highlight w:val="none"/>
        </w:rPr>
        <w:t>挤奶厅清洗废水</w:t>
      </w:r>
      <w:r>
        <w:rPr>
          <w:rFonts w:ascii="Times New Roman" w:hAnsi="Times New Roman" w:eastAsia="宋体"/>
          <w:strike w:val="0"/>
          <w:dstrike w:val="0"/>
          <w:color w:val="auto"/>
          <w:highlight w:val="none"/>
        </w:rPr>
        <w:t>产生量约为</w:t>
      </w:r>
      <w:r>
        <w:rPr>
          <w:rFonts w:hint="eastAsia" w:ascii="Times New Roman" w:hAnsi="Times New Roman" w:eastAsia="宋体"/>
          <w:strike w:val="0"/>
          <w:dstrike w:val="0"/>
          <w:color w:val="auto"/>
          <w:highlight w:val="none"/>
          <w:lang w:val="en-US" w:eastAsia="zh-CN"/>
        </w:rPr>
        <w:t>3.36m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/d，1226.4m</w:t>
      </w:r>
      <w:r>
        <w:rPr>
          <w:rFonts w:hint="eastAsia" w:ascii="Times New Roman" w:hAnsi="Times New Roman" w:eastAsia="宋体"/>
          <w:strike w:val="0"/>
          <w:dstrike w:val="0"/>
          <w:color w:val="auto"/>
          <w:highlight w:val="none"/>
          <w:vertAlign w:val="superscript"/>
          <w:lang w:val="en-US" w:eastAsia="zh-CN"/>
        </w:rPr>
        <w:t>3</w:t>
      </w:r>
      <w:r>
        <w:rPr>
          <w:rFonts w:hint="eastAsia" w:ascii="Times New Roman" w:hAnsi="Times New Roman" w:eastAsia="宋体"/>
          <w:strike w:val="0"/>
          <w:dstrike w:val="0"/>
          <w:color w:val="auto"/>
          <w:highlight w:val="none"/>
          <w:lang w:val="en-US" w:eastAsia="zh-CN"/>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挤奶厅清洗废水经地下排污管道流至舍外黑膜池，</w:t>
      </w:r>
      <w:r>
        <w:rPr>
          <w:rFonts w:hint="eastAsia" w:ascii="Times New Roman" w:hAnsi="Times New Roman" w:eastAsia="宋体"/>
          <w:strike w:val="0"/>
          <w:dstrike w:val="0"/>
          <w:color w:val="auto"/>
          <w:sz w:val="24"/>
          <w:highlight w:val="none"/>
          <w:lang w:val="en-US" w:eastAsia="zh-CN"/>
        </w:rPr>
        <w:t>厌氧发酵处理后，用于周边林带及厂区绿化</w:t>
      </w:r>
      <w:r>
        <w:rPr>
          <w:rFonts w:hint="eastAsia" w:ascii="Times New Roman" w:hAnsi="Times New Roman" w:eastAsia="宋体"/>
          <w:strike w:val="0"/>
          <w:dstrike w:val="0"/>
          <w:color w:val="auto"/>
          <w:sz w:val="24"/>
          <w:highlight w:val="none"/>
          <w:lang w:val="en-US" w:eastAsia="zh-CN"/>
        </w:rPr>
        <w:t>施肥</w:t>
      </w:r>
      <w:r>
        <w:rPr>
          <w:rFonts w:hint="eastAsia" w:ascii="Times New Roman" w:hAnsi="Times New Roman" w:eastAsia="宋体"/>
          <w:strike w:val="0"/>
          <w:dstrike w:val="0"/>
          <w:color w:val="auto"/>
          <w:highlight w:val="none"/>
          <w:lang w:eastAsia="zh-CN"/>
        </w:rPr>
        <w:t>。</w:t>
      </w:r>
    </w:p>
    <w:p w14:paraId="1AC18A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（5）</w:t>
      </w:r>
      <w:r>
        <w:rPr>
          <w:rFonts w:hint="eastAsia" w:ascii="Times New Roman" w:hAnsi="Times New Roman" w:eastAsia="宋体" w:cs="Times New Roman"/>
          <w:strike w:val="0"/>
          <w:dstrike w:val="0"/>
          <w:color w:val="auto"/>
          <w:sz w:val="24"/>
          <w:lang w:val="en-US" w:eastAsia="zh-CN" w:bidi="ar-SA"/>
        </w:rPr>
        <w:t>挤奶</w:t>
      </w:r>
      <w:r>
        <w:rPr>
          <w:rFonts w:hint="eastAsia" w:ascii="Times New Roman" w:hAnsi="Times New Roman" w:eastAsia="宋体" w:cs="Times New Roman"/>
          <w:strike w:val="0"/>
          <w:dstrike w:val="0"/>
          <w:color w:val="auto"/>
          <w:sz w:val="24"/>
          <w:lang w:val="en-US" w:eastAsia="zh-CN" w:bidi="ar-SA"/>
        </w:rPr>
        <w:t>设备清洗废水</w:t>
      </w:r>
    </w:p>
    <w:p w14:paraId="4A7F7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设备清洗废水按照用水量的80%计算</w:t>
      </w:r>
      <w:r>
        <w:rPr>
          <w:rFonts w:hint="eastAsia" w:ascii="Times New Roman" w:hAnsi="Times New Roman" w:eastAsia="宋体" w:cs="Times New Roman"/>
          <w:strike w:val="0"/>
          <w:dstrike w:val="0"/>
          <w:color w:val="auto"/>
          <w:sz w:val="24"/>
          <w:lang w:val="en-US" w:eastAsia="zh-CN" w:bidi="ar-SA"/>
        </w:rPr>
        <w:t>，</w:t>
      </w:r>
      <w:r>
        <w:rPr>
          <w:rFonts w:ascii="Times New Roman" w:hAnsi="Times New Roman" w:eastAsia="宋体" w:cs="宋体"/>
          <w:color w:val="auto"/>
          <w:sz w:val="24"/>
          <w:szCs w:val="24"/>
        </w:rPr>
        <w:t>项目冲洗设备</w:t>
      </w:r>
      <w:r>
        <w:rPr>
          <w:rFonts w:hint="eastAsia" w:ascii="Times New Roman" w:hAnsi="Times New Roman" w:eastAsia="宋体" w:cs="宋体"/>
          <w:color w:val="auto"/>
          <w:sz w:val="24"/>
          <w:szCs w:val="24"/>
          <w:lang w:val="en-US" w:eastAsia="zh-CN"/>
        </w:rPr>
        <w:t>废水产生量</w:t>
      </w:r>
      <w:r>
        <w:rPr>
          <w:rFonts w:ascii="Times New Roman" w:hAnsi="Times New Roman" w:eastAsia="宋体" w:cs="宋体"/>
          <w:color w:val="auto"/>
          <w:sz w:val="24"/>
          <w:szCs w:val="24"/>
        </w:rPr>
        <w:t>为</w:t>
      </w:r>
      <w:r>
        <w:rPr>
          <w:rFonts w:hint="eastAsia" w:ascii="Times New Roman" w:hAnsi="Times New Roman" w:eastAsia="宋体" w:cs="Times New Roman"/>
          <w:strike w:val="0"/>
          <w:dstrike w:val="0"/>
          <w:color w:val="auto"/>
          <w:sz w:val="24"/>
          <w:szCs w:val="20"/>
          <w:highlight w:val="none"/>
          <w:lang w:val="en-US" w:eastAsia="zh-CN" w:bidi="ar-SA"/>
        </w:rPr>
        <w:t>0.</w:t>
      </w:r>
      <w:r>
        <w:rPr>
          <w:rFonts w:hint="eastAsia" w:ascii="Times New Roman" w:hAnsi="Times New Roman" w:eastAsia="宋体" w:cs="Times New Roman"/>
          <w:strike w:val="0"/>
          <w:dstrike w:val="0"/>
          <w:color w:val="auto"/>
          <w:sz w:val="24"/>
          <w:szCs w:val="20"/>
          <w:highlight w:val="none"/>
          <w:lang w:val="en-US" w:eastAsia="zh-CN" w:bidi="ar-SA"/>
        </w:rPr>
        <w:t>32</w:t>
      </w:r>
      <w:r>
        <w:rPr>
          <w:rFonts w:hint="eastAsia" w:ascii="Times New Roman" w:hAnsi="Times New Roman" w:eastAsia="宋体" w:cs="Times New Roman"/>
          <w:strike w:val="0"/>
          <w:dstrike w:val="0"/>
          <w:color w:val="auto"/>
          <w:sz w:val="24"/>
          <w:szCs w:val="20"/>
          <w:highlight w:val="none"/>
          <w:lang w:val="en-US" w:eastAsia="zh-CN" w:bidi="ar-SA"/>
        </w:rPr>
        <w:t>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/d，</w:t>
      </w:r>
      <w:r>
        <w:rPr>
          <w:rFonts w:hint="eastAsia" w:ascii="Times New Roman" w:hAnsi="Times New Roman" w:eastAsia="宋体" w:cs="Times New Roman"/>
          <w:strike w:val="0"/>
          <w:dstrike w:val="0"/>
          <w:color w:val="auto"/>
          <w:sz w:val="24"/>
          <w:szCs w:val="20"/>
          <w:highlight w:val="none"/>
          <w:lang w:val="en-US" w:eastAsia="zh-CN" w:bidi="ar-SA"/>
        </w:rPr>
        <w:t>116.8</w:t>
      </w:r>
      <w:r>
        <w:rPr>
          <w:rFonts w:hint="eastAsia" w:ascii="Times New Roman" w:hAnsi="Times New Roman" w:eastAsia="宋体" w:cs="Times New Roman"/>
          <w:strike w:val="0"/>
          <w:dstrike w:val="0"/>
          <w:color w:val="auto"/>
          <w:sz w:val="24"/>
          <w:szCs w:val="20"/>
          <w:highlight w:val="none"/>
          <w:lang w:val="en-US" w:eastAsia="zh-CN" w:bidi="ar-SA"/>
        </w:rPr>
        <w:t>m</w:t>
      </w:r>
      <w:r>
        <w:rPr>
          <w:rFonts w:hint="eastAsia" w:ascii="Times New Roman" w:hAnsi="Times New Roman" w:eastAsia="宋体" w:cs="Times New Roman"/>
          <w:strike w:val="0"/>
          <w:dstrike w:val="0"/>
          <w:color w:val="auto"/>
          <w:sz w:val="24"/>
          <w:szCs w:val="20"/>
          <w:highlight w:val="none"/>
          <w:vertAlign w:val="superscript"/>
          <w:lang w:val="en-US" w:eastAsia="zh-CN" w:bidi="ar-SA"/>
        </w:rPr>
        <w:t>3</w:t>
      </w:r>
      <w:r>
        <w:rPr>
          <w:rFonts w:hint="eastAsia" w:ascii="Times New Roman" w:hAnsi="Times New Roman" w:eastAsia="宋体" w:cs="Times New Roman"/>
          <w:strike w:val="0"/>
          <w:dstrike w:val="0"/>
          <w:color w:val="auto"/>
          <w:sz w:val="24"/>
          <w:szCs w:val="20"/>
          <w:highlight w:val="none"/>
          <w:lang w:val="en-US" w:eastAsia="zh-CN" w:bidi="ar-SA"/>
        </w:rPr>
        <w:t>/a</w:t>
      </w:r>
      <w:r>
        <w:rPr>
          <w:rFonts w:hint="eastAsia" w:ascii="Times New Roman" w:hAnsi="Times New Roman" w:eastAsia="宋体" w:cs="Times New Roman"/>
          <w:strike w:val="0"/>
          <w:dstrike w:val="0"/>
          <w:color w:val="auto"/>
          <w:sz w:val="24"/>
          <w:szCs w:val="20"/>
          <w:highlight w:val="none"/>
          <w:lang w:val="en-US" w:eastAsia="zh-CN" w:bidi="ar-SA"/>
        </w:rPr>
        <w:t>，</w:t>
      </w:r>
      <w:r>
        <w:rPr>
          <w:rFonts w:hint="eastAsia" w:ascii="Times New Roman" w:hAnsi="Times New Roman" w:eastAsia="宋体"/>
          <w:strike w:val="0"/>
          <w:dstrike w:val="0"/>
          <w:color w:val="auto"/>
          <w:highlight w:val="none"/>
          <w:lang w:val="en-US" w:eastAsia="zh-CN"/>
        </w:rPr>
        <w:t>经地下排污管道流至舍外黑膜池，</w:t>
      </w:r>
      <w:r>
        <w:rPr>
          <w:rFonts w:hint="eastAsia" w:ascii="Times New Roman" w:hAnsi="Times New Roman" w:eastAsia="宋体"/>
          <w:strike w:val="0"/>
          <w:dstrike w:val="0"/>
          <w:color w:val="auto"/>
          <w:sz w:val="24"/>
          <w:highlight w:val="none"/>
          <w:lang w:val="en-US" w:eastAsia="zh-CN"/>
        </w:rPr>
        <w:t>厌氧发酵处理后，用于周边林带及厂区绿化</w:t>
      </w:r>
      <w:r>
        <w:rPr>
          <w:rFonts w:hint="eastAsia" w:ascii="Times New Roman" w:hAnsi="Times New Roman" w:eastAsia="宋体"/>
          <w:strike w:val="0"/>
          <w:dstrike w:val="0"/>
          <w:color w:val="auto"/>
          <w:sz w:val="24"/>
          <w:highlight w:val="none"/>
          <w:lang w:val="en-US" w:eastAsia="zh-CN"/>
        </w:rPr>
        <w:t>施肥</w:t>
      </w:r>
      <w:r>
        <w:rPr>
          <w:rFonts w:hint="eastAsia" w:ascii="Times New Roman" w:hAnsi="Times New Roman" w:eastAsia="宋体"/>
          <w:strike w:val="0"/>
          <w:dstrike w:val="0"/>
          <w:color w:val="auto"/>
          <w:highlight w:val="none"/>
          <w:lang w:eastAsia="zh-CN"/>
        </w:rPr>
        <w:t>。</w:t>
      </w:r>
    </w:p>
    <w:p w14:paraId="6F6ACCA8">
      <w:pPr>
        <w:pStyle w:val="17"/>
        <w:keepNext w:val="0"/>
        <w:keepLines w:val="0"/>
        <w:pageBreakBefore w:val="0"/>
        <w:widowControl w:val="0"/>
        <w:kinsoku/>
        <w:wordWrap/>
        <w:overflowPunct/>
        <w:topLinePunct w:val="0"/>
        <w:autoSpaceDE/>
        <w:autoSpaceDN/>
        <w:bidi w:val="0"/>
        <w:adjustRightInd/>
        <w:snapToGrid w:val="0"/>
        <w:spacing w:line="240" w:lineRule="auto"/>
        <w:ind w:left="0" w:right="0" w:firstLine="0" w:firstLineChars="0"/>
        <w:jc w:val="center"/>
        <w:textAlignment w:val="auto"/>
        <w:rPr>
          <w:rFonts w:hint="default" w:ascii="Times New Roman" w:hAnsi="Times New Roman" w:eastAsia="宋体"/>
          <w:color w:val="auto"/>
          <w:lang w:val="en-US" w:eastAsia="zh-CN"/>
        </w:rPr>
      </w:pPr>
      <w:r>
        <w:rPr>
          <w:rFonts w:ascii="Times New Roman" w:hAnsi="Times New Roman" w:eastAsia="宋体"/>
          <w:color w:val="auto"/>
        </w:rPr>
        <w:drawing>
          <wp:inline distT="0" distB="0" distL="114300" distR="114300">
            <wp:extent cx="5161280" cy="2257425"/>
            <wp:effectExtent l="0" t="0" r="0" b="0"/>
            <wp:docPr id="73" name="E657119C-6982-421D-8BA7-E74DEB70A7D9-1" descr="C:/Users/QFY/AppData/Local/Temp/wps.wZWDMf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E657119C-6982-421D-8BA7-E74DEB70A7D9-1" descr="C:/Users/QFY/AppData/Local/Temp/wps.wZWDMfwps"/>
                    <pic:cNvPicPr>
                      <a:picLocks noChangeAspect="1"/>
                    </pic:cNvPicPr>
                  </pic:nvPicPr>
                  <pic:blipFill>
                    <a:blip r:embed="rId31"/>
                    <a:stretch>
                      <a:fillRect/>
                    </a:stretch>
                  </pic:blipFill>
                  <pic:spPr>
                    <a:xfrm>
                      <a:off x="0" y="0"/>
                      <a:ext cx="5161280" cy="2257425"/>
                    </a:xfrm>
                    <a:prstGeom prst="rect">
                      <a:avLst/>
                    </a:prstGeom>
                  </pic:spPr>
                </pic:pic>
              </a:graphicData>
            </a:graphic>
          </wp:inline>
        </w:drawing>
      </w:r>
      <w:r>
        <w:rPr>
          <w:rFonts w:hint="eastAsia" w:ascii="Times New Roman" w:hAnsi="Times New Roman" w:eastAsia="宋体" w:cstheme="majorBidi"/>
          <w:b/>
          <w:strike w:val="0"/>
          <w:dstrike w:val="0"/>
          <w:color w:val="auto"/>
          <w:sz w:val="21"/>
          <w:szCs w:val="20"/>
          <w:highlight w:val="none"/>
          <w:lang w:val="en-US" w:eastAsia="zh-CN" w:bidi="ar-SA"/>
        </w:rPr>
        <w:t>图3.1-1水平衡图 单位：m</w:t>
      </w:r>
      <w:r>
        <w:rPr>
          <w:rFonts w:hint="eastAsia" w:ascii="Times New Roman" w:hAnsi="Times New Roman" w:eastAsia="宋体" w:cstheme="majorBidi"/>
          <w:b/>
          <w:strike w:val="0"/>
          <w:dstrike w:val="0"/>
          <w:color w:val="auto"/>
          <w:sz w:val="21"/>
          <w:szCs w:val="20"/>
          <w:highlight w:val="none"/>
          <w:vertAlign w:val="superscript"/>
          <w:lang w:val="en-US" w:eastAsia="zh-CN" w:bidi="ar-SA"/>
        </w:rPr>
        <w:t>3</w:t>
      </w:r>
      <w:r>
        <w:rPr>
          <w:rFonts w:hint="eastAsia" w:ascii="Times New Roman" w:hAnsi="Times New Roman" w:eastAsia="宋体" w:cstheme="majorBidi"/>
          <w:b/>
          <w:strike w:val="0"/>
          <w:dstrike w:val="0"/>
          <w:color w:val="auto"/>
          <w:sz w:val="21"/>
          <w:szCs w:val="20"/>
          <w:highlight w:val="none"/>
          <w:lang w:val="en-US" w:eastAsia="zh-CN" w:bidi="ar-SA"/>
        </w:rPr>
        <w:t>/a</w:t>
      </w:r>
    </w:p>
    <w:p w14:paraId="1038DA5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.3供电</w:t>
      </w:r>
    </w:p>
    <w:p w14:paraId="5C6B552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本项目所在地供电由项目区外电网接入，场区内设变配电室，供电采用树干式与放射式相结合供电方式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对主要供电负荷，采用单独回路供电</w:t>
      </w:r>
      <w:r>
        <w:rPr>
          <w:rFonts w:hint="eastAsia" w:ascii="Times New Roman" w:hAnsi="Times New Roman" w:eastAsia="宋体"/>
          <w:strike w:val="0"/>
          <w:dstrike w:val="0"/>
          <w:color w:val="auto"/>
          <w:highlight w:val="none"/>
          <w:lang w:eastAsia="zh-CN"/>
        </w:rPr>
        <w:t>。</w:t>
      </w:r>
    </w:p>
    <w:p w14:paraId="799C8842">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3.1.</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.4供热</w:t>
      </w:r>
    </w:p>
    <w:p w14:paraId="1F9B79C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本项目圈舍采用</w:t>
      </w:r>
      <w:r>
        <w:rPr>
          <w:rFonts w:hint="eastAsia" w:ascii="Times New Roman" w:hAnsi="Times New Roman" w:eastAsia="宋体"/>
          <w:strike w:val="0"/>
          <w:dstrike w:val="0"/>
          <w:color w:val="auto"/>
          <w:highlight w:val="none"/>
          <w:lang w:val="en-US" w:eastAsia="zh-CN"/>
        </w:rPr>
        <w:t>电采暖</w:t>
      </w:r>
      <w:r>
        <w:rPr>
          <w:rFonts w:hint="eastAsia" w:ascii="Times New Roman" w:hAnsi="Times New Roman" w:eastAsia="宋体"/>
          <w:strike w:val="0"/>
          <w:dstrike w:val="0"/>
          <w:color w:val="auto"/>
          <w:highlight w:val="none"/>
          <w:lang w:eastAsia="zh-CN"/>
        </w:rPr>
        <w:t>。</w:t>
      </w:r>
    </w:p>
    <w:p w14:paraId="5581210C">
      <w:pPr>
        <w:pStyle w:val="3"/>
        <w:rPr>
          <w:rFonts w:ascii="Times New Roman" w:hAnsi="Times New Roman" w:eastAsia="宋体"/>
          <w:strike w:val="0"/>
          <w:dstrike w:val="0"/>
          <w:color w:val="auto"/>
          <w:highlight w:val="none"/>
        </w:rPr>
      </w:pPr>
      <w:bookmarkStart w:id="107" w:name="_Toc117518536"/>
      <w:bookmarkStart w:id="108" w:name="_Toc15704"/>
      <w:bookmarkStart w:id="109" w:name="_Toc3038841"/>
      <w:bookmarkStart w:id="110" w:name="_Toc536265806"/>
      <w:bookmarkStart w:id="111" w:name="_Toc46066266"/>
      <w:bookmarkStart w:id="112" w:name="_Toc113254136"/>
      <w:bookmarkStart w:id="113" w:name="_Toc117518166"/>
      <w:bookmarkStart w:id="114" w:name="_Toc2156134"/>
      <w:bookmarkStart w:id="115" w:name="_Toc2320728"/>
      <w:bookmarkStart w:id="116" w:name="_Toc24776864"/>
      <w:bookmarkStart w:id="117" w:name="_Toc117518251"/>
      <w:bookmarkStart w:id="118" w:name="_Toc113254406"/>
      <w:bookmarkStart w:id="119" w:name="_Toc3038754"/>
      <w:bookmarkStart w:id="120" w:name="_Toc112970910"/>
      <w:bookmarkStart w:id="121" w:name="_Toc2258924"/>
      <w:bookmarkStart w:id="122" w:name="_Toc117518085"/>
      <w:bookmarkStart w:id="123" w:name="_Toc29350521"/>
      <w:bookmarkStart w:id="124" w:name="_Toc117518331"/>
      <w:bookmarkStart w:id="125" w:name="_Toc224388007"/>
      <w:bookmarkStart w:id="126" w:name="_Toc29631758"/>
      <w:bookmarkStart w:id="127" w:name="_Toc113278807"/>
      <w:bookmarkStart w:id="128" w:name="_Toc3455645"/>
      <w:bookmarkStart w:id="129" w:name="_Toc112970974"/>
      <w:bookmarkStart w:id="130" w:name="_Toc29350463"/>
      <w:bookmarkStart w:id="131" w:name="_Toc324245525"/>
      <w:bookmarkStart w:id="132" w:name="_Toc117517821"/>
      <w:bookmarkStart w:id="133" w:name="_Toc12482"/>
      <w:bookmarkStart w:id="134" w:name="_Toc14719"/>
      <w:bookmarkStart w:id="135" w:name="_Toc89619334"/>
      <w:r>
        <w:rPr>
          <w:rFonts w:ascii="Times New Roman" w:hAnsi="Times New Roman" w:eastAsia="宋体"/>
          <w:strike w:val="0"/>
          <w:dstrike w:val="0"/>
          <w:color w:val="auto"/>
          <w:highlight w:val="none"/>
        </w:rPr>
        <w:t>3.2</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Fonts w:hint="eastAsia" w:ascii="Times New Roman" w:hAnsi="Times New Roman" w:eastAsia="宋体"/>
          <w:strike w:val="0"/>
          <w:dstrike w:val="0"/>
          <w:color w:val="auto"/>
          <w:highlight w:val="none"/>
        </w:rPr>
        <w:t>生产工艺流程</w:t>
      </w:r>
      <w:bookmarkEnd w:id="133"/>
      <w:bookmarkEnd w:id="134"/>
      <w:bookmarkEnd w:id="135"/>
    </w:p>
    <w:p w14:paraId="05BAD396">
      <w:pPr>
        <w:pStyle w:val="4"/>
        <w:rPr>
          <w:rFonts w:ascii="Times New Roman" w:hAnsi="Times New Roman" w:eastAsia="宋体"/>
          <w:strike w:val="0"/>
          <w:dstrike w:val="0"/>
          <w:color w:val="auto"/>
          <w:highlight w:val="none"/>
        </w:rPr>
      </w:pPr>
      <w:bookmarkStart w:id="136" w:name="_Toc12902"/>
      <w:bookmarkStart w:id="137" w:name="_Toc106663468"/>
      <w:r>
        <w:rPr>
          <w:rFonts w:ascii="Times New Roman" w:hAnsi="Times New Roman" w:eastAsia="宋体"/>
          <w:strike w:val="0"/>
          <w:dstrike w:val="0"/>
          <w:color w:val="auto"/>
          <w:highlight w:val="none"/>
        </w:rPr>
        <w:t>3.2.1</w:t>
      </w:r>
      <w:r>
        <w:rPr>
          <w:rFonts w:hint="eastAsia" w:ascii="Times New Roman" w:hAnsi="Times New Roman" w:eastAsia="宋体"/>
          <w:strike w:val="0"/>
          <w:dstrike w:val="0"/>
          <w:color w:val="auto"/>
          <w:highlight w:val="none"/>
        </w:rPr>
        <w:t>施工期工艺流程及产污节点</w:t>
      </w:r>
      <w:bookmarkEnd w:id="136"/>
      <w:bookmarkEnd w:id="137"/>
    </w:p>
    <w:p w14:paraId="7E9452E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过程分为土方阶段（包括场地平整、开挖土石方）、基础施工阶段（包括打桩，构筑基础等）、主体工程阶段（包括钢筋、砖混结构施工、管线施工等）及装修阶段、场地清理（包括回填土石方、修路、清理场地等）</w:t>
      </w:r>
      <w:r>
        <w:rPr>
          <w:rFonts w:hint="eastAsia" w:ascii="Times New Roman" w:hAnsi="Times New Roman" w:eastAsia="宋体"/>
          <w:strike w:val="0"/>
          <w:dstrike w:val="0"/>
          <w:color w:val="auto"/>
          <w:highlight w:val="none"/>
          <w:lang w:eastAsia="zh-CN"/>
        </w:rPr>
        <w:t>。</w:t>
      </w:r>
    </w:p>
    <w:p w14:paraId="67350E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w:t>
      </w:r>
      <w:r>
        <w:rPr>
          <w:rFonts w:ascii="Times New Roman" w:hAnsi="Times New Roman" w:eastAsia="宋体"/>
          <w:strike w:val="0"/>
          <w:dstrike w:val="0"/>
          <w:color w:val="auto"/>
          <w:highlight w:val="none"/>
        </w:rPr>
        <w:t>施工期工艺流程及产污</w:t>
      </w:r>
      <w:r>
        <w:rPr>
          <w:rFonts w:hint="eastAsia" w:ascii="Times New Roman" w:hAnsi="Times New Roman" w:eastAsia="宋体"/>
          <w:strike w:val="0"/>
          <w:dstrike w:val="0"/>
          <w:color w:val="auto"/>
          <w:highlight w:val="none"/>
        </w:rPr>
        <w:t>环节图</w:t>
      </w:r>
      <w:r>
        <w:rPr>
          <w:rFonts w:ascii="Times New Roman" w:hAnsi="Times New Roman" w:eastAsia="宋体"/>
          <w:strike w:val="0"/>
          <w:dstrike w:val="0"/>
          <w:color w:val="auto"/>
          <w:highlight w:val="none"/>
        </w:rPr>
        <w:t>见图</w:t>
      </w:r>
      <w:r>
        <w:rPr>
          <w:rFonts w:hint="eastAsia" w:ascii="Times New Roman" w:hAnsi="Times New Roman" w:eastAsia="宋体"/>
          <w:strike w:val="0"/>
          <w:dstrike w:val="0"/>
          <w:color w:val="auto"/>
          <w:highlight w:val="none"/>
        </w:rPr>
        <w:t>3.2-1</w:t>
      </w:r>
      <w:r>
        <w:rPr>
          <w:rFonts w:hint="eastAsia" w:ascii="Times New Roman" w:hAnsi="Times New Roman" w:eastAsia="宋体"/>
          <w:strike w:val="0"/>
          <w:dstrike w:val="0"/>
          <w:color w:val="auto"/>
          <w:highlight w:val="none"/>
          <w:lang w:eastAsia="zh-CN"/>
        </w:rPr>
        <w:t>。</w:t>
      </w:r>
    </w:p>
    <w:p w14:paraId="1638267A">
      <w:pPr>
        <w:topLinePunct/>
        <w:adjustRightInd w:val="0"/>
        <w:snapToGrid w:val="0"/>
        <w:spacing w:line="240" w:lineRule="auto"/>
        <w:ind w:firstLine="0" w:firstLineChars="0"/>
        <w:jc w:val="center"/>
        <w:rPr>
          <w:rFonts w:ascii="Times New Roman" w:hAnsi="Times New Roman" w:eastAsia="宋体"/>
          <w:strike w:val="0"/>
          <w:dstrike w:val="0"/>
          <w:snapToGrid w:val="0"/>
          <w:color w:val="auto"/>
          <w:sz w:val="28"/>
          <w:szCs w:val="28"/>
          <w:highlight w:val="none"/>
        </w:rPr>
      </w:pPr>
      <w:r>
        <w:rPr>
          <w:rFonts w:ascii="Times New Roman" w:hAnsi="Times New Roman" w:eastAsia="宋体"/>
          <w:strike w:val="0"/>
          <w:dstrike w:val="0"/>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344170</wp:posOffset>
                </wp:positionH>
                <wp:positionV relativeFrom="paragraph">
                  <wp:posOffset>26670</wp:posOffset>
                </wp:positionV>
                <wp:extent cx="4912995" cy="1814830"/>
                <wp:effectExtent l="0" t="0" r="20955" b="13970"/>
                <wp:wrapNone/>
                <wp:docPr id="299" name="组合 299"/>
                <wp:cNvGraphicFramePr/>
                <a:graphic xmlns:a="http://schemas.openxmlformats.org/drawingml/2006/main">
                  <a:graphicData uri="http://schemas.microsoft.com/office/word/2010/wordprocessingGroup">
                    <wpg:wgp>
                      <wpg:cNvGrpSpPr/>
                      <wpg:grpSpPr>
                        <a:xfrm>
                          <a:off x="0" y="0"/>
                          <a:ext cx="4912995" cy="1814830"/>
                          <a:chOff x="2061" y="3103"/>
                          <a:chExt cx="7737" cy="2858"/>
                        </a:xfrm>
                      </wpg:grpSpPr>
                      <wps:wsp>
                        <wps:cNvPr id="300" name="文本框 354"/>
                        <wps:cNvSpPr txBox="1">
                          <a:spLocks noChangeArrowheads="1"/>
                        </wps:cNvSpPr>
                        <wps:spPr bwMode="auto">
                          <a:xfrm>
                            <a:off x="4116" y="5663"/>
                            <a:ext cx="3420" cy="298"/>
                          </a:xfrm>
                          <a:prstGeom prst="rect">
                            <a:avLst/>
                          </a:prstGeom>
                          <a:solidFill>
                            <a:srgbClr val="FFFFFF"/>
                          </a:solidFill>
                          <a:ln w="9525" cmpd="sng">
                            <a:solidFill>
                              <a:srgbClr val="000000"/>
                            </a:solidFill>
                            <a:miter lim="800000"/>
                          </a:ln>
                        </wps:spPr>
                        <wps:txbx>
                          <w:txbxContent>
                            <w:p w14:paraId="613BA231">
                              <w:pPr>
                                <w:spacing w:line="240" w:lineRule="auto"/>
                                <w:ind w:firstLine="0" w:firstLineChars="0"/>
                                <w:jc w:val="center"/>
                              </w:pPr>
                              <w:r>
                                <w:rPr>
                                  <w:rFonts w:hint="eastAsia"/>
                                </w:rPr>
                                <w:t>建筑垃圾、生活垃圾、生活废水</w:t>
                              </w:r>
                            </w:p>
                            <w:p w14:paraId="3F44C025">
                              <w:pPr>
                                <w:ind w:firstLine="480"/>
                              </w:pPr>
                            </w:p>
                          </w:txbxContent>
                        </wps:txbx>
                        <wps:bodyPr rot="0" vert="horz" wrap="square" lIns="18000" tIns="0" rIns="18000" bIns="0" anchor="t" anchorCtr="0" upright="1">
                          <a:noAutofit/>
                        </wps:bodyPr>
                      </wps:wsp>
                      <wps:wsp>
                        <wps:cNvPr id="301" name="文本框 355"/>
                        <wps:cNvSpPr txBox="1">
                          <a:spLocks noChangeArrowheads="1"/>
                        </wps:cNvSpPr>
                        <wps:spPr bwMode="auto">
                          <a:xfrm>
                            <a:off x="3471" y="4678"/>
                            <a:ext cx="1260" cy="312"/>
                          </a:xfrm>
                          <a:prstGeom prst="rect">
                            <a:avLst/>
                          </a:prstGeom>
                          <a:solidFill>
                            <a:srgbClr val="FFFFFF"/>
                          </a:solidFill>
                          <a:ln w="9525" cmpd="sng">
                            <a:solidFill>
                              <a:srgbClr val="000000"/>
                            </a:solidFill>
                            <a:miter lim="800000"/>
                          </a:ln>
                        </wps:spPr>
                        <wps:txbx>
                          <w:txbxContent>
                            <w:p w14:paraId="290CEE2B">
                              <w:pPr>
                                <w:spacing w:line="240" w:lineRule="auto"/>
                                <w:ind w:firstLine="0" w:firstLineChars="0"/>
                                <w:jc w:val="center"/>
                              </w:pPr>
                              <w:r>
                                <w:rPr>
                                  <w:rFonts w:hint="eastAsia"/>
                                </w:rPr>
                                <w:t>土方开挖</w:t>
                              </w:r>
                            </w:p>
                          </w:txbxContent>
                        </wps:txbx>
                        <wps:bodyPr rot="0" vert="horz" wrap="square" lIns="18000" tIns="0" rIns="18000" bIns="0" anchor="t" anchorCtr="0" upright="1">
                          <a:noAutofit/>
                        </wps:bodyPr>
                      </wps:wsp>
                      <wps:wsp>
                        <wps:cNvPr id="302" name="文本框 356"/>
                        <wps:cNvSpPr txBox="1">
                          <a:spLocks noChangeArrowheads="1"/>
                        </wps:cNvSpPr>
                        <wps:spPr bwMode="auto">
                          <a:xfrm>
                            <a:off x="5436" y="4672"/>
                            <a:ext cx="1260" cy="298"/>
                          </a:xfrm>
                          <a:prstGeom prst="rect">
                            <a:avLst/>
                          </a:prstGeom>
                          <a:solidFill>
                            <a:srgbClr val="FFFFFF"/>
                          </a:solidFill>
                          <a:ln w="9525" cmpd="sng">
                            <a:solidFill>
                              <a:srgbClr val="000000"/>
                            </a:solidFill>
                            <a:miter lim="800000"/>
                          </a:ln>
                        </wps:spPr>
                        <wps:txbx>
                          <w:txbxContent>
                            <w:p w14:paraId="19703EDF">
                              <w:pPr>
                                <w:spacing w:line="240" w:lineRule="auto"/>
                                <w:ind w:firstLine="0" w:firstLineChars="0"/>
                                <w:jc w:val="center"/>
                              </w:pPr>
                              <w:r>
                                <w:rPr>
                                  <w:rFonts w:hint="eastAsia"/>
                                </w:rPr>
                                <w:t>道路修筑</w:t>
                              </w:r>
                            </w:p>
                          </w:txbxContent>
                        </wps:txbx>
                        <wps:bodyPr rot="0" vert="horz" wrap="square" lIns="18000" tIns="0" rIns="18000" bIns="0" anchor="t" anchorCtr="0" upright="1">
                          <a:noAutofit/>
                        </wps:bodyPr>
                      </wps:wsp>
                      <wps:wsp>
                        <wps:cNvPr id="303" name="文本框 357"/>
                        <wps:cNvSpPr txBox="1">
                          <a:spLocks noChangeArrowheads="1"/>
                        </wps:cNvSpPr>
                        <wps:spPr bwMode="auto">
                          <a:xfrm>
                            <a:off x="7146" y="4687"/>
                            <a:ext cx="1260" cy="298"/>
                          </a:xfrm>
                          <a:prstGeom prst="rect">
                            <a:avLst/>
                          </a:prstGeom>
                          <a:solidFill>
                            <a:srgbClr val="FFFFFF"/>
                          </a:solidFill>
                          <a:ln w="9525" cmpd="sng">
                            <a:solidFill>
                              <a:srgbClr val="000000"/>
                            </a:solidFill>
                            <a:miter lim="800000"/>
                          </a:ln>
                        </wps:spPr>
                        <wps:txbx>
                          <w:txbxContent>
                            <w:p w14:paraId="2EC7CFB1">
                              <w:pPr>
                                <w:spacing w:line="240" w:lineRule="auto"/>
                                <w:ind w:firstLine="0" w:firstLineChars="0"/>
                                <w:jc w:val="center"/>
                              </w:pPr>
                              <w:r>
                                <w:rPr>
                                  <w:rFonts w:hint="eastAsia"/>
                                </w:rPr>
                                <w:t>房屋建筑</w:t>
                              </w:r>
                            </w:p>
                          </w:txbxContent>
                        </wps:txbx>
                        <wps:bodyPr rot="0" vert="horz" wrap="square" lIns="18000" tIns="0" rIns="18000" bIns="0" anchor="t" anchorCtr="0" upright="1">
                          <a:noAutofit/>
                        </wps:bodyPr>
                      </wps:wsp>
                      <wps:wsp>
                        <wps:cNvPr id="304" name="文本框 358"/>
                        <wps:cNvSpPr txBox="1">
                          <a:spLocks noChangeArrowheads="1"/>
                        </wps:cNvSpPr>
                        <wps:spPr bwMode="auto">
                          <a:xfrm>
                            <a:off x="8856" y="4702"/>
                            <a:ext cx="720" cy="296"/>
                          </a:xfrm>
                          <a:prstGeom prst="rect">
                            <a:avLst/>
                          </a:prstGeom>
                          <a:solidFill>
                            <a:srgbClr val="FFFFFF"/>
                          </a:solidFill>
                          <a:ln w="9525" cmpd="sng">
                            <a:solidFill>
                              <a:srgbClr val="000000"/>
                            </a:solidFill>
                            <a:miter lim="800000"/>
                          </a:ln>
                        </wps:spPr>
                        <wps:txbx>
                          <w:txbxContent>
                            <w:p w14:paraId="65A27D00">
                              <w:pPr>
                                <w:spacing w:line="240" w:lineRule="auto"/>
                                <w:ind w:firstLine="0" w:firstLineChars="0"/>
                                <w:jc w:val="center"/>
                              </w:pPr>
                              <w:r>
                                <w:rPr>
                                  <w:rFonts w:hint="eastAsia"/>
                                </w:rPr>
                                <w:t>装修</w:t>
                              </w:r>
                            </w:p>
                          </w:txbxContent>
                        </wps:txbx>
                        <wps:bodyPr rot="0" vert="horz" wrap="square" lIns="18000" tIns="0" rIns="18000" bIns="0" anchor="t" anchorCtr="0" upright="1">
                          <a:noAutofit/>
                        </wps:bodyPr>
                      </wps:wsp>
                      <wps:wsp>
                        <wps:cNvPr id="305" name="文本框 359"/>
                        <wps:cNvSpPr txBox="1">
                          <a:spLocks noChangeArrowheads="1"/>
                        </wps:cNvSpPr>
                        <wps:spPr bwMode="auto">
                          <a:xfrm>
                            <a:off x="2061" y="4672"/>
                            <a:ext cx="1080" cy="312"/>
                          </a:xfrm>
                          <a:prstGeom prst="rect">
                            <a:avLst/>
                          </a:prstGeom>
                          <a:solidFill>
                            <a:srgbClr val="FFFFFF"/>
                          </a:solidFill>
                          <a:ln w="9525" cmpd="sng">
                            <a:solidFill>
                              <a:srgbClr val="000000"/>
                            </a:solidFill>
                            <a:miter lim="800000"/>
                          </a:ln>
                        </wps:spPr>
                        <wps:txbx>
                          <w:txbxContent>
                            <w:p w14:paraId="43F22E64">
                              <w:pPr>
                                <w:spacing w:line="240" w:lineRule="auto"/>
                                <w:ind w:firstLine="0" w:firstLineChars="0"/>
                                <w:jc w:val="center"/>
                              </w:pPr>
                              <w:r>
                                <w:rPr>
                                  <w:rFonts w:hint="eastAsia"/>
                                </w:rPr>
                                <w:t>场地平整</w:t>
                              </w:r>
                            </w:p>
                          </w:txbxContent>
                        </wps:txbx>
                        <wps:bodyPr rot="0" vert="horz" wrap="square" lIns="18000" tIns="0" rIns="18000" bIns="0" anchor="t" anchorCtr="0" upright="1">
                          <a:noAutofit/>
                        </wps:bodyPr>
                      </wps:wsp>
                      <wps:wsp>
                        <wps:cNvPr id="306" name="文本框 360"/>
                        <wps:cNvSpPr txBox="1">
                          <a:spLocks noChangeArrowheads="1"/>
                        </wps:cNvSpPr>
                        <wps:spPr bwMode="auto">
                          <a:xfrm>
                            <a:off x="5109" y="3481"/>
                            <a:ext cx="960" cy="462"/>
                          </a:xfrm>
                          <a:prstGeom prst="rect">
                            <a:avLst/>
                          </a:prstGeom>
                          <a:solidFill>
                            <a:srgbClr val="FFFFFF"/>
                          </a:solidFill>
                          <a:ln w="9525" cmpd="sng">
                            <a:solidFill>
                              <a:srgbClr val="000000"/>
                            </a:solidFill>
                            <a:miter lim="800000"/>
                          </a:ln>
                        </wps:spPr>
                        <wps:txbx>
                          <w:txbxContent>
                            <w:p w14:paraId="42C58DAF">
                              <w:pPr>
                                <w:spacing w:line="240" w:lineRule="auto"/>
                                <w:ind w:firstLine="0" w:firstLineChars="0"/>
                                <w:jc w:val="center"/>
                              </w:pPr>
                              <w:r>
                                <w:rPr>
                                  <w:rFonts w:hint="eastAsia"/>
                                </w:rPr>
                                <w:t>噪声</w:t>
                              </w:r>
                            </w:p>
                          </w:txbxContent>
                        </wps:txbx>
                        <wps:bodyPr rot="0" vert="horz" wrap="square" lIns="91440" tIns="45720" rIns="91440" bIns="45720" anchor="t" anchorCtr="0" upright="1">
                          <a:noAutofit/>
                        </wps:bodyPr>
                      </wps:wsp>
                      <wps:wsp>
                        <wps:cNvPr id="307" name="文本框 361"/>
                        <wps:cNvSpPr txBox="1">
                          <a:spLocks noChangeArrowheads="1"/>
                        </wps:cNvSpPr>
                        <wps:spPr bwMode="auto">
                          <a:xfrm>
                            <a:off x="2556" y="3475"/>
                            <a:ext cx="1080" cy="468"/>
                          </a:xfrm>
                          <a:prstGeom prst="rect">
                            <a:avLst/>
                          </a:prstGeom>
                          <a:solidFill>
                            <a:srgbClr val="FFFFFF"/>
                          </a:solidFill>
                          <a:ln w="9525" cmpd="sng">
                            <a:solidFill>
                              <a:srgbClr val="000000"/>
                            </a:solidFill>
                            <a:miter lim="800000"/>
                          </a:ln>
                        </wps:spPr>
                        <wps:txbx>
                          <w:txbxContent>
                            <w:p w14:paraId="59EBA731">
                              <w:pPr>
                                <w:spacing w:line="240" w:lineRule="auto"/>
                                <w:ind w:firstLine="0" w:firstLineChars="0"/>
                                <w:jc w:val="center"/>
                              </w:pPr>
                              <w:r>
                                <w:rPr>
                                  <w:rFonts w:hint="eastAsia"/>
                                </w:rPr>
                                <w:t>扬尘</w:t>
                              </w:r>
                            </w:p>
                          </w:txbxContent>
                        </wps:txbx>
                        <wps:bodyPr rot="0" vert="horz" wrap="square" lIns="91440" tIns="45720" rIns="91440" bIns="45720" anchor="t" anchorCtr="0" upright="1">
                          <a:noAutofit/>
                        </wps:bodyPr>
                      </wps:wsp>
                      <wps:wsp>
                        <wps:cNvPr id="308" name="文本框 362"/>
                        <wps:cNvSpPr txBox="1">
                          <a:spLocks noChangeArrowheads="1"/>
                        </wps:cNvSpPr>
                        <wps:spPr bwMode="auto">
                          <a:xfrm>
                            <a:off x="7356" y="3481"/>
                            <a:ext cx="2442" cy="468"/>
                          </a:xfrm>
                          <a:prstGeom prst="rect">
                            <a:avLst/>
                          </a:prstGeom>
                          <a:solidFill>
                            <a:srgbClr val="FFFFFF"/>
                          </a:solidFill>
                          <a:ln w="9525" cmpd="sng">
                            <a:solidFill>
                              <a:srgbClr val="000000"/>
                            </a:solidFill>
                            <a:miter lim="800000"/>
                          </a:ln>
                        </wps:spPr>
                        <wps:txbx>
                          <w:txbxContent>
                            <w:p w14:paraId="177DC2BC">
                              <w:pPr>
                                <w:spacing w:line="240" w:lineRule="auto"/>
                                <w:ind w:firstLine="0" w:firstLineChars="0"/>
                                <w:jc w:val="center"/>
                              </w:pPr>
                              <w:r>
                                <w:rPr>
                                  <w:rFonts w:hint="eastAsia"/>
                                </w:rPr>
                                <w:t>建筑材料堆放、运输</w:t>
                              </w:r>
                            </w:p>
                          </w:txbxContent>
                        </wps:txbx>
                        <wps:bodyPr rot="0" vert="horz" wrap="square" lIns="91440" tIns="45720" rIns="91440" bIns="45720" anchor="t" anchorCtr="0" upright="1">
                          <a:noAutofit/>
                        </wps:bodyPr>
                      </wps:wsp>
                      <wps:wsp>
                        <wps:cNvPr id="309" name="直线 363"/>
                        <wps:cNvCnPr>
                          <a:cxnSpLocks noChangeShapeType="1"/>
                        </wps:cNvCnPr>
                        <wps:spPr bwMode="auto">
                          <a:xfrm flipH="1">
                            <a:off x="5441" y="4968"/>
                            <a:ext cx="641" cy="693"/>
                          </a:xfrm>
                          <a:prstGeom prst="line">
                            <a:avLst/>
                          </a:prstGeom>
                          <a:noFill/>
                          <a:ln w="9525" cmpd="sng">
                            <a:solidFill>
                              <a:srgbClr val="000000"/>
                            </a:solidFill>
                            <a:prstDash val="dash"/>
                            <a:round/>
                            <a:tailEnd type="triangle" w="med" len="med"/>
                          </a:ln>
                        </wps:spPr>
                        <wps:bodyPr/>
                      </wps:wsp>
                      <wps:wsp>
                        <wps:cNvPr id="310" name="直线 364"/>
                        <wps:cNvCnPr>
                          <a:cxnSpLocks noChangeShapeType="1"/>
                        </wps:cNvCnPr>
                        <wps:spPr bwMode="auto">
                          <a:xfrm flipH="1">
                            <a:off x="5888" y="4985"/>
                            <a:ext cx="1780" cy="659"/>
                          </a:xfrm>
                          <a:prstGeom prst="line">
                            <a:avLst/>
                          </a:prstGeom>
                          <a:noFill/>
                          <a:ln w="9525" cmpd="sng">
                            <a:solidFill>
                              <a:srgbClr val="000000"/>
                            </a:solidFill>
                            <a:prstDash val="dash"/>
                            <a:round/>
                            <a:tailEnd type="triangle" w="med" len="med"/>
                          </a:ln>
                        </wps:spPr>
                        <wps:bodyPr/>
                      </wps:wsp>
                      <wps:wsp>
                        <wps:cNvPr id="311" name="直线 365"/>
                        <wps:cNvCnPr>
                          <a:cxnSpLocks noChangeShapeType="1"/>
                        </wps:cNvCnPr>
                        <wps:spPr bwMode="auto">
                          <a:xfrm flipH="1">
                            <a:off x="6458" y="5002"/>
                            <a:ext cx="2697" cy="644"/>
                          </a:xfrm>
                          <a:prstGeom prst="line">
                            <a:avLst/>
                          </a:prstGeom>
                          <a:noFill/>
                          <a:ln w="9525" cmpd="sng">
                            <a:solidFill>
                              <a:srgbClr val="000000"/>
                            </a:solidFill>
                            <a:prstDash val="dash"/>
                            <a:round/>
                            <a:tailEnd type="triangle" w="med" len="med"/>
                          </a:ln>
                        </wps:spPr>
                        <wps:bodyPr/>
                      </wps:wsp>
                      <wps:wsp>
                        <wps:cNvPr id="312" name="直线 366"/>
                        <wps:cNvCnPr>
                          <a:cxnSpLocks noChangeShapeType="1"/>
                        </wps:cNvCnPr>
                        <wps:spPr bwMode="auto">
                          <a:xfrm flipH="1" flipV="1">
                            <a:off x="3458" y="3958"/>
                            <a:ext cx="2579" cy="705"/>
                          </a:xfrm>
                          <a:prstGeom prst="line">
                            <a:avLst/>
                          </a:prstGeom>
                          <a:noFill/>
                          <a:ln w="9525" cmpd="sng">
                            <a:solidFill>
                              <a:srgbClr val="000000"/>
                            </a:solidFill>
                            <a:prstDash val="dash"/>
                            <a:round/>
                            <a:tailEnd type="triangle" w="med" len="med"/>
                          </a:ln>
                        </wps:spPr>
                        <wps:bodyPr/>
                      </wps:wsp>
                      <wps:wsp>
                        <wps:cNvPr id="313" name="直线 367"/>
                        <wps:cNvCnPr>
                          <a:cxnSpLocks noChangeShapeType="1"/>
                        </wps:cNvCnPr>
                        <wps:spPr bwMode="auto">
                          <a:xfrm>
                            <a:off x="4170" y="5005"/>
                            <a:ext cx="1082" cy="662"/>
                          </a:xfrm>
                          <a:prstGeom prst="line">
                            <a:avLst/>
                          </a:prstGeom>
                          <a:noFill/>
                          <a:ln w="9525" cmpd="sng">
                            <a:solidFill>
                              <a:srgbClr val="000000"/>
                            </a:solidFill>
                            <a:prstDash val="dash"/>
                            <a:round/>
                            <a:tailEnd type="triangle" w="med" len="med"/>
                          </a:ln>
                        </wps:spPr>
                        <wps:bodyPr/>
                      </wps:wsp>
                      <wps:wsp>
                        <wps:cNvPr id="314" name="直线 368"/>
                        <wps:cNvCnPr>
                          <a:cxnSpLocks noChangeShapeType="1"/>
                        </wps:cNvCnPr>
                        <wps:spPr bwMode="auto">
                          <a:xfrm flipV="1">
                            <a:off x="8511" y="3103"/>
                            <a:ext cx="2" cy="371"/>
                          </a:xfrm>
                          <a:prstGeom prst="line">
                            <a:avLst/>
                          </a:prstGeom>
                          <a:noFill/>
                          <a:ln w="9525" cmpd="sng">
                            <a:solidFill>
                              <a:srgbClr val="000000"/>
                            </a:solidFill>
                            <a:prstDash val="dash"/>
                            <a:round/>
                          </a:ln>
                        </wps:spPr>
                        <wps:bodyPr/>
                      </wps:wsp>
                      <wps:wsp>
                        <wps:cNvPr id="315" name="直线 369"/>
                        <wps:cNvCnPr>
                          <a:cxnSpLocks noChangeShapeType="1"/>
                        </wps:cNvCnPr>
                        <wps:spPr bwMode="auto">
                          <a:xfrm>
                            <a:off x="7944" y="3959"/>
                            <a:ext cx="1" cy="735"/>
                          </a:xfrm>
                          <a:prstGeom prst="line">
                            <a:avLst/>
                          </a:prstGeom>
                          <a:noFill/>
                          <a:ln w="9525" cmpd="sng">
                            <a:solidFill>
                              <a:srgbClr val="000000"/>
                            </a:solidFill>
                            <a:round/>
                            <a:tailEnd type="triangle" w="med" len="med"/>
                          </a:ln>
                        </wps:spPr>
                        <wps:bodyPr/>
                      </wps:wsp>
                      <wps:wsp>
                        <wps:cNvPr id="316" name="直线 370"/>
                        <wps:cNvCnPr>
                          <a:cxnSpLocks noChangeShapeType="1"/>
                        </wps:cNvCnPr>
                        <wps:spPr bwMode="auto">
                          <a:xfrm flipH="1" flipV="1">
                            <a:off x="5975" y="3943"/>
                            <a:ext cx="3135" cy="750"/>
                          </a:xfrm>
                          <a:prstGeom prst="line">
                            <a:avLst/>
                          </a:prstGeom>
                          <a:noFill/>
                          <a:ln w="9525" cmpd="sng">
                            <a:solidFill>
                              <a:srgbClr val="000000"/>
                            </a:solidFill>
                            <a:prstDash val="dash"/>
                            <a:round/>
                            <a:tailEnd type="triangle" w="med" len="med"/>
                          </a:ln>
                        </wps:spPr>
                        <wps:bodyPr/>
                      </wps:wsp>
                      <wps:wsp>
                        <wps:cNvPr id="317" name="直线 371"/>
                        <wps:cNvCnPr>
                          <a:cxnSpLocks noChangeShapeType="1"/>
                        </wps:cNvCnPr>
                        <wps:spPr bwMode="auto">
                          <a:xfrm flipH="1" flipV="1">
                            <a:off x="5753" y="3958"/>
                            <a:ext cx="1755" cy="734"/>
                          </a:xfrm>
                          <a:prstGeom prst="line">
                            <a:avLst/>
                          </a:prstGeom>
                          <a:noFill/>
                          <a:ln w="9525" cmpd="sng">
                            <a:solidFill>
                              <a:srgbClr val="000000"/>
                            </a:solidFill>
                            <a:prstDash val="dash"/>
                            <a:round/>
                            <a:tailEnd type="triangle" w="med" len="med"/>
                          </a:ln>
                        </wps:spPr>
                        <wps:bodyPr/>
                      </wps:wsp>
                      <wps:wsp>
                        <wps:cNvPr id="318" name="直线 372"/>
                        <wps:cNvCnPr>
                          <a:cxnSpLocks noChangeShapeType="1"/>
                        </wps:cNvCnPr>
                        <wps:spPr bwMode="auto">
                          <a:xfrm flipH="1" flipV="1">
                            <a:off x="5454" y="3937"/>
                            <a:ext cx="617" cy="726"/>
                          </a:xfrm>
                          <a:prstGeom prst="line">
                            <a:avLst/>
                          </a:prstGeom>
                          <a:noFill/>
                          <a:ln w="9525" cmpd="sng">
                            <a:solidFill>
                              <a:srgbClr val="000000"/>
                            </a:solidFill>
                            <a:prstDash val="dash"/>
                            <a:round/>
                            <a:tailEnd type="triangle" w="med" len="med"/>
                          </a:ln>
                        </wps:spPr>
                        <wps:bodyPr/>
                      </wps:wsp>
                      <wps:wsp>
                        <wps:cNvPr id="319" name="直线 373"/>
                        <wps:cNvCnPr>
                          <a:cxnSpLocks noChangeShapeType="1"/>
                        </wps:cNvCnPr>
                        <wps:spPr bwMode="auto">
                          <a:xfrm flipH="1" flipV="1">
                            <a:off x="3023" y="3958"/>
                            <a:ext cx="1229" cy="720"/>
                          </a:xfrm>
                          <a:prstGeom prst="line">
                            <a:avLst/>
                          </a:prstGeom>
                          <a:noFill/>
                          <a:ln w="9525" cmpd="sng">
                            <a:solidFill>
                              <a:srgbClr val="000000"/>
                            </a:solidFill>
                            <a:prstDash val="dash"/>
                            <a:round/>
                            <a:tailEnd type="triangle" w="med" len="med"/>
                          </a:ln>
                        </wps:spPr>
                        <wps:bodyPr/>
                      </wps:wsp>
                      <wps:wsp>
                        <wps:cNvPr id="320" name="直线 374"/>
                        <wps:cNvCnPr>
                          <a:cxnSpLocks noChangeShapeType="1"/>
                        </wps:cNvCnPr>
                        <wps:spPr bwMode="auto">
                          <a:xfrm flipV="1">
                            <a:off x="2601" y="3943"/>
                            <a:ext cx="2702" cy="729"/>
                          </a:xfrm>
                          <a:prstGeom prst="line">
                            <a:avLst/>
                          </a:prstGeom>
                          <a:noFill/>
                          <a:ln w="9525" cmpd="sng">
                            <a:solidFill>
                              <a:srgbClr val="000000"/>
                            </a:solidFill>
                            <a:prstDash val="dash"/>
                            <a:round/>
                            <a:tailEnd type="triangle" w="med" len="med"/>
                          </a:ln>
                        </wps:spPr>
                        <wps:bodyPr/>
                      </wps:wsp>
                      <wps:wsp>
                        <wps:cNvPr id="321" name="直线 375"/>
                        <wps:cNvCnPr>
                          <a:cxnSpLocks noChangeShapeType="1"/>
                        </wps:cNvCnPr>
                        <wps:spPr bwMode="auto">
                          <a:xfrm>
                            <a:off x="2497" y="4985"/>
                            <a:ext cx="2386" cy="658"/>
                          </a:xfrm>
                          <a:prstGeom prst="line">
                            <a:avLst/>
                          </a:prstGeom>
                          <a:noFill/>
                          <a:ln w="9525" cmpd="sng">
                            <a:solidFill>
                              <a:srgbClr val="000000"/>
                            </a:solidFill>
                            <a:prstDash val="dash"/>
                            <a:round/>
                            <a:tailEnd type="triangle" w="med" len="med"/>
                          </a:ln>
                        </wps:spPr>
                        <wps:bodyPr/>
                      </wps:wsp>
                      <wps:wsp>
                        <wps:cNvPr id="322" name="直线 376"/>
                        <wps:cNvCnPr>
                          <a:cxnSpLocks noChangeShapeType="1"/>
                        </wps:cNvCnPr>
                        <wps:spPr bwMode="auto">
                          <a:xfrm>
                            <a:off x="3111" y="3103"/>
                            <a:ext cx="5400" cy="1"/>
                          </a:xfrm>
                          <a:prstGeom prst="line">
                            <a:avLst/>
                          </a:prstGeom>
                          <a:noFill/>
                          <a:ln w="9525" cmpd="sng">
                            <a:solidFill>
                              <a:srgbClr val="000000"/>
                            </a:solidFill>
                            <a:prstDash val="dash"/>
                            <a:round/>
                          </a:ln>
                        </wps:spPr>
                        <wps:bodyPr/>
                      </wps:wsp>
                      <wps:wsp>
                        <wps:cNvPr id="323" name="直线 377"/>
                        <wps:cNvCnPr>
                          <a:cxnSpLocks noChangeShapeType="1"/>
                        </wps:cNvCnPr>
                        <wps:spPr bwMode="auto">
                          <a:xfrm>
                            <a:off x="3096" y="3103"/>
                            <a:ext cx="2" cy="360"/>
                          </a:xfrm>
                          <a:prstGeom prst="line">
                            <a:avLst/>
                          </a:prstGeom>
                          <a:noFill/>
                          <a:ln w="9525" cmpd="sng">
                            <a:solidFill>
                              <a:srgbClr val="000000"/>
                            </a:solidFill>
                            <a:prstDash val="dash"/>
                            <a:round/>
                            <a:tailEnd type="triangle" w="med" len="med"/>
                          </a:ln>
                        </wps:spPr>
                        <wps:bodyPr/>
                      </wps:wsp>
                      <wps:wsp>
                        <wps:cNvPr id="324" name="直线 378"/>
                        <wps:cNvCnPr>
                          <a:cxnSpLocks noChangeShapeType="1"/>
                        </wps:cNvCnPr>
                        <wps:spPr bwMode="auto">
                          <a:xfrm flipV="1">
                            <a:off x="2679" y="3912"/>
                            <a:ext cx="43" cy="766"/>
                          </a:xfrm>
                          <a:prstGeom prst="line">
                            <a:avLst/>
                          </a:prstGeom>
                          <a:noFill/>
                          <a:ln w="9525" cmpd="sng">
                            <a:solidFill>
                              <a:srgbClr val="000000"/>
                            </a:solidFill>
                            <a:prstDash val="dash"/>
                            <a:round/>
                            <a:tailEnd type="triangle" w="med" len="med"/>
                          </a:ln>
                        </wps:spPr>
                        <wps:bodyPr/>
                      </wps:wsp>
                      <wps:wsp>
                        <wps:cNvPr id="325" name="直线 379"/>
                        <wps:cNvCnPr>
                          <a:cxnSpLocks noChangeShapeType="1"/>
                        </wps:cNvCnPr>
                        <wps:spPr bwMode="auto">
                          <a:xfrm flipH="1" flipV="1">
                            <a:off x="6098" y="3719"/>
                            <a:ext cx="1258" cy="3"/>
                          </a:xfrm>
                          <a:prstGeom prst="line">
                            <a:avLst/>
                          </a:prstGeom>
                          <a:noFill/>
                          <a:ln w="9525" cmpd="sng">
                            <a:solidFill>
                              <a:srgbClr val="000000"/>
                            </a:solidFill>
                            <a:prstDash val="dash"/>
                            <a:round/>
                            <a:tailEnd type="triangle" w="med" len="med"/>
                          </a:ln>
                        </wps:spPr>
                        <wps:bodyPr/>
                      </wps:wsp>
                      <wps:wsp>
                        <wps:cNvPr id="326" name="直线 380"/>
                        <wps:cNvCnPr>
                          <a:cxnSpLocks noChangeShapeType="1"/>
                        </wps:cNvCnPr>
                        <wps:spPr bwMode="auto">
                          <a:xfrm flipV="1">
                            <a:off x="4230" y="3924"/>
                            <a:ext cx="1200" cy="726"/>
                          </a:xfrm>
                          <a:prstGeom prst="line">
                            <a:avLst/>
                          </a:prstGeom>
                          <a:noFill/>
                          <a:ln w="9525" cmpd="sng">
                            <a:solidFill>
                              <a:srgbClr val="000000"/>
                            </a:solidFill>
                            <a:prstDash val="dash"/>
                            <a:round/>
                            <a:tailEnd type="triangle" w="med" len="med"/>
                          </a:ln>
                        </wps:spPr>
                        <wps:bodyPr/>
                      </wps:wsp>
                    </wpg:wgp>
                  </a:graphicData>
                </a:graphic>
              </wp:anchor>
            </w:drawing>
          </mc:Choice>
          <mc:Fallback>
            <w:pict>
              <v:group id="_x0000_s1026" o:spid="_x0000_s1026" o:spt="203" style="position:absolute;left:0pt;margin-left:27.1pt;margin-top:2.1pt;height:142.9pt;width:386.85pt;z-index:251659264;mso-width-relative:page;mso-height-relative:page;" coordorigin="2061,3103" coordsize="7737,2858" o:gfxdata="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">
                <o:lock v:ext="edit" aspectratio="f"/>
                <v:shape id="文本框 354" o:spid="_x0000_s1026" o:spt="202" type="#_x0000_t202" style="position:absolute;left:4116;top:5663;height:298;width:3420;" fillcolor="#FFFFFF" filled="t" stroked="t" coordsize="21600,21600" o:gfxdata="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QVcC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0.5mm,0mm,0.5mm,0mm">
                    <w:txbxContent>
                      <w:p w14:paraId="613BA231">
                        <w:pPr>
                          <w:spacing w:line="240" w:lineRule="auto"/>
                          <w:ind w:firstLine="0" w:firstLineChars="0"/>
                          <w:jc w:val="center"/>
                        </w:pPr>
                        <w:r>
                          <w:rPr>
                            <w:rFonts w:hint="eastAsia"/>
                          </w:rPr>
                          <w:t>建筑垃圾、生活垃圾、生活废水</w:t>
                        </w:r>
                      </w:p>
                      <w:p w14:paraId="3F44C025">
                        <w:pPr>
                          <w:ind w:firstLine="480"/>
                        </w:pPr>
                      </w:p>
                    </w:txbxContent>
                  </v:textbox>
                </v:shape>
                <v:shape id="文本框 355" o:spid="_x0000_s1026" o:spt="202" type="#_x0000_t202" style="position:absolute;left:3471;top:4678;height:312;width:1260;" fillcolor="#FFFFFF" filled="t" stroked="t" coordsize="21600,21600" o:gfxdata="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n5k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290CEE2B">
                        <w:pPr>
                          <w:spacing w:line="240" w:lineRule="auto"/>
                          <w:ind w:firstLine="0" w:firstLineChars="0"/>
                          <w:jc w:val="center"/>
                        </w:pPr>
                        <w:r>
                          <w:rPr>
                            <w:rFonts w:hint="eastAsia"/>
                          </w:rPr>
                          <w:t>土方开挖</w:t>
                        </w:r>
                      </w:p>
                    </w:txbxContent>
                  </v:textbox>
                </v:shape>
                <v:shape id="文本框 356" o:spid="_x0000_s1026" o:spt="202" type="#_x0000_t202" style="position:absolute;left:5436;top:4672;height:298;width:1260;" fillcolor="#FFFFFF" filled="t" stroked="t" coordsize="21600,21600" o:gfxdata="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tn5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19703EDF">
                        <w:pPr>
                          <w:spacing w:line="240" w:lineRule="auto"/>
                          <w:ind w:firstLine="0" w:firstLineChars="0"/>
                          <w:jc w:val="center"/>
                        </w:pPr>
                        <w:r>
                          <w:rPr>
                            <w:rFonts w:hint="eastAsia"/>
                          </w:rPr>
                          <w:t>道路修筑</w:t>
                        </w:r>
                      </w:p>
                    </w:txbxContent>
                  </v:textbox>
                </v:shape>
                <v:shape id="文本框 357" o:spid="_x0000_s1026" o:spt="202" type="#_x0000_t202" style="position:absolute;left:7146;top:4687;height:298;width:1260;" fillcolor="#FFFFFF" filled="t" stroked="t" coordsize="21600,21600" o:gfxdata="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dfCf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2EC7CFB1">
                        <w:pPr>
                          <w:spacing w:line="240" w:lineRule="auto"/>
                          <w:ind w:firstLine="0" w:firstLineChars="0"/>
                          <w:jc w:val="center"/>
                        </w:pPr>
                        <w:r>
                          <w:rPr>
                            <w:rFonts w:hint="eastAsia"/>
                          </w:rPr>
                          <w:t>房屋建筑</w:t>
                        </w:r>
                      </w:p>
                    </w:txbxContent>
                  </v:textbox>
                </v:shape>
                <v:shape id="文本框 358" o:spid="_x0000_s1026" o:spt="202" type="#_x0000_t202" style="position:absolute;left:8856;top:4702;height:296;width:720;" fillcolor="#FFFFFF" filled="t" stroked="t" coordsize="21600,21600" o:gfxdata="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Wgq/&#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5mm,0mm,0.5mm,0mm">
                    <w:txbxContent>
                      <w:p w14:paraId="65A27D00">
                        <w:pPr>
                          <w:spacing w:line="240" w:lineRule="auto"/>
                          <w:ind w:firstLine="0" w:firstLineChars="0"/>
                          <w:jc w:val="center"/>
                        </w:pPr>
                        <w:r>
                          <w:rPr>
                            <w:rFonts w:hint="eastAsia"/>
                          </w:rPr>
                          <w:t>装修</w:t>
                        </w:r>
                      </w:p>
                    </w:txbxContent>
                  </v:textbox>
                </v:shape>
                <v:shape id="文本框 359" o:spid="_x0000_s1026" o:spt="202" type="#_x0000_t202" style="position:absolute;left:2061;top:4672;height:312;width:1080;" fillcolor="#FFFFFF" filled="t" stroked="t" coordsize="21600,21600" o:gfxdata="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L/k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5mm,0mm,0.5mm,0mm">
                    <w:txbxContent>
                      <w:p w14:paraId="43F22E64">
                        <w:pPr>
                          <w:spacing w:line="240" w:lineRule="auto"/>
                          <w:ind w:firstLine="0" w:firstLineChars="0"/>
                          <w:jc w:val="center"/>
                        </w:pPr>
                        <w:r>
                          <w:rPr>
                            <w:rFonts w:hint="eastAsia"/>
                          </w:rPr>
                          <w:t>场地平整</w:t>
                        </w:r>
                      </w:p>
                    </w:txbxContent>
                  </v:textbox>
                </v:shape>
                <v:shape id="文本框 360" o:spid="_x0000_s1026" o:spt="202" type="#_x0000_t202" style="position:absolute;left:5109;top:3481;height:462;width:960;" fillcolor="#FFFFFF" filled="t" stroked="t" coordsize="21600,21600" o:gfxdata="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9op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42C58DAF">
                        <w:pPr>
                          <w:spacing w:line="240" w:lineRule="auto"/>
                          <w:ind w:firstLine="0" w:firstLineChars="0"/>
                          <w:jc w:val="center"/>
                        </w:pPr>
                        <w:r>
                          <w:rPr>
                            <w:rFonts w:hint="eastAsia"/>
                          </w:rPr>
                          <w:t>噪声</w:t>
                        </w:r>
                      </w:p>
                    </w:txbxContent>
                  </v:textbox>
                </v:shape>
                <v:shape id="文本框 361" o:spid="_x0000_s1026" o:spt="202" type="#_x0000_t202" style="position:absolute;left:2556;top:3475;height:468;width:1080;" fillcolor="#FFFFFF" filled="t" stroked="t" coordsize="21600,21600" o:gfxdata="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PNP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9EBA731">
                        <w:pPr>
                          <w:spacing w:line="240" w:lineRule="auto"/>
                          <w:ind w:firstLine="0" w:firstLineChars="0"/>
                          <w:jc w:val="center"/>
                        </w:pPr>
                        <w:r>
                          <w:rPr>
                            <w:rFonts w:hint="eastAsia"/>
                          </w:rPr>
                          <w:t>扬尘</w:t>
                        </w:r>
                      </w:p>
                    </w:txbxContent>
                  </v:textbox>
                </v:shape>
                <v:shape id="文本框 362" o:spid="_x0000_s1026" o:spt="202" type="#_x0000_t202" style="position:absolute;left:7356;top:3481;height:468;width:2442;" fillcolor="#FFFFFF" filled="t" stroked="t" coordsize="21600,21600" o:gfxdata="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xZT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177DC2BC">
                        <w:pPr>
                          <w:spacing w:line="240" w:lineRule="auto"/>
                          <w:ind w:firstLine="0" w:firstLineChars="0"/>
                          <w:jc w:val="center"/>
                        </w:pPr>
                        <w:r>
                          <w:rPr>
                            <w:rFonts w:hint="eastAsia"/>
                          </w:rPr>
                          <w:t>建筑材料堆放、运输</w:t>
                        </w:r>
                      </w:p>
                    </w:txbxContent>
                  </v:textbox>
                </v:shape>
                <v:line id="直线 363" o:spid="_x0000_s1026" o:spt="20" style="position:absolute;left:5441;top:4968;flip:x;height:693;width:641;" filled="f" stroked="t" coordsize="21600,21600" o:gfxdata="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oCb68AAAA&#10;3AAAAA8AAAAAAAAAAQAgAAAAIgAAAGRycy9kb3ducmV2LnhtbFBLAQIUABQAAAAIAIdO4kAzLwWe&#10;OwAAADkAAAAQAAAAAAAAAAEAIAAAAAsBAABkcnMvc2hhcGV4bWwueG1sUEsFBgAAAAAGAAYAWwEA&#10;ALUDAAAAAA==&#10;">
                  <v:fill on="f" focussize="0,0"/>
                  <v:stroke color="#000000" joinstyle="round" dashstyle="dash" endarrow="block"/>
                  <v:imagedata o:title=""/>
                  <o:lock v:ext="edit" aspectratio="f"/>
                </v:line>
                <v:line id="直线 364" o:spid="_x0000_s1026" o:spt="20" style="position:absolute;left:5888;top:4985;flip:x;height:659;width:1780;" filled="f" stroked="t" coordsize="21600,21600" o:gfxdata="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Us2/rgAAADcAAAA&#10;DwAAAAAAAAABACAAAAAiAAAAZHJzL2Rvd25yZXYueG1sUEsBAhQAFAAAAAgAh07iQDMvBZ47AAAA&#10;OQAAABAAAAAAAAAAAQAgAAAABwEAAGRycy9zaGFwZXhtbC54bWxQSwUGAAAAAAYABgBbAQAAsQMA&#10;AAAA&#10;">
                  <v:fill on="f" focussize="0,0"/>
                  <v:stroke color="#000000" joinstyle="round" dashstyle="dash" endarrow="block"/>
                  <v:imagedata o:title=""/>
                  <o:lock v:ext="edit" aspectratio="f"/>
                </v:line>
                <v:line id="直线 365" o:spid="_x0000_s1026" o:spt="20" style="position:absolute;left:6458;top:5002;flip:x;height:644;width:2697;" filled="f" stroked="t" coordsize="21600,21600" o:gfxdata="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B5Nl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66" o:spid="_x0000_s1026" o:spt="20" style="position:absolute;left:3458;top:3958;flip:x y;height:705;width:2579;" filled="f" stroked="t" coordsize="21600,21600" o:gfxdata="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5F/V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67" o:spid="_x0000_s1026" o:spt="20" style="position:absolute;left:4170;top:5005;height:662;width:1082;" filled="f" stroked="t" coordsize="21600,21600" o:gfxdata="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1g/Kd&#10;wAAAANwAAAAPAAAAAAAAAAEAIAAAACIAAABkcnMvZG93bnJldi54bWxQSwECFAAUAAAACACHTuJA&#10;My8FnjsAAAA5AAAAEAAAAAAAAAABACAAAAAPAQAAZHJzL3NoYXBleG1sLnhtbFBLBQYAAAAABgAG&#10;AFsBAAC5AwAAAAA=&#10;">
                  <v:fill on="f" focussize="0,0"/>
                  <v:stroke color="#000000" joinstyle="round" dashstyle="dash" endarrow="block"/>
                  <v:imagedata o:title=""/>
                  <o:lock v:ext="edit" aspectratio="f"/>
                </v:line>
                <v:line id="直线 368" o:spid="_x0000_s1026" o:spt="20" style="position:absolute;left:8511;top:3103;flip:y;height:371;width:2;" filled="f" stroked="t" coordsize="21600,21600" o:gfxdata="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loVxLsAAADc&#10;AAAADwAAAAAAAAABACAAAAAiAAAAZHJzL2Rvd25yZXYueG1sUEsBAhQAFAAAAAgAh07iQDMvBZ47&#10;AAAAOQAAABAAAAAAAAAAAQAgAAAACgEAAGRycy9zaGFwZXhtbC54bWxQSwUGAAAAAAYABgBbAQAA&#10;tAMAAAAA&#10;">
                  <v:fill on="f" focussize="0,0"/>
                  <v:stroke color="#000000" joinstyle="round" dashstyle="dash"/>
                  <v:imagedata o:title=""/>
                  <o:lock v:ext="edit" aspectratio="f"/>
                </v:line>
                <v:line id="直线 369" o:spid="_x0000_s1026" o:spt="20" style="position:absolute;left:7944;top:3959;height:735;width:1;" filled="f" stroked="t" coordsize="21600,21600" o:gfxdata="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16US&#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370" o:spid="_x0000_s1026" o:spt="20" style="position:absolute;left:5975;top:3943;flip:x y;height:750;width:3135;" filled="f" stroked="t" coordsize="21600,21600" o:gfxdata="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31nW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71" o:spid="_x0000_s1026" o:spt="20" style="position:absolute;left:5753;top:3958;flip:x y;height:734;width:1755;" filled="f" stroked="t" coordsize="21600,21600" o:gfxdata="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k/xN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72" o:spid="_x0000_s1026" o:spt="20" style="position:absolute;left:5454;top:3937;flip:x y;height:726;width:617;" filled="f" stroked="t" coordsize="21600,21600" o:gfxdata="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0MaD+5AAAA3AAA&#10;AA8AAAAAAAAAAQAgAAAAIgAAAGRycy9kb3ducmV2LnhtbFBLAQIUABQAAAAIAIdO4kAzLwWeOwAA&#10;ADkAAAAQAAAAAAAAAAEAIAAAAAgBAABkcnMvc2hhcGV4bWwueG1sUEsFBgAAAAAGAAYAWwEAALID&#10;AAAAAA==&#10;">
                  <v:fill on="f" focussize="0,0"/>
                  <v:stroke color="#000000" joinstyle="round" dashstyle="dash" endarrow="block"/>
                  <v:imagedata o:title=""/>
                  <o:lock v:ext="edit" aspectratio="f"/>
                </v:line>
                <v:line id="直线 373" o:spid="_x0000_s1026" o:spt="20" style="position:absolute;left:3023;top:3958;flip:x y;height:720;width:1229;" filled="f" stroked="t" coordsize="21600,21600" o:gfxdata="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QM2k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74" o:spid="_x0000_s1026" o:spt="20" style="position:absolute;left:2601;top:3943;flip:y;height:729;width:2702;" filled="f" stroked="t" coordsize="21600,21600" o:gfxdata="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dyf8Q7UAAADcAAAADwAA&#10;AAAAAAABACAAAAAiAAAAZHJzL2Rvd25yZXYueG1sUEsBAhQAFAAAAAgAh07iQDMvBZ47AAAAOQAA&#10;ABAAAAAAAAAAAQAgAAAABAEAAGRycy9zaGFwZXhtbC54bWxQSwUGAAAAAAYABgBbAQAArgMAAAAA&#10;">
                  <v:fill on="f" focussize="0,0"/>
                  <v:stroke color="#000000" joinstyle="round" dashstyle="dash" endarrow="block"/>
                  <v:imagedata o:title=""/>
                  <o:lock v:ext="edit" aspectratio="f"/>
                </v:line>
                <v:line id="直线 375" o:spid="_x0000_s1026" o:spt="20" style="position:absolute;left:2497;top:4985;height:658;width:2386;" filled="f" stroked="t" coordsize="21600,21600" o:gfxdata="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pHED&#10;zMEAAADcAAAADwAAAAAAAAABACAAAAAiAAAAZHJzL2Rvd25yZXYueG1sUEsBAhQAFAAAAAgAh07i&#10;QDMvBZ47AAAAOQAAABAAAAAAAAAAAQAgAAAAEAEAAGRycy9zaGFwZXhtbC54bWxQSwUGAAAAAAYA&#10;BgBbAQAAugMAAAAA&#10;">
                  <v:fill on="f" focussize="0,0"/>
                  <v:stroke color="#000000" joinstyle="round" dashstyle="dash" endarrow="block"/>
                  <v:imagedata o:title=""/>
                  <o:lock v:ext="edit" aspectratio="f"/>
                </v:line>
                <v:line id="直线 376" o:spid="_x0000_s1026" o:spt="20" style="position:absolute;left:3111;top:3103;height:1;width:5400;" filled="f" stroked="t" coordsize="21600,21600" o:gfxdata="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h89b4A&#10;AADc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line>
                <v:line id="直线 377" o:spid="_x0000_s1026" o:spt="20" style="position:absolute;left:3096;top:3103;height:360;width:2;" filled="f" stroked="t" coordsize="21600,21600" o:gfxdata="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O+84&#10;IMEAAADcAAAADwAAAAAAAAABACAAAAAiAAAAZHJzL2Rvd25yZXYueG1sUEsBAhQAFAAAAAgAh07i&#10;QDMvBZ47AAAAOQAAABAAAAAAAAAAAQAgAAAAEAEAAGRycy9zaGFwZXhtbC54bWxQSwUGAAAAAAYA&#10;BgBbAQAAugMAAAAA&#10;">
                  <v:fill on="f" focussize="0,0"/>
                  <v:stroke color="#000000" joinstyle="round" dashstyle="dash" endarrow="block"/>
                  <v:imagedata o:title=""/>
                  <o:lock v:ext="edit" aspectratio="f"/>
                </v:line>
                <v:line id="直线 378" o:spid="_x0000_s1026" o:spt="20" style="position:absolute;left:2679;top:3912;flip:y;height:766;width:43;" filled="f" stroked="t" coordsize="21600,21600" o:gfxdata="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HPpAugAAANw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line>
                <v:line id="直线 379" o:spid="_x0000_s1026" o:spt="20" style="position:absolute;left:6098;top:3719;flip:x y;height:3;width:1258;" filled="f" stroked="t" coordsize="21600,21600" o:gfxdata="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YQ0c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line id="直线 380" o:spid="_x0000_s1026" o:spt="20" style="position:absolute;left:4230;top:3924;flip:y;height:726;width:1200;" filled="f" stroked="t" coordsize="21600,21600" o:gfxdata="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gsGsvQAA&#10;ANwAAAAPAAAAAAAAAAEAIAAAACIAAABkcnMvZG93bnJldi54bWxQSwECFAAUAAAACACHTuJAMy8F&#10;njsAAAA5AAAAEAAAAAAAAAABACAAAAAMAQAAZHJzL3NoYXBleG1sLnhtbFBLBQYAAAAABgAGAFsB&#10;AAC2AwAAAAA=&#10;">
                  <v:fill on="f" focussize="0,0"/>
                  <v:stroke color="#000000" joinstyle="round" dashstyle="dash" endarrow="block"/>
                  <v:imagedata o:title=""/>
                  <o:lock v:ext="edit" aspectratio="f"/>
                </v:line>
              </v:group>
            </w:pict>
          </mc:Fallback>
        </mc:AlternateContent>
      </w:r>
    </w:p>
    <w:p w14:paraId="1504022F">
      <w:pPr>
        <w:adjustRightInd w:val="0"/>
        <w:snapToGrid w:val="0"/>
        <w:spacing w:line="240" w:lineRule="auto"/>
        <w:ind w:firstLine="0" w:firstLineChars="0"/>
        <w:jc w:val="center"/>
        <w:rPr>
          <w:rFonts w:ascii="Times New Roman" w:hAnsi="Times New Roman" w:eastAsia="宋体"/>
          <w:b/>
          <w:bCs/>
          <w:strike w:val="0"/>
          <w:dstrike w:val="0"/>
          <w:color w:val="auto"/>
          <w:highlight w:val="none"/>
        </w:rPr>
      </w:pPr>
    </w:p>
    <w:p w14:paraId="6308B1C7">
      <w:pPr>
        <w:adjustRightInd w:val="0"/>
        <w:snapToGrid w:val="0"/>
        <w:ind w:firstLine="482"/>
        <w:jc w:val="center"/>
        <w:rPr>
          <w:rFonts w:ascii="Times New Roman" w:hAnsi="Times New Roman" w:eastAsia="宋体"/>
          <w:b/>
          <w:bCs/>
          <w:strike w:val="0"/>
          <w:dstrike w:val="0"/>
          <w:color w:val="auto"/>
          <w:highlight w:val="none"/>
        </w:rPr>
      </w:pPr>
    </w:p>
    <w:p w14:paraId="1CF8FBC8">
      <w:pPr>
        <w:adjustRightInd w:val="0"/>
        <w:snapToGrid w:val="0"/>
        <w:ind w:firstLine="482"/>
        <w:jc w:val="center"/>
        <w:rPr>
          <w:rFonts w:ascii="Times New Roman" w:hAnsi="Times New Roman" w:eastAsia="宋体"/>
          <w:b/>
          <w:bCs/>
          <w:strike w:val="0"/>
          <w:dstrike w:val="0"/>
          <w:color w:val="auto"/>
          <w:highlight w:val="none"/>
        </w:rPr>
      </w:pPr>
    </w:p>
    <w:p w14:paraId="616B0E14">
      <w:pPr>
        <w:adjustRightInd w:val="0"/>
        <w:snapToGrid w:val="0"/>
        <w:ind w:firstLine="482"/>
        <w:jc w:val="center"/>
        <w:rPr>
          <w:rFonts w:ascii="Times New Roman" w:hAnsi="Times New Roman" w:eastAsia="宋体"/>
          <w:b/>
          <w:bCs/>
          <w:strike w:val="0"/>
          <w:dstrike w:val="0"/>
          <w:color w:val="auto"/>
          <w:highlight w:val="none"/>
        </w:rPr>
      </w:pPr>
    </w:p>
    <w:p w14:paraId="43C291EF">
      <w:pPr>
        <w:adjustRightInd w:val="0"/>
        <w:snapToGrid w:val="0"/>
        <w:ind w:firstLine="482"/>
        <w:jc w:val="center"/>
        <w:rPr>
          <w:rFonts w:ascii="Times New Roman" w:hAnsi="Times New Roman" w:eastAsia="宋体"/>
          <w:b/>
          <w:bCs/>
          <w:strike w:val="0"/>
          <w:dstrike w:val="0"/>
          <w:color w:val="auto"/>
          <w:highlight w:val="none"/>
        </w:rPr>
      </w:pPr>
    </w:p>
    <w:p w14:paraId="23FD85E7">
      <w:pPr>
        <w:adjustRightInd w:val="0"/>
        <w:snapToGrid w:val="0"/>
        <w:ind w:firstLine="482"/>
        <w:jc w:val="center"/>
        <w:rPr>
          <w:rFonts w:ascii="Times New Roman" w:hAnsi="Times New Roman" w:eastAsia="宋体"/>
          <w:b/>
          <w:bCs/>
          <w:strike w:val="0"/>
          <w:dstrike w:val="0"/>
          <w:color w:val="auto"/>
          <w:highlight w:val="none"/>
        </w:rPr>
      </w:pPr>
    </w:p>
    <w:p w14:paraId="78843C2E">
      <w:pPr>
        <w:spacing w:line="240" w:lineRule="auto"/>
        <w:ind w:firstLine="0" w:firstLineChars="0"/>
        <w:jc w:val="center"/>
        <w:rPr>
          <w:rFonts w:ascii="Times New Roman" w:hAnsi="Times New Roman" w:eastAsia="宋体"/>
          <w:strike w:val="0"/>
          <w:dstrike w:val="0"/>
          <w:color w:val="auto"/>
          <w:highlight w:val="none"/>
        </w:rPr>
      </w:pPr>
    </w:p>
    <w:p w14:paraId="7C71A9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图3.2-1施工期工艺流程及产污环节图</w:t>
      </w:r>
    </w:p>
    <w:p w14:paraId="5CE7A2FB">
      <w:pPr>
        <w:pStyle w:val="4"/>
        <w:rPr>
          <w:rFonts w:ascii="Times New Roman" w:hAnsi="Times New Roman" w:eastAsia="宋体"/>
          <w:strike w:val="0"/>
          <w:dstrike w:val="0"/>
          <w:color w:val="auto"/>
          <w:highlight w:val="none"/>
        </w:rPr>
      </w:pPr>
      <w:bookmarkStart w:id="138" w:name="_Toc106663469"/>
      <w:bookmarkStart w:id="139" w:name="_Toc899"/>
      <w:r>
        <w:rPr>
          <w:rFonts w:hint="eastAsia" w:ascii="Times New Roman" w:hAnsi="Times New Roman" w:eastAsia="宋体"/>
          <w:strike w:val="0"/>
          <w:dstrike w:val="0"/>
          <w:color w:val="auto"/>
          <w:highlight w:val="none"/>
        </w:rPr>
        <w:t>3.2.2运营期工艺流程及产污节点</w:t>
      </w:r>
      <w:bookmarkEnd w:id="138"/>
      <w:bookmarkEnd w:id="139"/>
    </w:p>
    <w:p w14:paraId="422D26FB">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3.2.2.1养殖工艺流程及产污环节</w:t>
      </w:r>
    </w:p>
    <w:p w14:paraId="21C9B79A">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b/>
          <w:bCs/>
          <w:strike w:val="0"/>
          <w:dstrike w:val="0"/>
          <w:color w:val="auto"/>
          <w:spacing w:val="0"/>
          <w:position w:val="0"/>
          <w:sz w:val="24"/>
          <w:szCs w:val="24"/>
          <w:highlight w:val="none"/>
        </w:rPr>
      </w:pPr>
      <w:r>
        <w:rPr>
          <w:rFonts w:ascii="Times New Roman" w:hAnsi="Times New Roman" w:eastAsia="宋体" w:cs="Times New Roman"/>
          <w:b/>
          <w:bCs/>
          <w:strike w:val="0"/>
          <w:dstrike w:val="0"/>
          <w:color w:val="auto"/>
          <w:spacing w:val="0"/>
          <w:position w:val="0"/>
          <w:sz w:val="24"/>
          <w:szCs w:val="24"/>
          <w:highlight w:val="none"/>
        </w:rPr>
        <w:t>1</w:t>
      </w:r>
      <w:r>
        <w:rPr>
          <w:rFonts w:ascii="Times New Roman" w:hAnsi="Times New Roman" w:eastAsia="宋体" w:cs="宋体"/>
          <w:b/>
          <w:bCs/>
          <w:strike w:val="0"/>
          <w:dstrike w:val="0"/>
          <w:color w:val="auto"/>
          <w:spacing w:val="0"/>
          <w:position w:val="0"/>
          <w:sz w:val="24"/>
          <w:szCs w:val="24"/>
          <w:highlight w:val="none"/>
        </w:rPr>
        <w:t>、养殖工艺</w:t>
      </w:r>
    </w:p>
    <w:p w14:paraId="0DDCD98E">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本项目建成共养殖1015峰骆驼</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工艺流程及产污节点见图3.2-2。</w:t>
      </w:r>
    </w:p>
    <w:p w14:paraId="59CD56A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b/>
          <w:bCs/>
          <w:strike w:val="0"/>
          <w:dstrike w:val="0"/>
          <w:color w:val="auto"/>
          <w:highlight w:val="none"/>
          <w:lang w:val="en-US" w:eastAsia="zh-CN"/>
        </w:rPr>
      </w:pPr>
      <w:r>
        <w:rPr>
          <w:rFonts w:ascii="Times New Roman" w:hAnsi="Times New Roman" w:eastAsia="宋体"/>
          <w:color w:val="auto"/>
        </w:rPr>
        <w:drawing>
          <wp:inline distT="0" distB="0" distL="114300" distR="114300">
            <wp:extent cx="5273675" cy="3971925"/>
            <wp:effectExtent l="0" t="0" r="3175" b="9525"/>
            <wp:docPr id="3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
                    <pic:cNvPicPr>
                      <a:picLocks noChangeAspect="1"/>
                    </pic:cNvPicPr>
                  </pic:nvPicPr>
                  <pic:blipFill>
                    <a:blip r:embed="rId32"/>
                    <a:stretch>
                      <a:fillRect/>
                    </a:stretch>
                  </pic:blipFill>
                  <pic:spPr>
                    <a:xfrm>
                      <a:off x="0" y="0"/>
                      <a:ext cx="5273675" cy="3971925"/>
                    </a:xfrm>
                    <a:prstGeom prst="rect">
                      <a:avLst/>
                    </a:prstGeom>
                    <a:noFill/>
                    <a:ln>
                      <a:noFill/>
                    </a:ln>
                  </pic:spPr>
                </pic:pic>
              </a:graphicData>
            </a:graphic>
          </wp:inline>
        </w:drawing>
      </w:r>
      <w:r>
        <w:rPr>
          <w:rFonts w:hint="eastAsia" w:ascii="Times New Roman" w:hAnsi="Times New Roman" w:eastAsia="宋体"/>
          <w:b/>
          <w:bCs/>
          <w:strike w:val="0"/>
          <w:dstrike w:val="0"/>
          <w:color w:val="auto"/>
          <w:highlight w:val="none"/>
          <w:lang w:val="en-US" w:eastAsia="zh-CN"/>
        </w:rPr>
        <w:t>图3.2-2运营期工艺流程及产污环节图</w:t>
      </w:r>
    </w:p>
    <w:p w14:paraId="0024A0E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1</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骆驼防疫</w:t>
      </w:r>
    </w:p>
    <w:p w14:paraId="31ABFED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default" w:ascii="Times New Roman" w:hAnsi="Times New Roman" w:eastAsia="宋体" w:cs="Times New Roman"/>
          <w:strike w:val="0"/>
          <w:dstrike w:val="0"/>
          <w:color w:val="auto"/>
          <w:spacing w:val="0"/>
          <w:position w:val="0"/>
          <w:sz w:val="24"/>
          <w:szCs w:val="24"/>
          <w:highlight w:val="none"/>
          <w:lang w:val="en-US" w:eastAsia="zh-CN"/>
        </w:rPr>
        <w:t>防疫工作是一项复杂的系统工程，它涉及从生产到销售，从场内到场外的所有过程</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因此，必须把防疫工作纳入正常的管理，建立由兽医人员监督执行、全体人员参加的全防体系</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如建立①科学的程序消毒，这是切断传播途径的重要措施，目的在于杀灭外界环境中存在的各种病原体</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②人员进出登记工作和洗澡更衣记录</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③尽量实行全进全出制</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hint="default" w:ascii="Times New Roman" w:hAnsi="Times New Roman" w:eastAsia="宋体" w:cs="Times New Roman"/>
          <w:strike w:val="0"/>
          <w:dstrike w:val="0"/>
          <w:color w:val="auto"/>
          <w:spacing w:val="0"/>
          <w:position w:val="0"/>
          <w:sz w:val="24"/>
          <w:szCs w:val="24"/>
          <w:highlight w:val="none"/>
          <w:lang w:val="en-US" w:eastAsia="zh-CN"/>
        </w:rPr>
        <w:t>④进行预防接种，目前公司已建立起防疫的规章制度</w:t>
      </w:r>
      <w:r>
        <w:rPr>
          <w:rFonts w:hint="eastAsia" w:ascii="Times New Roman" w:hAnsi="Times New Roman" w:eastAsia="宋体" w:cs="Times New Roman"/>
          <w:strike w:val="0"/>
          <w:dstrike w:val="0"/>
          <w:color w:val="auto"/>
          <w:spacing w:val="0"/>
          <w:position w:val="0"/>
          <w:sz w:val="24"/>
          <w:szCs w:val="24"/>
          <w:highlight w:val="none"/>
          <w:lang w:val="en-US" w:eastAsia="zh-CN"/>
        </w:rPr>
        <w:t>。</w:t>
      </w:r>
    </w:p>
    <w:p w14:paraId="60CCE1A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2</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饲养管理办法</w:t>
      </w:r>
    </w:p>
    <w:p w14:paraId="156E7520">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Times New Roman"/>
          <w:strike w:val="0"/>
          <w:dstrike w:val="0"/>
          <w:color w:val="auto"/>
          <w:spacing w:val="0"/>
          <w:position w:val="0"/>
          <w:sz w:val="24"/>
          <w:szCs w:val="24"/>
          <w:highlight w:val="none"/>
          <w:lang w:eastAsia="zh-CN"/>
        </w:rPr>
      </w:pPr>
      <w:r>
        <w:rPr>
          <w:rFonts w:hint="eastAsia" w:ascii="Times New Roman" w:hAnsi="Times New Roman" w:eastAsia="宋体" w:cs="Times New Roman"/>
          <w:strike w:val="0"/>
          <w:dstrike w:val="0"/>
          <w:color w:val="auto"/>
          <w:spacing w:val="0"/>
          <w:position w:val="0"/>
          <w:sz w:val="24"/>
          <w:szCs w:val="24"/>
          <w:highlight w:val="none"/>
        </w:rPr>
        <w:t>本项目</w:t>
      </w:r>
      <w:r>
        <w:rPr>
          <w:rFonts w:hint="eastAsia" w:ascii="Times New Roman" w:hAnsi="Times New Roman" w:eastAsia="宋体" w:cs="Times New Roman"/>
          <w:strike w:val="0"/>
          <w:dstrike w:val="0"/>
          <w:color w:val="auto"/>
          <w:spacing w:val="0"/>
          <w:position w:val="0"/>
          <w:sz w:val="24"/>
          <w:szCs w:val="24"/>
          <w:highlight w:val="none"/>
          <w:lang w:eastAsia="zh-CN"/>
        </w:rPr>
        <w:t>长眉驼</w:t>
      </w:r>
      <w:r>
        <w:rPr>
          <w:rFonts w:hint="eastAsia" w:ascii="Times New Roman" w:hAnsi="Times New Roman" w:eastAsia="宋体" w:cs="Times New Roman"/>
          <w:strike w:val="0"/>
          <w:dstrike w:val="0"/>
          <w:color w:val="auto"/>
          <w:spacing w:val="0"/>
          <w:position w:val="0"/>
          <w:sz w:val="24"/>
          <w:szCs w:val="24"/>
          <w:highlight w:val="none"/>
        </w:rPr>
        <w:t>养殖技术方案按照</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rPr>
        <w:t>良种、良料、良舍、良法、良医配套技术的要求，项目建成后引入</w:t>
      </w:r>
      <w:r>
        <w:rPr>
          <w:rFonts w:hint="eastAsia" w:ascii="Times New Roman" w:hAnsi="Times New Roman" w:eastAsia="宋体" w:cs="Times New Roman"/>
          <w:strike w:val="0"/>
          <w:dstrike w:val="0"/>
          <w:color w:val="auto"/>
          <w:spacing w:val="0"/>
          <w:position w:val="0"/>
          <w:sz w:val="24"/>
          <w:szCs w:val="24"/>
          <w:highlight w:val="none"/>
          <w:lang w:val="en-US" w:eastAsia="zh-CN"/>
        </w:rPr>
        <w:t>1015</w:t>
      </w:r>
      <w:r>
        <w:rPr>
          <w:rFonts w:hint="eastAsia" w:ascii="Times New Roman" w:hAnsi="Times New Roman" w:eastAsia="宋体" w:cs="Times New Roman"/>
          <w:strike w:val="0"/>
          <w:dstrike w:val="0"/>
          <w:color w:val="auto"/>
          <w:spacing w:val="0"/>
          <w:position w:val="0"/>
          <w:sz w:val="24"/>
          <w:szCs w:val="24"/>
          <w:highlight w:val="none"/>
        </w:rPr>
        <w:t>峰</w:t>
      </w:r>
      <w:r>
        <w:rPr>
          <w:rFonts w:hint="eastAsia" w:ascii="Times New Roman" w:hAnsi="Times New Roman" w:eastAsia="宋体" w:cs="Times New Roman"/>
          <w:strike w:val="0"/>
          <w:dstrike w:val="0"/>
          <w:color w:val="auto"/>
          <w:spacing w:val="0"/>
          <w:position w:val="0"/>
          <w:sz w:val="24"/>
          <w:szCs w:val="24"/>
          <w:highlight w:val="none"/>
          <w:lang w:eastAsia="zh-CN"/>
        </w:rPr>
        <w:t>长眉驼</w:t>
      </w:r>
      <w:r>
        <w:rPr>
          <w:rFonts w:hint="eastAsia" w:ascii="Times New Roman" w:hAnsi="Times New Roman" w:eastAsia="宋体" w:cs="Times New Roman"/>
          <w:strike w:val="0"/>
          <w:dstrike w:val="0"/>
          <w:color w:val="auto"/>
          <w:spacing w:val="0"/>
          <w:position w:val="0"/>
          <w:sz w:val="24"/>
          <w:szCs w:val="24"/>
          <w:highlight w:val="none"/>
        </w:rPr>
        <w:t>作为本项目的基础群，采用人工授精</w:t>
      </w:r>
      <w:r>
        <w:rPr>
          <w:rFonts w:hint="eastAsia" w:ascii="Times New Roman" w:hAnsi="Times New Roman" w:eastAsia="宋体" w:cs="Times New Roman"/>
          <w:strike w:val="0"/>
          <w:dstrike w:val="0"/>
          <w:color w:val="auto"/>
          <w:spacing w:val="0"/>
          <w:position w:val="0"/>
          <w:sz w:val="24"/>
          <w:szCs w:val="24"/>
          <w:highlight w:val="none"/>
          <w:lang w:eastAsia="zh-CN"/>
        </w:rPr>
        <w:t>、</w:t>
      </w:r>
      <w:r>
        <w:rPr>
          <w:rFonts w:hint="eastAsia" w:ascii="Times New Roman" w:hAnsi="Times New Roman" w:eastAsia="宋体" w:cs="Times New Roman"/>
          <w:strike w:val="0"/>
          <w:dstrike w:val="0"/>
          <w:color w:val="auto"/>
          <w:spacing w:val="0"/>
          <w:position w:val="0"/>
          <w:sz w:val="24"/>
          <w:szCs w:val="24"/>
          <w:highlight w:val="none"/>
        </w:rPr>
        <w:t>TMR饲喂、标准化管理、高效繁育技术、卫生防疫及</w:t>
      </w:r>
      <w:r>
        <w:rPr>
          <w:rFonts w:hint="eastAsia" w:ascii="Times New Roman" w:hAnsi="Times New Roman" w:eastAsia="宋体" w:cs="Times New Roman"/>
          <w:strike w:val="0"/>
          <w:dstrike w:val="0"/>
          <w:color w:val="auto"/>
          <w:spacing w:val="0"/>
          <w:position w:val="0"/>
          <w:sz w:val="24"/>
          <w:szCs w:val="24"/>
          <w:highlight w:val="none"/>
          <w:lang w:eastAsia="zh-CN"/>
        </w:rPr>
        <w:t>长眉驼</w:t>
      </w:r>
      <w:r>
        <w:rPr>
          <w:rFonts w:hint="eastAsia" w:ascii="Times New Roman" w:hAnsi="Times New Roman" w:eastAsia="宋体" w:cs="Times New Roman"/>
          <w:strike w:val="0"/>
          <w:dstrike w:val="0"/>
          <w:color w:val="auto"/>
          <w:spacing w:val="0"/>
          <w:position w:val="0"/>
          <w:sz w:val="24"/>
          <w:szCs w:val="24"/>
          <w:highlight w:val="none"/>
        </w:rPr>
        <w:t>保健技术等措施，实行科学饲养管理，达到高产高效的目的</w:t>
      </w:r>
      <w:r>
        <w:rPr>
          <w:rFonts w:hint="eastAsia" w:ascii="Times New Roman" w:hAnsi="Times New Roman" w:eastAsia="宋体" w:cs="Times New Roman"/>
          <w:strike w:val="0"/>
          <w:dstrike w:val="0"/>
          <w:color w:val="auto"/>
          <w:spacing w:val="0"/>
          <w:position w:val="0"/>
          <w:sz w:val="24"/>
          <w:szCs w:val="24"/>
          <w:highlight w:val="none"/>
          <w:lang w:eastAsia="zh-CN"/>
        </w:rPr>
        <w:t>。</w:t>
      </w:r>
    </w:p>
    <w:p w14:paraId="50A6537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default" w:ascii="Times New Roman" w:hAnsi="Times New Roman" w:eastAsia="宋体" w:cs="Times New Roman"/>
          <w:strike w:val="0"/>
          <w:dstrike w:val="0"/>
          <w:color w:val="auto"/>
          <w:spacing w:val="0"/>
          <w:position w:val="0"/>
          <w:sz w:val="24"/>
          <w:szCs w:val="24"/>
          <w:highlight w:val="none"/>
          <w:lang w:val="en-US" w:eastAsia="zh-CN"/>
        </w:rPr>
        <w:t>1</w:t>
      </w:r>
      <w:r>
        <w:rPr>
          <w:rFonts w:hint="eastAsia" w:ascii="Times New Roman" w:hAnsi="Times New Roman" w:eastAsia="宋体" w:cs="Times New Roman"/>
          <w:strike w:val="0"/>
          <w:dstrike w:val="0"/>
          <w:color w:val="auto"/>
          <w:spacing w:val="0"/>
          <w:position w:val="0"/>
          <w:sz w:val="24"/>
          <w:szCs w:val="24"/>
          <w:highlight w:val="none"/>
          <w:lang w:val="en-US" w:eastAsia="zh-CN"/>
        </w:rPr>
        <w:t>）饲养怀孕母驼的技术</w:t>
      </w:r>
    </w:p>
    <w:p w14:paraId="1D4C65D3">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培育生产性能较高的骆驼，必须从胚胎期着手。因此，应加强骆驼养殖技术，给予怀孕母驼以合理的饲养管理，对其分娩后的泌乳量和驼羔生长发育，都起着重要的作用。</w:t>
      </w:r>
    </w:p>
    <w:p w14:paraId="2EC55834">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饲养怀孕母骆驼的技术要点：</w:t>
      </w:r>
    </w:p>
    <w:p w14:paraId="5841266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①母驼配种受胎后，性情安静，代谢旺盛，食欲巨增，且怀孕的前期恰是青黄不接的春季，既要负担胚胎的正常发育，又要负担上年所产驼羔的哺乳。根据上述特点，正确地饲养怀孕母驼，关键在于春季牧地的选择，母驼配种后，须在牧草生长茂盛，草质优良的牧地上放牧，以满足营养需要，否则就应当加补精料。</w:t>
      </w:r>
    </w:p>
    <w:p w14:paraId="3C348F1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②母驼配种受胎后三个月泌乳量显著减少，五、六个月时泌乳量更少，甚至自行干乳，此期恰是夏末秋初，牧草生长比较繁茂，应作好断乳，分群工作，以保证怀孕母驼抓好秋膘，促进胚胎发育。</w:t>
      </w:r>
    </w:p>
    <w:p w14:paraId="24A1061D">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③怀孕母驼易发生流产，尤其是怀孕</w:t>
      </w:r>
      <w:r>
        <w:rPr>
          <w:rFonts w:hint="default" w:ascii="Times New Roman" w:hAnsi="Times New Roman" w:eastAsia="宋体" w:cs="Times New Roman"/>
          <w:strike w:val="0"/>
          <w:dstrike w:val="0"/>
          <w:color w:val="auto"/>
          <w:spacing w:val="0"/>
          <w:position w:val="0"/>
          <w:sz w:val="24"/>
          <w:szCs w:val="24"/>
          <w:highlight w:val="none"/>
          <w:lang w:val="en-US" w:eastAsia="zh-CN"/>
        </w:rPr>
        <w:t>6-7</w:t>
      </w:r>
      <w:r>
        <w:rPr>
          <w:rFonts w:hint="eastAsia" w:ascii="Times New Roman" w:hAnsi="Times New Roman" w:eastAsia="宋体" w:cs="Times New Roman"/>
          <w:strike w:val="0"/>
          <w:dstrike w:val="0"/>
          <w:color w:val="auto"/>
          <w:spacing w:val="0"/>
          <w:position w:val="0"/>
          <w:sz w:val="24"/>
          <w:szCs w:val="24"/>
          <w:highlight w:val="none"/>
          <w:lang w:val="en-US" w:eastAsia="zh-CN"/>
        </w:rPr>
        <w:t>个月以前，往往由于惊吓、猛赶、拥挤、猛力打击头部和腹部、公驼的爬垮、异外的声音、役后立即吃碱柴、脱毛后受暴雨刺激，以及冬季空腹大量饮水等的刺激，而引起子宫强烈地收缩，发生流产。所以，对怀孕母驼的管理，应从这些方面作好保胎工作，为了作好这一工作，重要的是应对配种</w:t>
      </w:r>
      <w:r>
        <w:rPr>
          <w:rFonts w:hint="default" w:ascii="Times New Roman" w:hAnsi="Times New Roman" w:eastAsia="宋体" w:cs="Times New Roman"/>
          <w:strike w:val="0"/>
          <w:dstrike w:val="0"/>
          <w:color w:val="auto"/>
          <w:spacing w:val="0"/>
          <w:position w:val="0"/>
          <w:sz w:val="24"/>
          <w:szCs w:val="24"/>
          <w:highlight w:val="none"/>
          <w:lang w:val="en-US" w:eastAsia="zh-CN"/>
        </w:rPr>
        <w:t>14</w:t>
      </w:r>
      <w:r>
        <w:rPr>
          <w:rFonts w:hint="eastAsia" w:ascii="Times New Roman" w:hAnsi="Times New Roman" w:eastAsia="宋体" w:cs="Times New Roman"/>
          <w:strike w:val="0"/>
          <w:dstrike w:val="0"/>
          <w:color w:val="auto"/>
          <w:spacing w:val="0"/>
          <w:position w:val="0"/>
          <w:sz w:val="24"/>
          <w:szCs w:val="24"/>
          <w:highlight w:val="none"/>
          <w:lang w:val="en-US" w:eastAsia="zh-CN"/>
        </w:rPr>
        <w:t>天后表现拒配的母驼，及早地进行早期妊娠诊断，凡是被确诊为受孕的母驼，都应细心护理，特别是</w:t>
      </w:r>
      <w:r>
        <w:rPr>
          <w:rFonts w:hint="default" w:ascii="Times New Roman" w:hAnsi="Times New Roman" w:eastAsia="宋体" w:cs="Times New Roman"/>
          <w:strike w:val="0"/>
          <w:dstrike w:val="0"/>
          <w:color w:val="auto"/>
          <w:spacing w:val="0"/>
          <w:position w:val="0"/>
          <w:sz w:val="24"/>
          <w:szCs w:val="24"/>
          <w:highlight w:val="none"/>
          <w:lang w:val="en-US" w:eastAsia="zh-CN"/>
        </w:rPr>
        <w:t>4-5</w:t>
      </w:r>
      <w:r>
        <w:rPr>
          <w:rFonts w:hint="eastAsia" w:ascii="Times New Roman" w:hAnsi="Times New Roman" w:eastAsia="宋体" w:cs="Times New Roman"/>
          <w:strike w:val="0"/>
          <w:dstrike w:val="0"/>
          <w:color w:val="auto"/>
          <w:spacing w:val="0"/>
          <w:position w:val="0"/>
          <w:sz w:val="24"/>
          <w:szCs w:val="24"/>
          <w:highlight w:val="none"/>
          <w:lang w:val="en-US" w:eastAsia="zh-CN"/>
        </w:rPr>
        <w:t>岁的青年母驼，常因性情活泼、好动，较易流产。</w:t>
      </w:r>
    </w:p>
    <w:p w14:paraId="63D7D22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④母驼怀孕后，应尽量减轻使役。一般在受孕</w:t>
      </w:r>
      <w:r>
        <w:rPr>
          <w:rFonts w:hint="default" w:ascii="Times New Roman" w:hAnsi="Times New Roman" w:eastAsia="宋体" w:cs="Times New Roman"/>
          <w:strike w:val="0"/>
          <w:dstrike w:val="0"/>
          <w:color w:val="auto"/>
          <w:spacing w:val="0"/>
          <w:position w:val="0"/>
          <w:sz w:val="24"/>
          <w:szCs w:val="24"/>
          <w:highlight w:val="none"/>
          <w:lang w:val="en-US" w:eastAsia="zh-CN"/>
        </w:rPr>
        <w:t>l5</w:t>
      </w:r>
      <w:r>
        <w:rPr>
          <w:rFonts w:hint="eastAsia" w:ascii="Times New Roman" w:hAnsi="Times New Roman" w:eastAsia="宋体" w:cs="Times New Roman"/>
          <w:strike w:val="0"/>
          <w:dstrike w:val="0"/>
          <w:color w:val="auto"/>
          <w:spacing w:val="0"/>
          <w:position w:val="0"/>
          <w:sz w:val="24"/>
          <w:szCs w:val="24"/>
          <w:highlight w:val="none"/>
          <w:lang w:val="en-US" w:eastAsia="zh-CN"/>
        </w:rPr>
        <w:t>天时则可做轻微的劳役，</w:t>
      </w:r>
      <w:r>
        <w:rPr>
          <w:rFonts w:hint="default" w:ascii="Times New Roman" w:hAnsi="Times New Roman" w:eastAsia="宋体" w:cs="Times New Roman"/>
          <w:strike w:val="0"/>
          <w:dstrike w:val="0"/>
          <w:color w:val="auto"/>
          <w:spacing w:val="0"/>
          <w:position w:val="0"/>
          <w:sz w:val="24"/>
          <w:szCs w:val="24"/>
          <w:highlight w:val="none"/>
          <w:lang w:val="en-US" w:eastAsia="zh-CN"/>
        </w:rPr>
        <w:t>5</w:t>
      </w:r>
      <w:r>
        <w:rPr>
          <w:rFonts w:hint="eastAsia" w:ascii="Times New Roman" w:hAnsi="Times New Roman" w:eastAsia="宋体" w:cs="Times New Roman"/>
          <w:strike w:val="0"/>
          <w:dstrike w:val="0"/>
          <w:color w:val="auto"/>
          <w:spacing w:val="0"/>
          <w:position w:val="0"/>
          <w:sz w:val="24"/>
          <w:szCs w:val="24"/>
          <w:highlight w:val="none"/>
          <w:lang w:val="en-US" w:eastAsia="zh-CN"/>
        </w:rPr>
        <w:t>个月时使役不能连续二周，</w:t>
      </w:r>
      <w:r>
        <w:rPr>
          <w:rFonts w:hint="default" w:ascii="Times New Roman" w:hAnsi="Times New Roman" w:eastAsia="宋体" w:cs="Times New Roman"/>
          <w:strike w:val="0"/>
          <w:dstrike w:val="0"/>
          <w:color w:val="auto"/>
          <w:spacing w:val="0"/>
          <w:position w:val="0"/>
          <w:sz w:val="24"/>
          <w:szCs w:val="24"/>
          <w:highlight w:val="none"/>
          <w:lang w:val="en-US" w:eastAsia="zh-CN"/>
        </w:rPr>
        <w:t>6</w:t>
      </w:r>
      <w:r>
        <w:rPr>
          <w:rFonts w:hint="eastAsia" w:ascii="Times New Roman" w:hAnsi="Times New Roman" w:eastAsia="宋体" w:cs="Times New Roman"/>
          <w:strike w:val="0"/>
          <w:dstrike w:val="0"/>
          <w:color w:val="auto"/>
          <w:spacing w:val="0"/>
          <w:position w:val="0"/>
          <w:sz w:val="24"/>
          <w:szCs w:val="24"/>
          <w:highlight w:val="none"/>
          <w:lang w:val="en-US" w:eastAsia="zh-CN"/>
        </w:rPr>
        <w:t>个月后可做零星的劳役，</w:t>
      </w:r>
      <w:r>
        <w:rPr>
          <w:rFonts w:hint="default" w:ascii="Times New Roman" w:hAnsi="Times New Roman" w:eastAsia="宋体" w:cs="Times New Roman"/>
          <w:strike w:val="0"/>
          <w:dstrike w:val="0"/>
          <w:color w:val="auto"/>
          <w:spacing w:val="0"/>
          <w:position w:val="0"/>
          <w:sz w:val="24"/>
          <w:szCs w:val="24"/>
          <w:highlight w:val="none"/>
          <w:lang w:val="en-US" w:eastAsia="zh-CN"/>
        </w:rPr>
        <w:t>10</w:t>
      </w:r>
      <w:r>
        <w:rPr>
          <w:rFonts w:hint="eastAsia" w:ascii="Times New Roman" w:hAnsi="Times New Roman" w:eastAsia="宋体" w:cs="Times New Roman"/>
          <w:strike w:val="0"/>
          <w:dstrike w:val="0"/>
          <w:color w:val="auto"/>
          <w:spacing w:val="0"/>
          <w:position w:val="0"/>
          <w:sz w:val="24"/>
          <w:szCs w:val="24"/>
          <w:highlight w:val="none"/>
          <w:lang w:val="en-US" w:eastAsia="zh-CN"/>
        </w:rPr>
        <w:t>个月后应停止使役。</w:t>
      </w:r>
    </w:p>
    <w:p w14:paraId="11A1371A">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⑤初产青年母驼常常在临产时，行动异常，突然离群，自寻产地，因此应密切注视，严加管理，归牧后可拴系或关入驼圈。</w:t>
      </w:r>
    </w:p>
    <w:p w14:paraId="79E1BD2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val="en-US" w:eastAsia="zh-CN"/>
        </w:rPr>
        <w:t>2）母驼生产幼崽管理</w:t>
      </w:r>
    </w:p>
    <w:p w14:paraId="6858408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strike w:val="0"/>
          <w:dstrike w:val="0"/>
          <w:color w:val="auto"/>
          <w:spacing w:val="0"/>
          <w:position w:val="0"/>
          <w:sz w:val="24"/>
          <w:szCs w:val="24"/>
          <w:highlight w:val="none"/>
          <w:lang w:val="en-US" w:eastAsia="zh-CN"/>
        </w:rPr>
      </w:pPr>
      <w:r>
        <w:rPr>
          <w:rFonts w:hint="default" w:ascii="Times New Roman" w:hAnsi="Times New Roman" w:eastAsia="宋体" w:cs="Times New Roman"/>
          <w:strike w:val="0"/>
          <w:dstrike w:val="0"/>
          <w:color w:val="auto"/>
          <w:spacing w:val="0"/>
          <w:position w:val="0"/>
          <w:sz w:val="24"/>
          <w:szCs w:val="24"/>
          <w:highlight w:val="none"/>
          <w:lang w:val="en-US" w:eastAsia="zh-CN"/>
        </w:rPr>
        <w:t>妊娠母驼于专用消毒</w:t>
      </w:r>
      <w:r>
        <w:rPr>
          <w:rFonts w:hint="eastAsia" w:ascii="Times New Roman" w:hAnsi="Times New Roman" w:eastAsia="宋体" w:cs="Times New Roman"/>
          <w:strike w:val="0"/>
          <w:dstrike w:val="0"/>
          <w:color w:val="auto"/>
          <w:spacing w:val="0"/>
          <w:position w:val="0"/>
          <w:sz w:val="24"/>
          <w:szCs w:val="24"/>
          <w:highlight w:val="none"/>
          <w:lang w:val="en-US" w:eastAsia="zh-CN"/>
        </w:rPr>
        <w:t>孕驼舍</w:t>
      </w:r>
      <w:r>
        <w:rPr>
          <w:rFonts w:hint="default" w:ascii="Times New Roman" w:hAnsi="Times New Roman" w:eastAsia="宋体" w:cs="Times New Roman"/>
          <w:strike w:val="0"/>
          <w:dstrike w:val="0"/>
          <w:color w:val="auto"/>
          <w:spacing w:val="0"/>
          <w:position w:val="0"/>
          <w:sz w:val="24"/>
          <w:szCs w:val="24"/>
          <w:highlight w:val="none"/>
          <w:lang w:val="en-US" w:eastAsia="zh-CN"/>
        </w:rPr>
        <w:t>待产分娩，人工辅助接生、脐带消毒；分娩胎盘、病死驼羔密闭暂存</w:t>
      </w:r>
      <w:r>
        <w:rPr>
          <w:rFonts w:hint="eastAsia" w:ascii="Times New Roman" w:hAnsi="Times New Roman" w:eastAsia="宋体" w:cs="Times New Roman"/>
          <w:strike w:val="0"/>
          <w:dstrike w:val="0"/>
          <w:color w:val="auto"/>
          <w:spacing w:val="0"/>
          <w:position w:val="0"/>
          <w:sz w:val="24"/>
          <w:szCs w:val="24"/>
          <w:highlight w:val="none"/>
          <w:lang w:val="en-US" w:eastAsia="zh-CN"/>
        </w:rPr>
        <w:t>交</w:t>
      </w:r>
      <w:r>
        <w:rPr>
          <w:rFonts w:hint="default" w:ascii="Times New Roman" w:hAnsi="Times New Roman" w:eastAsia="宋体" w:cs="Times New Roman"/>
          <w:strike w:val="0"/>
          <w:dstrike w:val="0"/>
          <w:color w:val="auto"/>
          <w:spacing w:val="0"/>
          <w:position w:val="0"/>
          <w:sz w:val="24"/>
          <w:szCs w:val="24"/>
          <w:highlight w:val="none"/>
          <w:lang w:val="en-US" w:eastAsia="zh-CN"/>
        </w:rPr>
        <w:t>资质单位无害化处置，粪污干清收集</w:t>
      </w:r>
      <w:r>
        <w:rPr>
          <w:rFonts w:hint="eastAsia" w:ascii="Times New Roman" w:hAnsi="Times New Roman" w:eastAsia="宋体" w:cs="Times New Roman"/>
          <w:strike w:val="0"/>
          <w:dstrike w:val="0"/>
          <w:color w:val="auto"/>
          <w:spacing w:val="0"/>
          <w:position w:val="0"/>
          <w:sz w:val="24"/>
          <w:szCs w:val="24"/>
          <w:highlight w:val="none"/>
          <w:lang w:val="en-US" w:eastAsia="zh-CN"/>
        </w:rPr>
        <w:t>堆肥发酵</w:t>
      </w:r>
      <w:r>
        <w:rPr>
          <w:rFonts w:hint="default" w:ascii="Times New Roman" w:hAnsi="Times New Roman" w:eastAsia="宋体" w:cs="Times New Roman"/>
          <w:strike w:val="0"/>
          <w:dstrike w:val="0"/>
          <w:color w:val="auto"/>
          <w:spacing w:val="0"/>
          <w:position w:val="0"/>
          <w:sz w:val="24"/>
          <w:szCs w:val="24"/>
          <w:highlight w:val="none"/>
          <w:lang w:val="en-US" w:eastAsia="zh-CN"/>
        </w:rPr>
        <w:t>，冲洗废水统一收集</w:t>
      </w:r>
      <w:r>
        <w:rPr>
          <w:rFonts w:hint="eastAsia" w:ascii="Times New Roman" w:hAnsi="Times New Roman" w:eastAsia="宋体" w:cs="Times New Roman"/>
          <w:strike w:val="0"/>
          <w:dstrike w:val="0"/>
          <w:color w:val="auto"/>
          <w:spacing w:val="0"/>
          <w:position w:val="0"/>
          <w:sz w:val="24"/>
          <w:szCs w:val="24"/>
          <w:highlight w:val="none"/>
          <w:lang w:val="en-US" w:eastAsia="zh-CN"/>
        </w:rPr>
        <w:t>至黑膜池</w:t>
      </w:r>
      <w:r>
        <w:rPr>
          <w:rFonts w:hint="default" w:ascii="Times New Roman" w:hAnsi="Times New Roman" w:eastAsia="宋体" w:cs="Times New Roman"/>
          <w:strike w:val="0"/>
          <w:dstrike w:val="0"/>
          <w:color w:val="auto"/>
          <w:spacing w:val="0"/>
          <w:position w:val="0"/>
          <w:sz w:val="24"/>
          <w:szCs w:val="24"/>
          <w:highlight w:val="none"/>
          <w:lang w:val="en-US" w:eastAsia="zh-CN"/>
        </w:rPr>
        <w:t>。</w:t>
      </w:r>
    </w:p>
    <w:p w14:paraId="44804002">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3</w:t>
      </w:r>
      <w:r>
        <w:rPr>
          <w:rFonts w:hint="eastAsia" w:ascii="Times New Roman" w:hAnsi="Times New Roman" w:eastAsia="宋体" w:cs="Times New Roman"/>
          <w:strike w:val="0"/>
          <w:dstrike w:val="0"/>
          <w:color w:val="auto"/>
          <w:spacing w:val="0"/>
          <w:position w:val="0"/>
          <w:sz w:val="24"/>
          <w:szCs w:val="24"/>
          <w:highlight w:val="none"/>
          <w:lang w:val="en-US" w:eastAsia="zh-CN"/>
        </w:rPr>
        <w:t>）带羔母驼的饲养管理</w:t>
      </w:r>
    </w:p>
    <w:p w14:paraId="3F32D435">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①舍饲带羔母驼</w:t>
      </w:r>
      <w:r>
        <w:rPr>
          <w:rFonts w:hint="default" w:ascii="Times New Roman" w:hAnsi="Times New Roman" w:eastAsia="宋体" w:cs="Times New Roman"/>
          <w:strike w:val="0"/>
          <w:dstrike w:val="0"/>
          <w:color w:val="auto"/>
          <w:spacing w:val="0"/>
          <w:position w:val="0"/>
          <w:sz w:val="24"/>
          <w:szCs w:val="24"/>
          <w:highlight w:val="none"/>
          <w:lang w:val="en-US"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每天可喂优良的豆科和禾本科牧草</w:t>
      </w:r>
      <w:r>
        <w:rPr>
          <w:rFonts w:hint="default" w:ascii="Times New Roman" w:hAnsi="Times New Roman" w:eastAsia="宋体" w:cs="Times New Roman"/>
          <w:strike w:val="0"/>
          <w:dstrike w:val="0"/>
          <w:color w:val="auto"/>
          <w:spacing w:val="0"/>
          <w:position w:val="0"/>
          <w:sz w:val="24"/>
          <w:szCs w:val="24"/>
          <w:highlight w:val="none"/>
          <w:lang w:val="en-US" w:eastAsia="zh-CN"/>
        </w:rPr>
        <w:t>5-6</w:t>
      </w:r>
      <w:r>
        <w:rPr>
          <w:rFonts w:hint="eastAsia" w:ascii="Times New Roman" w:hAnsi="Times New Roman" w:eastAsia="宋体" w:cs="Times New Roman"/>
          <w:strike w:val="0"/>
          <w:dstrike w:val="0"/>
          <w:color w:val="auto"/>
          <w:spacing w:val="0"/>
          <w:position w:val="0"/>
          <w:sz w:val="24"/>
          <w:szCs w:val="24"/>
          <w:highlight w:val="none"/>
          <w:lang w:val="en-US" w:eastAsia="zh-CN"/>
        </w:rPr>
        <w:t>公斤，混合精料</w:t>
      </w:r>
      <w:r>
        <w:rPr>
          <w:rFonts w:hint="default" w:ascii="Times New Roman" w:hAnsi="Times New Roman" w:eastAsia="宋体" w:cs="Times New Roman"/>
          <w:strike w:val="0"/>
          <w:dstrike w:val="0"/>
          <w:color w:val="auto"/>
          <w:spacing w:val="0"/>
          <w:position w:val="0"/>
          <w:sz w:val="24"/>
          <w:szCs w:val="24"/>
          <w:highlight w:val="none"/>
          <w:lang w:val="en-US" w:eastAsia="zh-CN"/>
        </w:rPr>
        <w:t>2-4</w:t>
      </w:r>
      <w:r>
        <w:rPr>
          <w:rFonts w:hint="eastAsia" w:ascii="Times New Roman" w:hAnsi="Times New Roman" w:eastAsia="宋体" w:cs="Times New Roman"/>
          <w:strike w:val="0"/>
          <w:dstrike w:val="0"/>
          <w:color w:val="auto"/>
          <w:spacing w:val="0"/>
          <w:position w:val="0"/>
          <w:sz w:val="24"/>
          <w:szCs w:val="24"/>
          <w:highlight w:val="none"/>
          <w:lang w:val="en-US" w:eastAsia="zh-CN"/>
        </w:rPr>
        <w:t>公斤，以及添加带羔模样驼适量的食盐和钙、磷，有条件地区，最好能够补喂胡萝卜或大麦芽</w:t>
      </w:r>
      <w:r>
        <w:rPr>
          <w:rFonts w:hint="default" w:ascii="Times New Roman" w:hAnsi="Times New Roman" w:eastAsia="宋体" w:cs="Times New Roman"/>
          <w:strike w:val="0"/>
          <w:dstrike w:val="0"/>
          <w:color w:val="auto"/>
          <w:spacing w:val="0"/>
          <w:position w:val="0"/>
          <w:sz w:val="24"/>
          <w:szCs w:val="24"/>
          <w:highlight w:val="none"/>
          <w:lang w:val="en-US" w:eastAsia="zh-CN"/>
        </w:rPr>
        <w:t>1.5-2.0</w:t>
      </w:r>
      <w:r>
        <w:rPr>
          <w:rFonts w:hint="eastAsia" w:ascii="Times New Roman" w:hAnsi="Times New Roman" w:eastAsia="宋体" w:cs="Times New Roman"/>
          <w:strike w:val="0"/>
          <w:dstrike w:val="0"/>
          <w:color w:val="auto"/>
          <w:spacing w:val="0"/>
          <w:position w:val="0"/>
          <w:sz w:val="24"/>
          <w:szCs w:val="24"/>
          <w:highlight w:val="none"/>
          <w:lang w:val="en-US" w:eastAsia="zh-CN"/>
        </w:rPr>
        <w:t>公斤。</w:t>
      </w:r>
    </w:p>
    <w:p w14:paraId="05CDF6F3">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②放牧母驼群，应选择草质最好，水源近，背风，向阳的草场，作为冬春营地，以满足孕驼和带羔母驼需要，有贮备饲草料的社队，则可给带羔母驼补饲干草</w:t>
      </w:r>
      <w:r>
        <w:rPr>
          <w:rFonts w:hint="default" w:ascii="Times New Roman" w:hAnsi="Times New Roman" w:eastAsia="宋体" w:cs="Times New Roman"/>
          <w:strike w:val="0"/>
          <w:dstrike w:val="0"/>
          <w:color w:val="auto"/>
          <w:spacing w:val="0"/>
          <w:position w:val="0"/>
          <w:sz w:val="24"/>
          <w:szCs w:val="24"/>
          <w:highlight w:val="none"/>
          <w:lang w:val="en-US" w:eastAsia="zh-CN"/>
        </w:rPr>
        <w:t>3-5</w:t>
      </w:r>
      <w:r>
        <w:rPr>
          <w:rFonts w:hint="eastAsia" w:ascii="Times New Roman" w:hAnsi="Times New Roman" w:eastAsia="宋体" w:cs="Times New Roman"/>
          <w:strike w:val="0"/>
          <w:dstrike w:val="0"/>
          <w:color w:val="auto"/>
          <w:spacing w:val="0"/>
          <w:position w:val="0"/>
          <w:sz w:val="24"/>
          <w:szCs w:val="24"/>
          <w:highlight w:val="none"/>
          <w:lang w:val="en-US" w:eastAsia="zh-CN"/>
        </w:rPr>
        <w:t>公斤、精料</w:t>
      </w:r>
      <w:r>
        <w:rPr>
          <w:rFonts w:hint="default" w:ascii="Times New Roman" w:hAnsi="Times New Roman" w:eastAsia="宋体" w:cs="Times New Roman"/>
          <w:strike w:val="0"/>
          <w:dstrike w:val="0"/>
          <w:color w:val="auto"/>
          <w:spacing w:val="0"/>
          <w:position w:val="0"/>
          <w:sz w:val="24"/>
          <w:szCs w:val="24"/>
          <w:highlight w:val="none"/>
          <w:lang w:val="en-US" w:eastAsia="zh-CN"/>
        </w:rPr>
        <w:t>1.0-2.0</w:t>
      </w:r>
      <w:r>
        <w:rPr>
          <w:rFonts w:hint="eastAsia" w:ascii="Times New Roman" w:hAnsi="Times New Roman" w:eastAsia="宋体" w:cs="Times New Roman"/>
          <w:strike w:val="0"/>
          <w:dstrike w:val="0"/>
          <w:color w:val="auto"/>
          <w:spacing w:val="0"/>
          <w:position w:val="0"/>
          <w:sz w:val="24"/>
          <w:szCs w:val="24"/>
          <w:highlight w:val="none"/>
          <w:lang w:val="en-US" w:eastAsia="zh-CN"/>
        </w:rPr>
        <w:t>公斤。</w:t>
      </w:r>
    </w:p>
    <w:p w14:paraId="52E2F36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③产羔母驼群，在天气炎热到来之前，即五月份以前，应作好转场，在天气炎热以后，就不能再远距离移牧。否则，会由于母驼留旧草场，采食减少，泌乳量下降，而影响驼羔的生长发育。</w:t>
      </w:r>
    </w:p>
    <w:p w14:paraId="0140D58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④产羔母驼应每日饮水一次，在遇到风雪，雨天时，应将乏弱母驼的背上，搭盖毡片，以防御风寒，可不予饮水。产羔一个月后，除风、雪、雨天外，可让母驼带领驼羔，在附近放牧，归牧后应将驼羔进行系留，以防夜间母驼带领驼羔自行远离。产羔后三至四周，可剪去母驼的嗉毛、毛和肘毛。带羔母驼的被毛脱落，较其它骆驼迟，收毛时应先收四肢，腹下颈部和体侧毛，背部毛待到小暑后收掉。</w:t>
      </w:r>
    </w:p>
    <w:p w14:paraId="7CC0DCB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⑤对泌乳量较高的母驼，则可每天早晨或晚上挤乳</w:t>
      </w:r>
      <w:r>
        <w:rPr>
          <w:rFonts w:hint="default" w:ascii="Times New Roman" w:hAnsi="Times New Roman" w:eastAsia="宋体" w:cs="Times New Roman"/>
          <w:strike w:val="0"/>
          <w:dstrike w:val="0"/>
          <w:color w:val="auto"/>
          <w:spacing w:val="0"/>
          <w:position w:val="0"/>
          <w:sz w:val="24"/>
          <w:szCs w:val="24"/>
          <w:highlight w:val="none"/>
          <w:lang w:val="en-US" w:eastAsia="zh-CN"/>
        </w:rPr>
        <w:t>1-2</w:t>
      </w:r>
      <w:r>
        <w:rPr>
          <w:rFonts w:hint="eastAsia" w:ascii="Times New Roman" w:hAnsi="Times New Roman" w:eastAsia="宋体" w:cs="Times New Roman"/>
          <w:strike w:val="0"/>
          <w:dstrike w:val="0"/>
          <w:color w:val="auto"/>
          <w:spacing w:val="0"/>
          <w:position w:val="0"/>
          <w:sz w:val="24"/>
          <w:szCs w:val="24"/>
          <w:highlight w:val="none"/>
          <w:lang w:val="en-US" w:eastAsia="zh-CN"/>
        </w:rPr>
        <w:t>次，或者将驼羔哺乳后剩余的乳汁全部挤净，这样有利于提高泌乳量和防止驼羔过食，而引起消化不良。随着驼羔的生长发育速度的增加，挤乳次数应逐渐减少，甚至停止。但在草质不佳、母驼泌乳量不高时，应先满足驼羔需要，严禁挤乳。</w:t>
      </w:r>
    </w:p>
    <w:p w14:paraId="75F6B4AD">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⑥初产母驼，若母性不强，不让驼羔哺乳时，则可强行保定两后肢，人工辅助驼羔进行哺乳，待习惯</w:t>
      </w:r>
      <w:r>
        <w:rPr>
          <w:rFonts w:hint="default" w:ascii="Times New Roman" w:hAnsi="Times New Roman" w:eastAsia="宋体" w:cs="Times New Roman"/>
          <w:strike w:val="0"/>
          <w:dstrike w:val="0"/>
          <w:color w:val="auto"/>
          <w:spacing w:val="0"/>
          <w:position w:val="0"/>
          <w:sz w:val="24"/>
          <w:szCs w:val="24"/>
          <w:highlight w:val="none"/>
          <w:lang w:val="en-US" w:eastAsia="zh-CN"/>
        </w:rPr>
        <w:t>3-5</w:t>
      </w:r>
      <w:r>
        <w:rPr>
          <w:rFonts w:hint="eastAsia" w:ascii="Times New Roman" w:hAnsi="Times New Roman" w:eastAsia="宋体" w:cs="Times New Roman"/>
          <w:strike w:val="0"/>
          <w:dstrike w:val="0"/>
          <w:color w:val="auto"/>
          <w:spacing w:val="0"/>
          <w:position w:val="0"/>
          <w:sz w:val="24"/>
          <w:szCs w:val="24"/>
          <w:highlight w:val="none"/>
          <w:lang w:val="en-US" w:eastAsia="zh-CN"/>
        </w:rPr>
        <w:t>天后即可。产羔母驼在第二年发情、配种、受胎后，随着怀孕月数的增加，泌乳量逐渐减少。一般怀孕三个月后泌乳量就有明显下降，五至六个月时更为显著，有的个体甚至停止泌乳，此期恰是夏末秋初，牧草生长较茂盛，应作好断乳和分群工作，以保证母驼营养和胚胎的发育。</w:t>
      </w:r>
    </w:p>
    <w:p w14:paraId="3E44B4C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4</w:t>
      </w:r>
      <w:r>
        <w:rPr>
          <w:rFonts w:hint="eastAsia" w:ascii="Times New Roman" w:hAnsi="Times New Roman" w:eastAsia="宋体" w:cs="Times New Roman"/>
          <w:strike w:val="0"/>
          <w:dstrike w:val="0"/>
          <w:color w:val="auto"/>
          <w:spacing w:val="0"/>
          <w:position w:val="0"/>
          <w:sz w:val="24"/>
          <w:szCs w:val="24"/>
          <w:highlight w:val="none"/>
          <w:lang w:val="en-US" w:eastAsia="zh-CN"/>
        </w:rPr>
        <w:t>）种公驼的饲养管理</w:t>
      </w:r>
    </w:p>
    <w:p w14:paraId="5A1A848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骆驼是一种较好利用沙漠环境的牲畜。骆驼生活在严酷，艰苦的环境中，对人类具有极高的应用价值。因此，我们要加强骆驼养殖技术，正确地组织种公驼的饲养管理，使种公驼体质健壮，延长利用年限。</w:t>
      </w:r>
    </w:p>
    <w:p w14:paraId="69CBE90A">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在配种季节到来之后，食欲减退，行动反常，体力消耗很大。为了保证种公驼配种任务的完成，应从</w:t>
      </w:r>
      <w:r>
        <w:rPr>
          <w:rFonts w:hint="default" w:ascii="Times New Roman" w:hAnsi="Times New Roman" w:eastAsia="宋体" w:cs="Times New Roman"/>
          <w:strike w:val="0"/>
          <w:dstrike w:val="0"/>
          <w:color w:val="auto"/>
          <w:spacing w:val="0"/>
          <w:position w:val="0"/>
          <w:sz w:val="24"/>
          <w:szCs w:val="24"/>
          <w:highlight w:val="none"/>
          <w:lang w:val="en-US" w:eastAsia="zh-CN"/>
        </w:rPr>
        <w:t>11</w:t>
      </w:r>
      <w:r>
        <w:rPr>
          <w:rFonts w:hint="eastAsia" w:ascii="Times New Roman" w:hAnsi="Times New Roman" w:eastAsia="宋体" w:cs="Times New Roman"/>
          <w:strike w:val="0"/>
          <w:dstrike w:val="0"/>
          <w:color w:val="auto"/>
          <w:spacing w:val="0"/>
          <w:position w:val="0"/>
          <w:sz w:val="24"/>
          <w:szCs w:val="24"/>
          <w:highlight w:val="none"/>
          <w:lang w:val="en-US" w:eastAsia="zh-CN"/>
        </w:rPr>
        <w:t>月中旬开始，对种公驼实行逐渐补料。从</w:t>
      </w:r>
      <w:r>
        <w:rPr>
          <w:rFonts w:hint="default" w:ascii="Times New Roman" w:hAnsi="Times New Roman" w:eastAsia="宋体" w:cs="Times New Roman"/>
          <w:strike w:val="0"/>
          <w:dstrike w:val="0"/>
          <w:color w:val="auto"/>
          <w:spacing w:val="0"/>
          <w:position w:val="0"/>
          <w:sz w:val="24"/>
          <w:szCs w:val="24"/>
          <w:highlight w:val="none"/>
          <w:lang w:val="en-US" w:eastAsia="zh-CN"/>
        </w:rPr>
        <w:t>12</w:t>
      </w:r>
      <w:r>
        <w:rPr>
          <w:rFonts w:hint="eastAsia" w:ascii="Times New Roman" w:hAnsi="Times New Roman" w:eastAsia="宋体" w:cs="Times New Roman"/>
          <w:strike w:val="0"/>
          <w:dstrike w:val="0"/>
          <w:color w:val="auto"/>
          <w:spacing w:val="0"/>
          <w:position w:val="0"/>
          <w:sz w:val="24"/>
          <w:szCs w:val="24"/>
          <w:highlight w:val="none"/>
          <w:lang w:val="en-US" w:eastAsia="zh-CN"/>
        </w:rPr>
        <w:t>月中旬起，整个配种季节里种公驼的日粮应具有完全的营养价值，力求多样化。由于冬春缺乏青绿饲料，有条件地区，还应加补一定数量的胡萝卜、大麦芽或锁阳等富于维生素的多汁饲料，以便增进种公驼的体质。</w:t>
      </w:r>
    </w:p>
    <w:p w14:paraId="5FC20007">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我国牧区饲养种公驼，一般在草质好的牧地放牧时不加补饲。但在雨水少的干旱年里，则有的根据草质和种公驼的实际体况，补饲优良干草</w:t>
      </w:r>
      <w:r>
        <w:rPr>
          <w:rFonts w:hint="default" w:ascii="Times New Roman" w:hAnsi="Times New Roman" w:eastAsia="宋体" w:cs="Times New Roman"/>
          <w:strike w:val="0"/>
          <w:dstrike w:val="0"/>
          <w:color w:val="auto"/>
          <w:spacing w:val="0"/>
          <w:position w:val="0"/>
          <w:sz w:val="24"/>
          <w:szCs w:val="24"/>
          <w:highlight w:val="none"/>
          <w:lang w:val="en-US" w:eastAsia="zh-CN"/>
        </w:rPr>
        <w:t>3-4</w:t>
      </w:r>
      <w:r>
        <w:rPr>
          <w:rFonts w:hint="eastAsia" w:ascii="Times New Roman" w:hAnsi="Times New Roman" w:eastAsia="宋体" w:cs="Times New Roman"/>
          <w:strike w:val="0"/>
          <w:dstrike w:val="0"/>
          <w:color w:val="auto"/>
          <w:spacing w:val="0"/>
          <w:position w:val="0"/>
          <w:sz w:val="24"/>
          <w:szCs w:val="24"/>
          <w:highlight w:val="none"/>
          <w:lang w:val="en-US" w:eastAsia="zh-CN"/>
        </w:rPr>
        <w:t>公斤，混合精料</w:t>
      </w:r>
      <w:r>
        <w:rPr>
          <w:rFonts w:hint="default" w:ascii="Times New Roman" w:hAnsi="Times New Roman" w:eastAsia="宋体" w:cs="Times New Roman"/>
          <w:strike w:val="0"/>
          <w:dstrike w:val="0"/>
          <w:color w:val="auto"/>
          <w:spacing w:val="0"/>
          <w:position w:val="0"/>
          <w:sz w:val="24"/>
          <w:szCs w:val="24"/>
          <w:highlight w:val="none"/>
          <w:lang w:val="en-US" w:eastAsia="zh-CN"/>
        </w:rPr>
        <w:t>1-3</w:t>
      </w:r>
      <w:r>
        <w:rPr>
          <w:rFonts w:hint="eastAsia" w:ascii="Times New Roman" w:hAnsi="Times New Roman" w:eastAsia="宋体" w:cs="Times New Roman"/>
          <w:strike w:val="0"/>
          <w:dstrike w:val="0"/>
          <w:color w:val="auto"/>
          <w:spacing w:val="0"/>
          <w:position w:val="0"/>
          <w:sz w:val="24"/>
          <w:szCs w:val="24"/>
          <w:highlight w:val="none"/>
          <w:lang w:val="en-US" w:eastAsia="zh-CN"/>
        </w:rPr>
        <w:t>公斤，有条件的还加补锁阳</w:t>
      </w:r>
      <w:r>
        <w:rPr>
          <w:rFonts w:hint="default" w:ascii="Times New Roman" w:hAnsi="Times New Roman" w:eastAsia="宋体" w:cs="Times New Roman"/>
          <w:strike w:val="0"/>
          <w:dstrike w:val="0"/>
          <w:color w:val="auto"/>
          <w:spacing w:val="0"/>
          <w:position w:val="0"/>
          <w:sz w:val="24"/>
          <w:szCs w:val="24"/>
          <w:highlight w:val="none"/>
          <w:lang w:val="en-US" w:eastAsia="zh-CN"/>
        </w:rPr>
        <w:t>2-3</w:t>
      </w:r>
      <w:r>
        <w:rPr>
          <w:rFonts w:hint="eastAsia" w:ascii="Times New Roman" w:hAnsi="Times New Roman" w:eastAsia="宋体" w:cs="Times New Roman"/>
          <w:strike w:val="0"/>
          <w:dstrike w:val="0"/>
          <w:color w:val="auto"/>
          <w:spacing w:val="0"/>
          <w:position w:val="0"/>
          <w:sz w:val="24"/>
          <w:szCs w:val="24"/>
          <w:highlight w:val="none"/>
          <w:lang w:val="en-US" w:eastAsia="zh-CN"/>
        </w:rPr>
        <w:t>公斤。也有的在种公驼交配多（二次）的日子里，灌服酸奶</w:t>
      </w:r>
      <w:r>
        <w:rPr>
          <w:rFonts w:hint="default" w:ascii="Times New Roman" w:hAnsi="Times New Roman" w:eastAsia="宋体" w:cs="Times New Roman"/>
          <w:strike w:val="0"/>
          <w:dstrike w:val="0"/>
          <w:color w:val="auto"/>
          <w:spacing w:val="0"/>
          <w:position w:val="0"/>
          <w:sz w:val="24"/>
          <w:szCs w:val="24"/>
          <w:highlight w:val="none"/>
          <w:lang w:val="en-US" w:eastAsia="zh-CN"/>
        </w:rPr>
        <w:t>1-2</w:t>
      </w:r>
      <w:r>
        <w:rPr>
          <w:rFonts w:hint="eastAsia" w:ascii="Times New Roman" w:hAnsi="Times New Roman" w:eastAsia="宋体" w:cs="Times New Roman"/>
          <w:strike w:val="0"/>
          <w:dstrike w:val="0"/>
          <w:color w:val="auto"/>
          <w:spacing w:val="0"/>
          <w:position w:val="0"/>
          <w:sz w:val="24"/>
          <w:szCs w:val="24"/>
          <w:highlight w:val="none"/>
          <w:lang w:val="en-US" w:eastAsia="zh-CN"/>
        </w:rPr>
        <w:t>公斤，或带汤瘦羊肉</w:t>
      </w:r>
      <w:r>
        <w:rPr>
          <w:rFonts w:hint="default" w:ascii="Times New Roman" w:hAnsi="Times New Roman" w:eastAsia="宋体" w:cs="Times New Roman"/>
          <w:strike w:val="0"/>
          <w:dstrike w:val="0"/>
          <w:color w:val="auto"/>
          <w:spacing w:val="0"/>
          <w:position w:val="0"/>
          <w:sz w:val="24"/>
          <w:szCs w:val="24"/>
          <w:highlight w:val="none"/>
          <w:lang w:val="en-US" w:eastAsia="zh-CN"/>
        </w:rPr>
        <w:t>2-3</w:t>
      </w:r>
      <w:r>
        <w:rPr>
          <w:rFonts w:hint="eastAsia" w:ascii="Times New Roman" w:hAnsi="Times New Roman" w:eastAsia="宋体" w:cs="Times New Roman"/>
          <w:strike w:val="0"/>
          <w:dstrike w:val="0"/>
          <w:color w:val="auto"/>
          <w:spacing w:val="0"/>
          <w:position w:val="0"/>
          <w:sz w:val="24"/>
          <w:szCs w:val="24"/>
          <w:highlight w:val="none"/>
          <w:lang w:val="en-US" w:eastAsia="zh-CN"/>
        </w:rPr>
        <w:t>公斤。</w:t>
      </w:r>
    </w:p>
    <w:p w14:paraId="5C3D1EC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对于舍饲种公驼</w:t>
      </w:r>
      <w:r>
        <w:rPr>
          <w:rFonts w:hint="default" w:ascii="Times New Roman" w:hAnsi="Times New Roman" w:eastAsia="宋体" w:cs="Times New Roman"/>
          <w:strike w:val="0"/>
          <w:dstrike w:val="0"/>
          <w:color w:val="auto"/>
          <w:spacing w:val="0"/>
          <w:position w:val="0"/>
          <w:sz w:val="24"/>
          <w:szCs w:val="24"/>
          <w:highlight w:val="none"/>
          <w:lang w:val="en-US" w:eastAsia="zh-CN"/>
        </w:rPr>
        <w:t>,</w:t>
      </w:r>
      <w:r>
        <w:rPr>
          <w:rFonts w:hint="eastAsia" w:ascii="Times New Roman" w:hAnsi="Times New Roman" w:eastAsia="宋体" w:cs="Times New Roman"/>
          <w:strike w:val="0"/>
          <w:dstrike w:val="0"/>
          <w:color w:val="auto"/>
          <w:spacing w:val="0"/>
          <w:position w:val="0"/>
          <w:sz w:val="24"/>
          <w:szCs w:val="24"/>
          <w:highlight w:val="none"/>
          <w:lang w:val="en-US" w:eastAsia="zh-CN"/>
        </w:rPr>
        <w:t>配种期日粮，则接每</w:t>
      </w:r>
      <w:r>
        <w:rPr>
          <w:rFonts w:hint="default" w:ascii="Times New Roman" w:hAnsi="Times New Roman" w:eastAsia="宋体" w:cs="Times New Roman"/>
          <w:strike w:val="0"/>
          <w:dstrike w:val="0"/>
          <w:color w:val="auto"/>
          <w:spacing w:val="0"/>
          <w:position w:val="0"/>
          <w:sz w:val="24"/>
          <w:szCs w:val="24"/>
          <w:highlight w:val="none"/>
          <w:lang w:val="en-US" w:eastAsia="zh-CN"/>
        </w:rPr>
        <w:t>100</w:t>
      </w:r>
      <w:r>
        <w:rPr>
          <w:rFonts w:hint="eastAsia" w:ascii="Times New Roman" w:hAnsi="Times New Roman" w:eastAsia="宋体" w:cs="Times New Roman"/>
          <w:strike w:val="0"/>
          <w:dstrike w:val="0"/>
          <w:color w:val="auto"/>
          <w:spacing w:val="0"/>
          <w:position w:val="0"/>
          <w:sz w:val="24"/>
          <w:szCs w:val="24"/>
          <w:highlight w:val="none"/>
          <w:lang w:val="en-US" w:eastAsia="zh-CN"/>
        </w:rPr>
        <w:t>公斤活重，喂饲优良干草</w:t>
      </w:r>
      <w:r>
        <w:rPr>
          <w:rFonts w:hint="default" w:ascii="Times New Roman" w:hAnsi="Times New Roman" w:eastAsia="宋体" w:cs="Times New Roman"/>
          <w:strike w:val="0"/>
          <w:dstrike w:val="0"/>
          <w:color w:val="auto"/>
          <w:spacing w:val="0"/>
          <w:position w:val="0"/>
          <w:sz w:val="24"/>
          <w:szCs w:val="24"/>
          <w:highlight w:val="none"/>
          <w:lang w:val="en-US" w:eastAsia="zh-CN"/>
        </w:rPr>
        <w:t>0.8-1.2</w:t>
      </w:r>
      <w:r>
        <w:rPr>
          <w:rFonts w:hint="eastAsia" w:ascii="Times New Roman" w:hAnsi="Times New Roman" w:eastAsia="宋体" w:cs="Times New Roman"/>
          <w:strike w:val="0"/>
          <w:dstrike w:val="0"/>
          <w:color w:val="auto"/>
          <w:spacing w:val="0"/>
          <w:position w:val="0"/>
          <w:sz w:val="24"/>
          <w:szCs w:val="24"/>
          <w:highlight w:val="none"/>
          <w:lang w:val="en-US" w:eastAsia="zh-CN"/>
        </w:rPr>
        <w:t>公斤，多汁饲料</w:t>
      </w:r>
      <w:r>
        <w:rPr>
          <w:rFonts w:hint="default" w:ascii="Times New Roman" w:hAnsi="Times New Roman" w:eastAsia="宋体" w:cs="Times New Roman"/>
          <w:strike w:val="0"/>
          <w:dstrike w:val="0"/>
          <w:color w:val="auto"/>
          <w:spacing w:val="0"/>
          <w:position w:val="0"/>
          <w:sz w:val="24"/>
          <w:szCs w:val="24"/>
          <w:highlight w:val="none"/>
          <w:lang w:val="en-US" w:eastAsia="zh-CN"/>
        </w:rPr>
        <w:t>1.0-1.5</w:t>
      </w:r>
      <w:r>
        <w:rPr>
          <w:rFonts w:hint="eastAsia" w:ascii="Times New Roman" w:hAnsi="Times New Roman" w:eastAsia="宋体" w:cs="Times New Roman"/>
          <w:strike w:val="0"/>
          <w:dstrike w:val="0"/>
          <w:color w:val="auto"/>
          <w:spacing w:val="0"/>
          <w:position w:val="0"/>
          <w:sz w:val="24"/>
          <w:szCs w:val="24"/>
          <w:highlight w:val="none"/>
          <w:lang w:val="en-US" w:eastAsia="zh-CN"/>
        </w:rPr>
        <w:t>公斤，混合精料</w:t>
      </w:r>
      <w:r>
        <w:rPr>
          <w:rFonts w:hint="default" w:ascii="Times New Roman" w:hAnsi="Times New Roman" w:eastAsia="宋体" w:cs="Times New Roman"/>
          <w:strike w:val="0"/>
          <w:dstrike w:val="0"/>
          <w:color w:val="auto"/>
          <w:spacing w:val="0"/>
          <w:position w:val="0"/>
          <w:sz w:val="24"/>
          <w:szCs w:val="24"/>
          <w:highlight w:val="none"/>
          <w:lang w:val="en-US" w:eastAsia="zh-CN"/>
        </w:rPr>
        <w:t>0.5-1.0</w:t>
      </w:r>
      <w:r>
        <w:rPr>
          <w:rFonts w:hint="eastAsia" w:ascii="Times New Roman" w:hAnsi="Times New Roman" w:eastAsia="宋体" w:cs="Times New Roman"/>
          <w:strike w:val="0"/>
          <w:dstrike w:val="0"/>
          <w:color w:val="auto"/>
          <w:spacing w:val="0"/>
          <w:position w:val="0"/>
          <w:sz w:val="24"/>
          <w:szCs w:val="24"/>
          <w:highlight w:val="none"/>
          <w:lang w:val="en-US" w:eastAsia="zh-CN"/>
        </w:rPr>
        <w:t>公斤，以及相应数量的食盐和钙、磷，进行饲养。</w:t>
      </w:r>
    </w:p>
    <w:p w14:paraId="1A64227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在配种期里，骆驼食欲大为减少，腹部上卷，随着配种日数的增加，体力消耗很大，为了不影响配种受胎，除细心管理外，必须严格控制配种次数，每日不应超过两次，每周应停止配种一天。</w:t>
      </w:r>
    </w:p>
    <w:p w14:paraId="299EC0F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骆驼配种应在早晨或白天进行，晚上归牧后，将种公驼分开拴系，距母驼要有一定距离并给予补饲。配种场地不宜人多，应保持安静，一般公驼交配不需要辅助，唯遇到特殊的性情凶暴的公驼时，应有人在旁，以便临时进行辅助。运输途中若发现有发情母驼，卸驮后即行配种，最易受胎。</w:t>
      </w:r>
    </w:p>
    <w:p w14:paraId="4C7245B5">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配种结束后，四月中旬应剪去嗉毛，鬃毛和肘毛，除去笼头并编入骟驼群，进行收毛和夏秋的放牧管理。</w:t>
      </w:r>
    </w:p>
    <w:p w14:paraId="2572E776">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hint="eastAsia" w:ascii="Times New Roman" w:hAnsi="Times New Roman" w:eastAsia="宋体" w:cs="Times New Roman"/>
          <w:strike w:val="0"/>
          <w:dstrike w:val="0"/>
          <w:color w:val="auto"/>
          <w:spacing w:val="0"/>
          <w:position w:val="0"/>
          <w:sz w:val="24"/>
          <w:szCs w:val="24"/>
          <w:highlight w:val="none"/>
          <w:lang w:val="en-US" w:eastAsia="zh-CN"/>
        </w:rPr>
        <w:t>）初生驼羔的护理技术</w:t>
      </w:r>
    </w:p>
    <w:p w14:paraId="5D74BF43">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Times New Roman"/>
          <w:strike w:val="0"/>
          <w:dstrike w:val="0"/>
          <w:color w:val="auto"/>
          <w:spacing w:val="0"/>
          <w:position w:val="0"/>
          <w:sz w:val="24"/>
          <w:szCs w:val="24"/>
          <w:highlight w:val="none"/>
          <w:lang w:val="en-US" w:eastAsia="zh-CN"/>
        </w:rPr>
      </w:pPr>
      <w:r>
        <w:rPr>
          <w:rFonts w:hint="eastAsia" w:ascii="Times New Roman" w:hAnsi="Times New Roman" w:eastAsia="宋体" w:cs="Times New Roman"/>
          <w:strike w:val="0"/>
          <w:dstrike w:val="0"/>
          <w:color w:val="auto"/>
          <w:spacing w:val="0"/>
          <w:position w:val="0"/>
          <w:sz w:val="24"/>
          <w:szCs w:val="24"/>
          <w:highlight w:val="none"/>
          <w:lang w:val="en-US" w:eastAsia="zh-CN"/>
        </w:rPr>
        <w:t>初生驼羔的体重较小，一般只</w:t>
      </w:r>
      <w:r>
        <w:rPr>
          <w:rFonts w:hint="default" w:ascii="Times New Roman" w:hAnsi="Times New Roman" w:eastAsia="宋体" w:cs="Times New Roman"/>
          <w:strike w:val="0"/>
          <w:dstrike w:val="0"/>
          <w:color w:val="auto"/>
          <w:spacing w:val="0"/>
          <w:position w:val="0"/>
          <w:sz w:val="24"/>
          <w:szCs w:val="24"/>
          <w:highlight w:val="none"/>
          <w:lang w:val="en-US" w:eastAsia="zh-CN"/>
        </w:rPr>
        <w:t>35-45</w:t>
      </w:r>
      <w:r>
        <w:rPr>
          <w:rFonts w:hint="eastAsia" w:ascii="Times New Roman" w:hAnsi="Times New Roman" w:eastAsia="宋体" w:cs="Times New Roman"/>
          <w:strike w:val="0"/>
          <w:dstrike w:val="0"/>
          <w:color w:val="auto"/>
          <w:spacing w:val="0"/>
          <w:position w:val="0"/>
          <w:sz w:val="24"/>
          <w:szCs w:val="24"/>
          <w:highlight w:val="none"/>
          <w:lang w:val="en-US" w:eastAsia="zh-CN"/>
        </w:rPr>
        <w:t>公斤，个别初生重能达</w:t>
      </w:r>
      <w:r>
        <w:rPr>
          <w:rFonts w:hint="default" w:ascii="Times New Roman" w:hAnsi="Times New Roman" w:eastAsia="宋体" w:cs="Times New Roman"/>
          <w:strike w:val="0"/>
          <w:dstrike w:val="0"/>
          <w:color w:val="auto"/>
          <w:spacing w:val="0"/>
          <w:position w:val="0"/>
          <w:sz w:val="24"/>
          <w:szCs w:val="24"/>
          <w:highlight w:val="none"/>
          <w:lang w:val="en-US" w:eastAsia="zh-CN"/>
        </w:rPr>
        <w:t>60</w:t>
      </w:r>
      <w:r>
        <w:rPr>
          <w:rFonts w:hint="eastAsia" w:ascii="Times New Roman" w:hAnsi="Times New Roman" w:eastAsia="宋体" w:cs="Times New Roman"/>
          <w:strike w:val="0"/>
          <w:dstrike w:val="0"/>
          <w:color w:val="auto"/>
          <w:spacing w:val="0"/>
          <w:position w:val="0"/>
          <w:sz w:val="24"/>
          <w:szCs w:val="24"/>
          <w:highlight w:val="none"/>
          <w:lang w:val="en-US" w:eastAsia="zh-CN"/>
        </w:rPr>
        <w:t>公斤。与其母体比较，只占母驼活重的</w:t>
      </w:r>
      <w:r>
        <w:rPr>
          <w:rFonts w:hint="default" w:ascii="Times New Roman" w:hAnsi="Times New Roman" w:eastAsia="宋体" w:cs="Times New Roman"/>
          <w:strike w:val="0"/>
          <w:dstrike w:val="0"/>
          <w:color w:val="auto"/>
          <w:spacing w:val="0"/>
          <w:position w:val="0"/>
          <w:sz w:val="24"/>
          <w:szCs w:val="24"/>
          <w:highlight w:val="none"/>
          <w:lang w:val="en-US" w:eastAsia="zh-CN"/>
        </w:rPr>
        <w:t>5-7%</w:t>
      </w:r>
      <w:r>
        <w:rPr>
          <w:rFonts w:hint="eastAsia" w:ascii="Times New Roman" w:hAnsi="Times New Roman" w:eastAsia="宋体" w:cs="Times New Roman"/>
          <w:strike w:val="0"/>
          <w:dstrike w:val="0"/>
          <w:color w:val="auto"/>
          <w:spacing w:val="0"/>
          <w:position w:val="0"/>
          <w:sz w:val="24"/>
          <w:szCs w:val="24"/>
          <w:highlight w:val="none"/>
          <w:lang w:val="en-US" w:eastAsia="zh-CN"/>
        </w:rPr>
        <w:t>，所以初生驼羔一般较弱，往往步态踉跄，不能很好站立，而且生后十天内的体温调节酶的活动以及各组织器官的机能也很不健全。因此，必须加强护理。由于母驼不舐羔，所以接羔员应该用干布将口腔和头部天然孔的粘液擦净，撕去体外的套膜，擦干被毛，消毒脐带，用毡片包着胸腹，并将驼羔放在铺有干粪末的地上，晚上或恶劣天气，可将驼羔放入接羔棚中。</w:t>
      </w:r>
    </w:p>
    <w:p w14:paraId="37A57D2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第一次哺乳是在出生后</w:t>
      </w:r>
      <w:r>
        <w:rPr>
          <w:rFonts w:hint="default" w:ascii="Times New Roman" w:hAnsi="Times New Roman" w:eastAsia="宋体" w:cs="Times New Roman"/>
          <w:strike w:val="0"/>
          <w:dstrike w:val="0"/>
          <w:color w:val="auto"/>
          <w:spacing w:val="0"/>
          <w:position w:val="0"/>
          <w:sz w:val="24"/>
          <w:szCs w:val="24"/>
          <w:highlight w:val="none"/>
          <w:lang w:val="en-US" w:eastAsia="zh-CN"/>
        </w:rPr>
        <w:t>2-3</w:t>
      </w:r>
      <w:r>
        <w:rPr>
          <w:rFonts w:hint="eastAsia" w:ascii="Times New Roman" w:hAnsi="Times New Roman" w:eastAsia="宋体" w:cs="Times New Roman"/>
          <w:strike w:val="0"/>
          <w:dstrike w:val="0"/>
          <w:color w:val="auto"/>
          <w:spacing w:val="0"/>
          <w:position w:val="0"/>
          <w:sz w:val="24"/>
          <w:szCs w:val="24"/>
          <w:highlight w:val="none"/>
          <w:lang w:val="en-US" w:eastAsia="zh-CN"/>
        </w:rPr>
        <w:t>小时进行人工辅助。在哺乳前应洗净母驼乳房，并挤去最初几滴初乳。为了促进胎粪排出，可在哺乳之前给驼羔灌服</w:t>
      </w:r>
      <w:r>
        <w:rPr>
          <w:rFonts w:hint="default" w:ascii="Times New Roman" w:hAnsi="Times New Roman" w:eastAsia="宋体" w:cs="Times New Roman"/>
          <w:strike w:val="0"/>
          <w:dstrike w:val="0"/>
          <w:color w:val="auto"/>
          <w:spacing w:val="0"/>
          <w:position w:val="0"/>
          <w:sz w:val="24"/>
          <w:szCs w:val="24"/>
          <w:highlight w:val="none"/>
          <w:lang w:val="en-US" w:eastAsia="zh-CN"/>
        </w:rPr>
        <w:t>80-120</w:t>
      </w:r>
      <w:r>
        <w:rPr>
          <w:rFonts w:hint="eastAsia" w:ascii="Times New Roman" w:hAnsi="Times New Roman" w:eastAsia="宋体" w:cs="Times New Roman"/>
          <w:strike w:val="0"/>
          <w:dstrike w:val="0"/>
          <w:color w:val="auto"/>
          <w:spacing w:val="0"/>
          <w:position w:val="0"/>
          <w:sz w:val="24"/>
          <w:szCs w:val="24"/>
          <w:highlight w:val="none"/>
          <w:lang w:val="en-US" w:eastAsia="zh-CN"/>
        </w:rPr>
        <w:t>克蓖麻油或清油。第二次哺乳是在第一次哺乳后的</w:t>
      </w:r>
      <w:r>
        <w:rPr>
          <w:rFonts w:hint="default" w:ascii="Times New Roman" w:hAnsi="Times New Roman" w:eastAsia="宋体" w:cs="Times New Roman"/>
          <w:strike w:val="0"/>
          <w:dstrike w:val="0"/>
          <w:color w:val="auto"/>
          <w:spacing w:val="0"/>
          <w:position w:val="0"/>
          <w:sz w:val="24"/>
          <w:szCs w:val="24"/>
          <w:highlight w:val="none"/>
          <w:lang w:val="en-US" w:eastAsia="zh-CN"/>
        </w:rPr>
        <w:t>3-4</w:t>
      </w:r>
      <w:r>
        <w:rPr>
          <w:rFonts w:hint="eastAsia" w:ascii="Times New Roman" w:hAnsi="Times New Roman" w:eastAsia="宋体" w:cs="Times New Roman"/>
          <w:strike w:val="0"/>
          <w:dstrike w:val="0"/>
          <w:color w:val="auto"/>
          <w:spacing w:val="0"/>
          <w:position w:val="0"/>
          <w:sz w:val="24"/>
          <w:szCs w:val="24"/>
          <w:highlight w:val="none"/>
          <w:lang w:val="en-US" w:eastAsia="zh-CN"/>
        </w:rPr>
        <w:t>小时进行。以后哺乳，不论白天晚上，最好每三小时让母驼授乳一次。对于泌乳量较高的母驼，可每日早晚各挤乳一次，以防止驼羔过食，引起消化失调。</w:t>
      </w:r>
    </w:p>
    <w:p w14:paraId="7B0BCF8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Times New Roman"/>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有少数初产母驼不认羔，帮助哺乳的方法是：用绳将它的一条后腿拴在重袋上或桩上，把母驼稍向前牵，这条后腿被拉向后，就可在同侧帮助驼羔吮乳，经过三、四天后，母驼即能认羔。</w:t>
      </w:r>
    </w:p>
    <w:p w14:paraId="2A2301A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Times New Roman"/>
          <w:b/>
          <w:bCs/>
          <w:strike w:val="0"/>
          <w:dstrike w:val="0"/>
          <w:color w:val="auto"/>
          <w:spacing w:val="0"/>
          <w:position w:val="0"/>
          <w:sz w:val="24"/>
          <w:szCs w:val="24"/>
          <w:highlight w:val="none"/>
          <w:lang w:val="en-US" w:eastAsia="zh-CN"/>
        </w:rPr>
      </w:pPr>
      <w:r>
        <w:rPr>
          <w:rFonts w:hint="eastAsia" w:ascii="Times New Roman" w:hAnsi="Times New Roman" w:eastAsia="宋体" w:cs="Times New Roman"/>
          <w:b/>
          <w:bCs/>
          <w:strike w:val="0"/>
          <w:dstrike w:val="0"/>
          <w:color w:val="auto"/>
          <w:spacing w:val="0"/>
          <w:position w:val="0"/>
          <w:sz w:val="24"/>
          <w:szCs w:val="24"/>
          <w:highlight w:val="none"/>
          <w:lang w:val="en-US" w:eastAsia="zh-CN"/>
        </w:rPr>
        <w:t>2、饲料加工工艺流程</w:t>
      </w:r>
    </w:p>
    <w:p w14:paraId="4C69146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饲料制取设备混料箱内，通过绞龙和刀片的作用对饲料切碎、揉搓、软化及搓细，实现饲料的搅拌与混合</w:t>
      </w:r>
      <w:r>
        <w:rPr>
          <w:rFonts w:hint="eastAsia" w:ascii="Times New Roman" w:hAnsi="Times New Roman" w:eastAsia="宋体" w:cs="宋体"/>
          <w:strike w:val="0"/>
          <w:dstrike w:val="0"/>
          <w:color w:val="auto"/>
          <w:kern w:val="0"/>
          <w:sz w:val="24"/>
          <w:szCs w:val="24"/>
          <w:lang w:val="en-US" w:eastAsia="zh-CN" w:bidi="ar"/>
        </w:rPr>
        <w:t>。</w:t>
      </w:r>
    </w:p>
    <w:p w14:paraId="0D358B9A">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b/>
          <w:bCs/>
          <w:strike w:val="0"/>
          <w:dstrike w:val="0"/>
          <w:color w:val="auto"/>
          <w:spacing w:val="0"/>
          <w:position w:val="0"/>
          <w:sz w:val="24"/>
          <w:szCs w:val="24"/>
          <w:highlight w:val="none"/>
          <w:lang w:val="en-US" w:eastAsia="zh-CN"/>
        </w:rPr>
      </w:pPr>
      <w:r>
        <w:rPr>
          <w:rFonts w:hint="eastAsia" w:ascii="Times New Roman" w:hAnsi="Times New Roman" w:eastAsia="宋体" w:cs="宋体"/>
          <w:b/>
          <w:bCs/>
          <w:strike w:val="0"/>
          <w:dstrike w:val="0"/>
          <w:color w:val="auto"/>
          <w:spacing w:val="0"/>
          <w:position w:val="0"/>
          <w:sz w:val="24"/>
          <w:szCs w:val="24"/>
          <w:highlight w:val="none"/>
          <w:lang w:val="en-US" w:eastAsia="zh-CN"/>
        </w:rPr>
        <w:t>挤奶工序工艺流程</w:t>
      </w:r>
    </w:p>
    <w:p w14:paraId="3A30CB9D">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strike w:val="0"/>
          <w:dstrike w:val="0"/>
          <w:color w:val="auto"/>
          <w:kern w:val="0"/>
          <w:sz w:val="24"/>
          <w:szCs w:val="24"/>
          <w:lang w:val="en-US" w:eastAsia="zh-CN" w:bidi="ar"/>
        </w:rPr>
      </w:pPr>
      <w:r>
        <w:rPr>
          <w:rFonts w:hint="default" w:ascii="Times New Roman" w:hAnsi="Times New Roman" w:eastAsia="宋体" w:cs="宋体"/>
          <w:strike w:val="0"/>
          <w:dstrike w:val="0"/>
          <w:color w:val="auto"/>
          <w:kern w:val="0"/>
          <w:sz w:val="24"/>
          <w:szCs w:val="24"/>
          <w:lang w:val="en-US" w:eastAsia="zh-CN" w:bidi="ar"/>
        </w:rPr>
        <w:t>本项目泌乳母驼采用标准化机械挤奶工艺，整体流程密闭、卫生、连续。由于骆驼无储乳生理特性，泌乳需幼驼诱导刺激方可正常排乳。挤奶作业前，将泌乳母驼有序引导进入挤奶厅专用栏位，将幼驼牵至母驼旁，通过幼驼气味及吮吸刺激母驼形成泌乳反射。待排乳反应稳定后，工作人员采用温水对母驼乳房、乳头进行冲洗清洁，使用无菌毛巾擦干并对乳头进行消毒处理；随后人工挤出少量前奶进行感官检查，排查是否存在变质、异常乳，异常奶液全部废弃处置。确认乳质正常后，快速套接机械挤奶杯组，通过设备模拟自然吮吸脉动负压开展密闭挤奶作业，挤奶全过程奶液经密闭管道输送，无敞口暴露、无二次污染。挤奶完成后设备自动脱杯。</w:t>
      </w:r>
    </w:p>
    <w:p w14:paraId="3507BBE1">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strike w:val="0"/>
          <w:dstrike w:val="0"/>
          <w:color w:val="auto"/>
          <w:kern w:val="0"/>
          <w:sz w:val="24"/>
          <w:szCs w:val="24"/>
          <w:lang w:val="en-US" w:eastAsia="zh-CN" w:bidi="ar"/>
        </w:rPr>
      </w:pPr>
      <w:r>
        <w:rPr>
          <w:rFonts w:hint="default" w:ascii="Times New Roman" w:hAnsi="Times New Roman" w:eastAsia="宋体" w:cs="宋体"/>
          <w:strike w:val="0"/>
          <w:dstrike w:val="0"/>
          <w:color w:val="auto"/>
          <w:kern w:val="0"/>
          <w:sz w:val="24"/>
          <w:szCs w:val="24"/>
          <w:lang w:val="en-US" w:eastAsia="zh-CN" w:bidi="ar"/>
        </w:rPr>
        <w:t>采集的生鲜驼奶经管道进入过滤装置，去除驼毛、碎屑等杂质，过滤后的洁净鲜奶快速进入低温储奶罐，控制温度在4℃以下密闭暂存，保持原奶品质稳定，待统一外售转运。每日挤奶工作结束后，对挤奶杯组、输奶管道、储奶设备采用酸碱清洗、热水冲洗、杀菌消毒；同时对挤奶厅地面、栏位进行清扫冲洗，挤奶设备清洗废水、地面冲洗废水全部收集进入场区</w:t>
      </w:r>
      <w:r>
        <w:rPr>
          <w:rFonts w:hint="eastAsia" w:ascii="Times New Roman" w:hAnsi="Times New Roman" w:eastAsia="宋体" w:cs="宋体"/>
          <w:strike w:val="0"/>
          <w:dstrike w:val="0"/>
          <w:color w:val="auto"/>
          <w:kern w:val="0"/>
          <w:sz w:val="24"/>
          <w:szCs w:val="24"/>
          <w:lang w:val="en-US" w:eastAsia="zh-CN" w:bidi="ar"/>
        </w:rPr>
        <w:t>黑膜池</w:t>
      </w:r>
      <w:r>
        <w:rPr>
          <w:rFonts w:hint="default" w:ascii="Times New Roman" w:hAnsi="Times New Roman" w:eastAsia="宋体" w:cs="宋体"/>
          <w:strike w:val="0"/>
          <w:dstrike w:val="0"/>
          <w:color w:val="auto"/>
          <w:kern w:val="0"/>
          <w:sz w:val="24"/>
          <w:szCs w:val="24"/>
          <w:lang w:val="en-US" w:eastAsia="zh-CN" w:bidi="ar"/>
        </w:rPr>
        <w:t>。</w:t>
      </w:r>
    </w:p>
    <w:p w14:paraId="20052440">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b/>
          <w:bCs/>
          <w:strike w:val="0"/>
          <w:dstrike w:val="0"/>
          <w:color w:val="auto"/>
          <w:spacing w:val="0"/>
          <w:position w:val="0"/>
          <w:sz w:val="24"/>
          <w:szCs w:val="24"/>
          <w:highlight w:val="none"/>
          <w:lang w:val="en-US" w:eastAsia="zh-CN"/>
        </w:rPr>
      </w:pPr>
      <w:r>
        <w:rPr>
          <w:rFonts w:hint="eastAsia" w:ascii="Times New Roman" w:hAnsi="Times New Roman" w:eastAsia="宋体" w:cs="宋体"/>
          <w:b/>
          <w:bCs/>
          <w:strike w:val="0"/>
          <w:dstrike w:val="0"/>
          <w:color w:val="auto"/>
          <w:spacing w:val="0"/>
          <w:position w:val="0"/>
          <w:sz w:val="24"/>
          <w:szCs w:val="24"/>
          <w:highlight w:val="none"/>
          <w:lang w:val="en-US" w:eastAsia="zh-CN"/>
        </w:rPr>
        <w:t>4、粪便堆肥工艺流程</w:t>
      </w:r>
    </w:p>
    <w:p w14:paraId="38CCCCDB">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堆肥是指在有氧条件下，微生物通过自身的生物代谢活动，对一部分有机物进行分解代谢，即氧化分解以获得生物生长、活动所需要的能量，把另一部分有机物转化合成新的细胞物质，使微生物生长繁殖，产生更多的生物体</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同时好反应释放的热量形成高温(&gt;55℃)杀死病原微生物，从而实现畜禽粪便减量化、稳定化和无害化的过程</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将有机物转变为肥料，由不稳定状态转变为稳定的腐殖质物质</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畜禽粪便堆肥通常包括前处理、好氧发酵、后处理和贮存等过程</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发酵前需与发酵菌剂、秸秆混合，同时调节水分、碳氮比等指标，发酵过程中不断进行翻堆，从而促使其腐熟</w:t>
      </w:r>
      <w:r>
        <w:rPr>
          <w:rFonts w:hint="eastAsia" w:ascii="Times New Roman" w:hAnsi="Times New Roman" w:eastAsia="宋体" w:cs="宋体"/>
          <w:strike w:val="0"/>
          <w:dstrike w:val="0"/>
          <w:color w:val="auto"/>
          <w:spacing w:val="0"/>
          <w:position w:val="0"/>
          <w:sz w:val="24"/>
          <w:szCs w:val="24"/>
          <w:highlight w:val="none"/>
          <w:lang w:eastAsia="zh-CN"/>
        </w:rPr>
        <w:t>。</w:t>
      </w:r>
    </w:p>
    <w:p w14:paraId="2A95B6F0">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本项目用铲车及刮板将驼粪全部铲走拉到</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内,每次投入在表面再覆盖一层明砂，除臭并消毒，粪污在</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内发酵堆肥后产生有机肥</w:t>
      </w:r>
      <w:r>
        <w:rPr>
          <w:rFonts w:hint="eastAsia" w:ascii="Times New Roman" w:hAnsi="Times New Roman" w:eastAsia="宋体" w:cs="宋体"/>
          <w:strike w:val="0"/>
          <w:dstrike w:val="0"/>
          <w:color w:val="auto"/>
          <w:spacing w:val="0"/>
          <w:position w:val="0"/>
          <w:sz w:val="24"/>
          <w:szCs w:val="24"/>
          <w:highlight w:val="none"/>
          <w:lang w:eastAsia="zh-CN"/>
        </w:rPr>
        <w:t>。</w:t>
      </w:r>
    </w:p>
    <w:p w14:paraId="0F22DBE5">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本项目驼粪堆入</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中进行厌氧发酵</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粪便中有机物经过微生物厌氧分解发酵过程分为液化、酸化、产甲烷三个阶段</w:t>
      </w:r>
      <w:r>
        <w:rPr>
          <w:rFonts w:hint="eastAsia" w:ascii="Times New Roman" w:hAnsi="Times New Roman" w:eastAsia="宋体" w:cs="宋体"/>
          <w:strike w:val="0"/>
          <w:dstrike w:val="0"/>
          <w:color w:val="auto"/>
          <w:spacing w:val="0"/>
          <w:position w:val="0"/>
          <w:sz w:val="24"/>
          <w:szCs w:val="24"/>
          <w:highlight w:val="none"/>
          <w:lang w:eastAsia="zh-CN"/>
        </w:rPr>
        <w:t>。</w:t>
      </w:r>
    </w:p>
    <w:p w14:paraId="7E121867">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①液化阶段</w:t>
      </w:r>
    </w:p>
    <w:p w14:paraId="07FEB091">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厌氧菌种利用胞外酶对有机物进行酶解，使固态物变成可溶于水的物质</w:t>
      </w:r>
    </w:p>
    <w:p w14:paraId="1CA6D819">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②产酸阶段</w:t>
      </w:r>
    </w:p>
    <w:p w14:paraId="365AA053">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依靠产酸菌将上述可溶物生成酸性中间物:</w:t>
      </w:r>
    </w:p>
    <w:p w14:paraId="3508C83A">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③产甲烷阶段</w:t>
      </w:r>
    </w:p>
    <w:p w14:paraId="1594B02D">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rPr>
        <w:t>最后由甲烷菌利用酸性中间物以及物料中的其他碳类化合物转化为甲烷，经过再次微生物发酵后，便是价值较高的有机肥</w:t>
      </w:r>
    </w:p>
    <w:p w14:paraId="0B9C7C77">
      <w:pPr>
        <w:keepNext w:val="0"/>
        <w:keepLines w:val="0"/>
        <w:pageBreakBefore w:val="0"/>
        <w:widowControl w:val="0"/>
        <w:kinsoku/>
        <w:wordWrap/>
        <w:overflowPunct/>
        <w:topLinePunct w:val="0"/>
        <w:autoSpaceDE/>
        <w:autoSpaceDN/>
        <w:bidi w:val="0"/>
        <w:adjustRightInd/>
        <w:snapToGrid/>
        <w:spacing w:line="480" w:lineRule="exact"/>
        <w:ind w:left="0" w:right="0" w:firstLine="45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rPr>
        <w:t>本项目设置</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1座，面积为</w:t>
      </w:r>
      <w:r>
        <w:rPr>
          <w:rFonts w:hint="eastAsia" w:ascii="Times New Roman" w:hAnsi="Times New Roman" w:eastAsia="宋体" w:cs="宋体"/>
          <w:strike w:val="0"/>
          <w:dstrike w:val="0"/>
          <w:color w:val="auto"/>
          <w:spacing w:val="0"/>
          <w:position w:val="0"/>
          <w:sz w:val="24"/>
          <w:szCs w:val="24"/>
          <w:highlight w:val="none"/>
          <w:lang w:val="en-US" w:eastAsia="zh-CN"/>
        </w:rPr>
        <w:t>2000m</w:t>
      </w:r>
      <w:r>
        <w:rPr>
          <w:rFonts w:hint="eastAsia" w:ascii="Times New Roman" w:hAnsi="Times New Roman" w:eastAsia="宋体" w:cs="宋体"/>
          <w:strike w:val="0"/>
          <w:dstrike w:val="0"/>
          <w:color w:val="auto"/>
          <w:spacing w:val="0"/>
          <w:position w:val="0"/>
          <w:sz w:val="24"/>
          <w:szCs w:val="24"/>
          <w:highlight w:val="none"/>
          <w:vertAlign w:val="superscript"/>
          <w:lang w:val="en-US" w:eastAsia="zh-CN"/>
        </w:rPr>
        <w:t>2</w:t>
      </w:r>
      <w:r>
        <w:rPr>
          <w:rFonts w:hint="eastAsia" w:ascii="Times New Roman" w:hAnsi="Times New Roman" w:eastAsia="宋体" w:cs="宋体"/>
          <w:strike w:val="0"/>
          <w:dstrike w:val="0"/>
          <w:color w:val="auto"/>
          <w:spacing w:val="0"/>
          <w:position w:val="0"/>
          <w:sz w:val="24"/>
          <w:szCs w:val="24"/>
          <w:highlight w:val="none"/>
        </w:rPr>
        <w:t>，对</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地面进行水泥混凝士硬化防渗处理</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本项目粪肥在项目区内最大贮存天数为20d</w:t>
      </w:r>
      <w:r>
        <w:rPr>
          <w:rFonts w:hint="eastAsia" w:ascii="Times New Roman" w:hAnsi="Times New Roman" w:eastAsia="宋体" w:cs="宋体"/>
          <w:strike w:val="0"/>
          <w:dstrike w:val="0"/>
          <w:color w:val="auto"/>
          <w:spacing w:val="0"/>
          <w:position w:val="0"/>
          <w:sz w:val="24"/>
          <w:szCs w:val="24"/>
          <w:highlight w:val="none"/>
          <w:lang w:eastAsia="zh-CN"/>
        </w:rPr>
        <w:t>。堆肥场</w:t>
      </w:r>
      <w:r>
        <w:rPr>
          <w:rFonts w:hint="eastAsia" w:ascii="Times New Roman" w:hAnsi="Times New Roman" w:eastAsia="宋体" w:cs="宋体"/>
          <w:strike w:val="0"/>
          <w:dstrike w:val="0"/>
          <w:color w:val="auto"/>
          <w:spacing w:val="0"/>
          <w:position w:val="0"/>
          <w:sz w:val="24"/>
          <w:szCs w:val="24"/>
          <w:highlight w:val="none"/>
        </w:rPr>
        <w:t>的结构应符合《畜禽粪便贮存设施设计要求》(GB/T27622-2011)的有关规定，具有防渗漏功能，不得污染地下水，对易侵蚀的部位，应按照GB50046的规定采取相应的防腐蚀措施</w:t>
      </w:r>
      <w:r>
        <w:rPr>
          <w:rFonts w:hint="eastAsia" w:ascii="Times New Roman" w:hAnsi="Times New Roman" w:eastAsia="宋体" w:cs="宋体"/>
          <w:strike w:val="0"/>
          <w:dstrike w:val="0"/>
          <w:color w:val="auto"/>
          <w:spacing w:val="0"/>
          <w:position w:val="0"/>
          <w:sz w:val="24"/>
          <w:szCs w:val="24"/>
          <w:highlight w:val="none"/>
          <w:lang w:eastAsia="zh-CN"/>
        </w:rPr>
        <w:t>。</w:t>
      </w:r>
    </w:p>
    <w:p w14:paraId="1C7467DE">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b/>
          <w:bCs/>
          <w:strike w:val="0"/>
          <w:dstrike w:val="0"/>
          <w:color w:val="auto"/>
          <w:spacing w:val="0"/>
          <w:position w:val="0"/>
          <w:sz w:val="24"/>
          <w:szCs w:val="24"/>
          <w:highlight w:val="none"/>
        </w:rPr>
      </w:pPr>
      <w:r>
        <w:rPr>
          <w:rFonts w:ascii="Times New Roman" w:hAnsi="Times New Roman" w:eastAsia="宋体" w:cs="Times New Roman"/>
          <w:b/>
          <w:bCs/>
          <w:strike w:val="0"/>
          <w:dstrike w:val="0"/>
          <w:color w:val="auto"/>
          <w:spacing w:val="0"/>
          <w:position w:val="0"/>
          <w:sz w:val="24"/>
          <w:szCs w:val="24"/>
          <w:highlight w:val="none"/>
        </w:rPr>
        <w:t>3</w:t>
      </w:r>
      <w:r>
        <w:rPr>
          <w:rFonts w:ascii="Times New Roman" w:hAnsi="Times New Roman" w:eastAsia="宋体" w:cs="宋体"/>
          <w:b/>
          <w:bCs/>
          <w:strike w:val="0"/>
          <w:dstrike w:val="0"/>
          <w:color w:val="auto"/>
          <w:spacing w:val="0"/>
          <w:position w:val="0"/>
          <w:sz w:val="24"/>
          <w:szCs w:val="24"/>
          <w:highlight w:val="none"/>
        </w:rPr>
        <w:t>、废水的处理</w:t>
      </w:r>
    </w:p>
    <w:p w14:paraId="267A2695">
      <w:pPr>
        <w:widowControl/>
        <w:spacing w:line="440" w:lineRule="exact"/>
        <w:ind w:firstLine="480" w:firstLineChars="200"/>
        <w:jc w:val="left"/>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本项目废水采取黑膜池工艺处理，工艺流程简要说明：项目区内</w:t>
      </w:r>
      <w:r>
        <w:rPr>
          <w:rFonts w:hint="eastAsia" w:ascii="Times New Roman" w:hAnsi="Times New Roman" w:eastAsia="宋体" w:cs="宋体"/>
          <w:color w:val="auto"/>
          <w:kern w:val="0"/>
          <w:sz w:val="24"/>
          <w:lang w:val="en-US" w:eastAsia="zh-CN" w:bidi="ar"/>
        </w:rPr>
        <w:t>生产</w:t>
      </w:r>
      <w:r>
        <w:rPr>
          <w:rFonts w:hint="eastAsia" w:ascii="Times New Roman" w:hAnsi="Times New Roman" w:eastAsia="宋体" w:cs="宋体"/>
          <w:color w:val="auto"/>
          <w:kern w:val="0"/>
          <w:sz w:val="24"/>
          <w:lang w:bidi="ar"/>
        </w:rPr>
        <w:t>废水</w:t>
      </w:r>
      <w:r>
        <w:rPr>
          <w:rFonts w:hint="eastAsia" w:ascii="Times New Roman" w:hAnsi="Times New Roman" w:eastAsia="宋体" w:cs="宋体"/>
          <w:color w:val="auto"/>
          <w:kern w:val="0"/>
          <w:sz w:val="24"/>
          <w:lang w:val="en-US" w:eastAsia="zh-CN" w:bidi="ar"/>
        </w:rPr>
        <w:t>和生活污水</w:t>
      </w:r>
      <w:r>
        <w:rPr>
          <w:rFonts w:hint="eastAsia" w:ascii="Times New Roman" w:hAnsi="Times New Roman" w:eastAsia="宋体" w:cs="宋体"/>
          <w:color w:val="auto"/>
          <w:kern w:val="0"/>
          <w:sz w:val="24"/>
          <w:lang w:bidi="ar"/>
        </w:rPr>
        <w:t>均采取密闭管道收集后进入黑膜池中，同时管道中设置水封，防止恶臭气体通过污水管道流进</w:t>
      </w:r>
      <w:r>
        <w:rPr>
          <w:rFonts w:hint="eastAsia" w:ascii="Times New Roman" w:hAnsi="Times New Roman" w:eastAsia="宋体" w:cs="宋体"/>
          <w:color w:val="auto"/>
          <w:kern w:val="0"/>
          <w:sz w:val="24"/>
          <w:lang w:val="en-US" w:eastAsia="zh-CN" w:bidi="ar"/>
        </w:rPr>
        <w:t>挤奶厅</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bidi="ar"/>
        </w:rPr>
        <w:t>本项目所设计的黑膜池采用双层覆膜技术，具有防渗防蒸发的功能；能减少恶臭气体的挥发，减少对周围环境的影响</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黑膜池增设导排孔，产生的少量CH</w:t>
      </w:r>
      <w:r>
        <w:rPr>
          <w:rFonts w:hint="eastAsia" w:ascii="Times New Roman" w:hAnsi="Times New Roman" w:eastAsia="宋体" w:cs="宋体"/>
          <w:color w:val="auto"/>
          <w:kern w:val="0"/>
          <w:sz w:val="24"/>
          <w:vertAlign w:val="subscript"/>
          <w:lang w:val="en-US" w:eastAsia="zh-CN" w:bidi="ar"/>
        </w:rPr>
        <w:t>4</w:t>
      </w:r>
      <w:r>
        <w:rPr>
          <w:rFonts w:hint="eastAsia" w:ascii="Times New Roman" w:hAnsi="Times New Roman" w:eastAsia="宋体" w:cs="宋体"/>
          <w:color w:val="auto"/>
          <w:kern w:val="0"/>
          <w:sz w:val="24"/>
          <w:vertAlign w:val="baseline"/>
          <w:lang w:val="en-US" w:eastAsia="zh-CN" w:bidi="ar"/>
        </w:rPr>
        <w:t>、H</w:t>
      </w:r>
      <w:r>
        <w:rPr>
          <w:rFonts w:hint="eastAsia" w:ascii="Times New Roman" w:hAnsi="Times New Roman" w:eastAsia="宋体" w:cs="宋体"/>
          <w:color w:val="auto"/>
          <w:kern w:val="0"/>
          <w:sz w:val="24"/>
          <w:vertAlign w:val="subscript"/>
          <w:lang w:val="en-US" w:eastAsia="zh-CN" w:bidi="ar"/>
        </w:rPr>
        <w:t>2</w:t>
      </w:r>
      <w:r>
        <w:rPr>
          <w:rFonts w:hint="eastAsia" w:ascii="Times New Roman" w:hAnsi="Times New Roman" w:eastAsia="宋体" w:cs="宋体"/>
          <w:color w:val="auto"/>
          <w:kern w:val="0"/>
          <w:sz w:val="24"/>
          <w:vertAlign w:val="baseline"/>
          <w:lang w:val="en-US" w:eastAsia="zh-CN" w:bidi="ar"/>
        </w:rPr>
        <w:t>S、NH</w:t>
      </w:r>
      <w:r>
        <w:rPr>
          <w:rFonts w:hint="eastAsia" w:ascii="Times New Roman" w:hAnsi="Times New Roman" w:eastAsia="宋体" w:cs="宋体"/>
          <w:color w:val="auto"/>
          <w:kern w:val="0"/>
          <w:sz w:val="24"/>
          <w:vertAlign w:val="subscript"/>
          <w:lang w:val="en-US" w:eastAsia="zh-CN" w:bidi="ar"/>
        </w:rPr>
        <w:t>3</w:t>
      </w:r>
      <w:r>
        <w:rPr>
          <w:rFonts w:hint="eastAsia" w:ascii="Times New Roman" w:hAnsi="Times New Roman" w:eastAsia="宋体" w:cs="宋体"/>
          <w:color w:val="auto"/>
          <w:kern w:val="0"/>
          <w:sz w:val="24"/>
          <w:vertAlign w:val="baseline"/>
          <w:lang w:val="en-US" w:eastAsia="zh-CN" w:bidi="ar"/>
        </w:rPr>
        <w:t>以无组织形式排放</w:t>
      </w:r>
      <w:r>
        <w:rPr>
          <w:rFonts w:hint="eastAsia" w:ascii="Times New Roman" w:hAnsi="Times New Roman" w:eastAsia="宋体" w:cs="宋体"/>
          <w:color w:val="auto"/>
          <w:kern w:val="0"/>
          <w:sz w:val="24"/>
          <w:lang w:bidi="ar"/>
        </w:rPr>
        <w:t>。黑膜池系统简单、施工快捷，存储过程中无渗漏无蒸发，能减少存储过程中恶臭的挥发，同时存储过程中对周边大气、土壤、地下水等也不造成污染，是一种绿色、环保、高效、经济的废水存储和处置方式。厌氧消化的优点是反应速度快，适应性强，操作简单、投资较少。</w:t>
      </w:r>
    </w:p>
    <w:p w14:paraId="75F0E167">
      <w:pPr>
        <w:pStyle w:val="5"/>
        <w:ind w:firstLine="482"/>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3.2.2.2</w:t>
      </w:r>
      <w:r>
        <w:rPr>
          <w:rFonts w:hint="eastAsia" w:ascii="Times New Roman" w:hAnsi="Times New Roman" w:eastAsia="宋体"/>
          <w:strike w:val="0"/>
          <w:dstrike w:val="0"/>
          <w:color w:val="auto"/>
          <w:highlight w:val="none"/>
          <w:lang w:val="en-US" w:eastAsia="zh-CN"/>
        </w:rPr>
        <w:t>产物节点分析</w:t>
      </w:r>
    </w:p>
    <w:p w14:paraId="5DFEAA9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废气：</w:t>
      </w:r>
      <w:r>
        <w:rPr>
          <w:rFonts w:hint="eastAsia" w:ascii="Times New Roman" w:hAnsi="Times New Roman" w:eastAsia="宋体"/>
          <w:strike w:val="0"/>
          <w:dstrike w:val="0"/>
          <w:color w:val="auto"/>
          <w:highlight w:val="none"/>
          <w:lang w:eastAsia="zh-CN"/>
        </w:rPr>
        <w:t>骆驼圈舍</w:t>
      </w:r>
      <w:r>
        <w:rPr>
          <w:rFonts w:ascii="Times New Roman" w:hAnsi="Times New Roman" w:eastAsia="宋体"/>
          <w:strike w:val="0"/>
          <w:dstrike w:val="0"/>
          <w:color w:val="auto"/>
          <w:highlight w:val="none"/>
        </w:rPr>
        <w:t>养殖</w:t>
      </w:r>
      <w:r>
        <w:rPr>
          <w:rFonts w:hint="eastAsia" w:ascii="Times New Roman" w:hAnsi="Times New Roman" w:eastAsia="宋体"/>
          <w:strike w:val="0"/>
          <w:dstrike w:val="0"/>
          <w:color w:val="auto"/>
          <w:highlight w:val="none"/>
          <w:lang w:val="en-US" w:eastAsia="zh-CN"/>
        </w:rPr>
        <w:t>、堆肥场、黑膜池</w:t>
      </w:r>
      <w:r>
        <w:rPr>
          <w:rFonts w:ascii="Times New Roman" w:hAnsi="Times New Roman" w:eastAsia="宋体"/>
          <w:strike w:val="0"/>
          <w:dstrike w:val="0"/>
          <w:color w:val="auto"/>
          <w:highlight w:val="none"/>
        </w:rPr>
        <w:t>恶臭；</w:t>
      </w:r>
    </w:p>
    <w:p w14:paraId="0F657FD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废水：职工生活污水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挤奶厅（待挤区）清洗废水、设备清洗废水</w:t>
      </w:r>
      <w:r>
        <w:rPr>
          <w:rFonts w:ascii="Times New Roman" w:hAnsi="Times New Roman" w:eastAsia="宋体"/>
          <w:strike w:val="0"/>
          <w:dstrike w:val="0"/>
          <w:color w:val="auto"/>
          <w:highlight w:val="none"/>
        </w:rPr>
        <w:t>；</w:t>
      </w:r>
    </w:p>
    <w:p w14:paraId="6CB8D15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噪声：设备噪声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骆驼叫声</w:t>
      </w:r>
      <w:r>
        <w:rPr>
          <w:rFonts w:ascii="Times New Roman" w:hAnsi="Times New Roman" w:eastAsia="宋体"/>
          <w:strike w:val="0"/>
          <w:dstrike w:val="0"/>
          <w:color w:val="auto"/>
          <w:highlight w:val="none"/>
        </w:rPr>
        <w:t>；</w:t>
      </w:r>
    </w:p>
    <w:p w14:paraId="0A439B7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固体废物：</w:t>
      </w:r>
      <w:r>
        <w:rPr>
          <w:rFonts w:hint="eastAsia" w:ascii="Times New Roman" w:hAnsi="Times New Roman" w:eastAsia="宋体"/>
          <w:strike w:val="0"/>
          <w:dstrike w:val="0"/>
          <w:color w:val="auto"/>
          <w:highlight w:val="none"/>
          <w:lang w:val="en-US" w:eastAsia="zh-CN"/>
        </w:rPr>
        <w:t>粪便</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病死骆驼、分娩废弃物（胎衣、死胎、胎盘附属物）、挤奶大厅废弃的一次性挤奶耗材、塑料奶管、废弃包装物、生活垃圾、医疗废物、</w:t>
      </w:r>
      <w:r>
        <w:rPr>
          <w:rFonts w:hint="eastAsia" w:ascii="Times New Roman" w:hAnsi="Times New Roman" w:eastAsia="宋体"/>
          <w:strike w:val="0"/>
          <w:dstrike w:val="0"/>
          <w:color w:val="auto"/>
          <w:highlight w:val="none"/>
          <w:lang w:val="en-US" w:eastAsia="zh-CN"/>
        </w:rPr>
        <w:t>黑膜池污泥</w:t>
      </w:r>
      <w:r>
        <w:rPr>
          <w:rFonts w:hint="eastAsia" w:ascii="Times New Roman" w:hAnsi="Times New Roman" w:eastAsia="宋体"/>
          <w:strike w:val="0"/>
          <w:dstrike w:val="0"/>
          <w:color w:val="auto"/>
          <w:highlight w:val="none"/>
          <w:lang w:eastAsia="zh-CN"/>
        </w:rPr>
        <w:t>。</w:t>
      </w:r>
    </w:p>
    <w:p w14:paraId="092988A6">
      <w:pPr>
        <w:pStyle w:val="3"/>
        <w:rPr>
          <w:rFonts w:ascii="Times New Roman" w:hAnsi="Times New Roman" w:eastAsia="宋体"/>
          <w:strike w:val="0"/>
          <w:dstrike w:val="0"/>
          <w:color w:val="auto"/>
          <w:highlight w:val="none"/>
        </w:rPr>
      </w:pPr>
      <w:bookmarkStart w:id="140" w:name="_Toc428807952"/>
      <w:bookmarkStart w:id="141" w:name="_Toc394331577"/>
      <w:bookmarkStart w:id="142" w:name="_Toc30834"/>
      <w:bookmarkStart w:id="143" w:name="_Toc414533970"/>
      <w:bookmarkStart w:id="144" w:name="_Toc17579"/>
      <w:bookmarkStart w:id="145" w:name="_Toc89619335"/>
      <w:bookmarkStart w:id="146" w:name="_Toc4478"/>
      <w:r>
        <w:rPr>
          <w:rFonts w:ascii="Times New Roman" w:hAnsi="Times New Roman" w:eastAsia="宋体"/>
          <w:strike w:val="0"/>
          <w:dstrike w:val="0"/>
          <w:color w:val="auto"/>
          <w:highlight w:val="none"/>
        </w:rPr>
        <w:t>3.</w:t>
      </w:r>
      <w:bookmarkEnd w:id="140"/>
      <w:bookmarkEnd w:id="141"/>
      <w:bookmarkEnd w:id="142"/>
      <w:bookmarkEnd w:id="143"/>
      <w:r>
        <w:rPr>
          <w:rFonts w:hint="eastAsia" w:ascii="Times New Roman" w:hAnsi="Times New Roman" w:eastAsia="宋体"/>
          <w:strike w:val="0"/>
          <w:dstrike w:val="0"/>
          <w:color w:val="auto"/>
          <w:highlight w:val="none"/>
        </w:rPr>
        <w:t>3污染源源强分析</w:t>
      </w:r>
      <w:bookmarkEnd w:id="144"/>
      <w:bookmarkEnd w:id="145"/>
      <w:bookmarkEnd w:id="146"/>
    </w:p>
    <w:p w14:paraId="00DF4570">
      <w:pPr>
        <w:pStyle w:val="4"/>
        <w:rPr>
          <w:rFonts w:ascii="Times New Roman" w:hAnsi="Times New Roman" w:eastAsia="宋体"/>
          <w:strike w:val="0"/>
          <w:dstrike w:val="0"/>
          <w:color w:val="auto"/>
          <w:highlight w:val="none"/>
        </w:rPr>
      </w:pPr>
      <w:bookmarkStart w:id="147" w:name="_Toc6472"/>
      <w:bookmarkStart w:id="148" w:name="_Toc106663471"/>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.1施工期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bookmarkEnd w:id="147"/>
      <w:bookmarkEnd w:id="148"/>
    </w:p>
    <w:p w14:paraId="741A487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3.3.1.1施工期大气污染源</w:t>
      </w:r>
    </w:p>
    <w:p w14:paraId="280EC69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施工期间影响环境空气质量的主要污染物是施工扬尘、运送施工材料、设施的车辆，施工机械运行时排产生的废气</w:t>
      </w:r>
      <w:r>
        <w:rPr>
          <w:rFonts w:hint="eastAsia" w:ascii="Times New Roman" w:hAnsi="Times New Roman" w:eastAsia="宋体"/>
          <w:strike w:val="0"/>
          <w:dstrike w:val="0"/>
          <w:color w:val="auto"/>
          <w:highlight w:val="none"/>
          <w:lang w:eastAsia="zh-CN"/>
        </w:rPr>
        <w:t>。</w:t>
      </w:r>
    </w:p>
    <w:p w14:paraId="3485EA4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（1）施工扬尘</w:t>
      </w:r>
    </w:p>
    <w:p w14:paraId="2B16931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主体工程、辅助工程、公用工程基础施工、环保工程等的土建挖取土（石）、推土、场地平整、施工沙石材料等的装卸、运输过程中有扬尘产生，另外土石方的临时堆放过程中也将有扬尘产生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扬尘产生的大小与施工管理、气象（特别是风速）条件等密切相关，也与扬尘本身沉降速度有关</w:t>
      </w:r>
      <w:r>
        <w:rPr>
          <w:rFonts w:hint="eastAsia" w:ascii="Times New Roman" w:hAnsi="Times New Roman" w:eastAsia="宋体"/>
          <w:strike w:val="0"/>
          <w:dstrike w:val="0"/>
          <w:color w:val="auto"/>
          <w:highlight w:val="none"/>
          <w:lang w:eastAsia="zh-CN"/>
        </w:rPr>
        <w:t>。</w:t>
      </w:r>
    </w:p>
    <w:p w14:paraId="79B3130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①土石方施工及堆放扬尘</w:t>
      </w:r>
    </w:p>
    <w:p w14:paraId="1DFA8E4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间静态起尘主要是土石方施工及堆放过程中土方开挖、回填过程中产生的扬尘以及临时土石方、建筑垃圾等堆放过程中因风力作用引起的扬尘，另外，在施工时地表清理、施工后临时土石方、弃方清理后将造成地表裸露，在风力作用下，亦可产生扬尘</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由前述可知，此类扬尘产生量与气象风速、扬尘沉降速度有关，不同粒径扬尘的沉降速度见表3.3-1</w:t>
      </w:r>
      <w:r>
        <w:rPr>
          <w:rFonts w:hint="eastAsia" w:ascii="Times New Roman" w:hAnsi="Times New Roman" w:eastAsia="宋体"/>
          <w:strike w:val="0"/>
          <w:dstrike w:val="0"/>
          <w:color w:val="auto"/>
          <w:highlight w:val="none"/>
          <w:lang w:eastAsia="zh-CN"/>
        </w:rPr>
        <w:t>。</w:t>
      </w:r>
    </w:p>
    <w:p w14:paraId="61E5C3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表3.3-1不同粒径扬尘沉降速度一览表</w:t>
      </w:r>
    </w:p>
    <w:tbl>
      <w:tblPr>
        <w:tblStyle w:val="6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986"/>
        <w:gridCol w:w="921"/>
        <w:gridCol w:w="857"/>
        <w:gridCol w:w="863"/>
        <w:gridCol w:w="1066"/>
        <w:gridCol w:w="1066"/>
        <w:gridCol w:w="1066"/>
      </w:tblGrid>
      <w:tr w14:paraId="7E5B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22661597">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粉尘粒径（</w:t>
            </w:r>
            <w:r>
              <w:rPr>
                <w:rFonts w:hint="eastAsia" w:ascii="Times New Roman" w:hAnsi="Times New Roman" w:eastAsia="宋体"/>
                <w:strike w:val="0"/>
                <w:dstrike w:val="0"/>
                <w:color w:val="auto"/>
                <w:sz w:val="21"/>
                <w:szCs w:val="21"/>
                <w:highlight w:val="none"/>
                <w:lang w:eastAsia="en-US" w:bidi="en-US"/>
              </w:rPr>
              <w:t>μm</w:t>
            </w:r>
            <w:r>
              <w:rPr>
                <w:rFonts w:hint="eastAsia" w:ascii="Times New Roman" w:hAnsi="Times New Roman" w:eastAsia="宋体"/>
                <w:strike w:val="0"/>
                <w:dstrike w:val="0"/>
                <w:color w:val="auto"/>
                <w:sz w:val="21"/>
                <w:szCs w:val="21"/>
                <w:highlight w:val="none"/>
                <w:lang w:bidi="en-US"/>
              </w:rPr>
              <w:t>）</w:t>
            </w:r>
          </w:p>
        </w:tc>
        <w:tc>
          <w:tcPr>
            <w:tcW w:w="986" w:type="dxa"/>
            <w:vAlign w:val="center"/>
          </w:tcPr>
          <w:p w14:paraId="15A18DC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w:t>
            </w:r>
          </w:p>
        </w:tc>
        <w:tc>
          <w:tcPr>
            <w:tcW w:w="921" w:type="dxa"/>
            <w:vAlign w:val="center"/>
          </w:tcPr>
          <w:p w14:paraId="195077B2">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20</w:t>
            </w:r>
          </w:p>
        </w:tc>
        <w:tc>
          <w:tcPr>
            <w:tcW w:w="857" w:type="dxa"/>
            <w:vAlign w:val="center"/>
          </w:tcPr>
          <w:p w14:paraId="612A7C0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30</w:t>
            </w:r>
          </w:p>
        </w:tc>
        <w:tc>
          <w:tcPr>
            <w:tcW w:w="863" w:type="dxa"/>
            <w:vAlign w:val="center"/>
          </w:tcPr>
          <w:p w14:paraId="4B95620E">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40</w:t>
            </w:r>
          </w:p>
        </w:tc>
        <w:tc>
          <w:tcPr>
            <w:tcW w:w="1066" w:type="dxa"/>
            <w:vAlign w:val="center"/>
          </w:tcPr>
          <w:p w14:paraId="786D76A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50</w:t>
            </w:r>
          </w:p>
        </w:tc>
        <w:tc>
          <w:tcPr>
            <w:tcW w:w="1066" w:type="dxa"/>
            <w:vAlign w:val="center"/>
          </w:tcPr>
          <w:p w14:paraId="2300F948">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60</w:t>
            </w:r>
          </w:p>
        </w:tc>
        <w:tc>
          <w:tcPr>
            <w:tcW w:w="1066" w:type="dxa"/>
            <w:vAlign w:val="center"/>
          </w:tcPr>
          <w:p w14:paraId="1CB2402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70</w:t>
            </w:r>
          </w:p>
        </w:tc>
      </w:tr>
      <w:tr w14:paraId="2D48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5D3417AE">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沉降速度（m/s）</w:t>
            </w:r>
          </w:p>
        </w:tc>
        <w:tc>
          <w:tcPr>
            <w:tcW w:w="986" w:type="dxa"/>
            <w:vAlign w:val="center"/>
          </w:tcPr>
          <w:p w14:paraId="127DCD0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0.003</w:t>
            </w:r>
          </w:p>
        </w:tc>
        <w:tc>
          <w:tcPr>
            <w:tcW w:w="921" w:type="dxa"/>
            <w:vAlign w:val="center"/>
          </w:tcPr>
          <w:p w14:paraId="0499BD50">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0.012</w:t>
            </w:r>
          </w:p>
        </w:tc>
        <w:tc>
          <w:tcPr>
            <w:tcW w:w="857" w:type="dxa"/>
            <w:vAlign w:val="center"/>
          </w:tcPr>
          <w:p w14:paraId="51584A2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0.027</w:t>
            </w:r>
          </w:p>
        </w:tc>
        <w:tc>
          <w:tcPr>
            <w:tcW w:w="863" w:type="dxa"/>
            <w:vAlign w:val="center"/>
          </w:tcPr>
          <w:p w14:paraId="20A10278">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0.048</w:t>
            </w:r>
          </w:p>
        </w:tc>
        <w:tc>
          <w:tcPr>
            <w:tcW w:w="1066" w:type="dxa"/>
            <w:vAlign w:val="center"/>
          </w:tcPr>
          <w:p w14:paraId="193A9111">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0.075</w:t>
            </w:r>
          </w:p>
        </w:tc>
        <w:tc>
          <w:tcPr>
            <w:tcW w:w="1066" w:type="dxa"/>
            <w:vAlign w:val="center"/>
          </w:tcPr>
          <w:p w14:paraId="7E8B878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0.108</w:t>
            </w:r>
          </w:p>
        </w:tc>
        <w:tc>
          <w:tcPr>
            <w:tcW w:w="1066" w:type="dxa"/>
            <w:vAlign w:val="center"/>
          </w:tcPr>
          <w:p w14:paraId="2D7955B3">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0.147</w:t>
            </w:r>
          </w:p>
        </w:tc>
      </w:tr>
      <w:tr w14:paraId="4DC4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75CE8991">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粉尘粒径（</w:t>
            </w:r>
            <w:r>
              <w:rPr>
                <w:rFonts w:hint="eastAsia" w:ascii="Times New Roman" w:hAnsi="Times New Roman" w:eastAsia="宋体"/>
                <w:strike w:val="0"/>
                <w:dstrike w:val="0"/>
                <w:color w:val="auto"/>
                <w:sz w:val="21"/>
                <w:szCs w:val="21"/>
                <w:highlight w:val="none"/>
                <w:lang w:eastAsia="en-US" w:bidi="en-US"/>
              </w:rPr>
              <w:t>μm</w:t>
            </w:r>
            <w:r>
              <w:rPr>
                <w:rFonts w:hint="eastAsia" w:ascii="Times New Roman" w:hAnsi="Times New Roman" w:eastAsia="宋体"/>
                <w:strike w:val="0"/>
                <w:dstrike w:val="0"/>
                <w:color w:val="auto"/>
                <w:sz w:val="21"/>
                <w:szCs w:val="21"/>
                <w:highlight w:val="none"/>
                <w:lang w:bidi="en-US"/>
              </w:rPr>
              <w:t>）</w:t>
            </w:r>
          </w:p>
        </w:tc>
        <w:tc>
          <w:tcPr>
            <w:tcW w:w="986" w:type="dxa"/>
            <w:vAlign w:val="center"/>
          </w:tcPr>
          <w:p w14:paraId="4BBF34B5">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80</w:t>
            </w:r>
          </w:p>
        </w:tc>
        <w:tc>
          <w:tcPr>
            <w:tcW w:w="921" w:type="dxa"/>
            <w:vAlign w:val="center"/>
          </w:tcPr>
          <w:p w14:paraId="2102F73A">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90</w:t>
            </w:r>
          </w:p>
        </w:tc>
        <w:tc>
          <w:tcPr>
            <w:tcW w:w="857" w:type="dxa"/>
            <w:vAlign w:val="center"/>
          </w:tcPr>
          <w:p w14:paraId="582116A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100</w:t>
            </w:r>
          </w:p>
        </w:tc>
        <w:tc>
          <w:tcPr>
            <w:tcW w:w="863" w:type="dxa"/>
            <w:vAlign w:val="center"/>
          </w:tcPr>
          <w:p w14:paraId="1EF90A58">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150</w:t>
            </w:r>
          </w:p>
        </w:tc>
        <w:tc>
          <w:tcPr>
            <w:tcW w:w="1066" w:type="dxa"/>
            <w:vAlign w:val="center"/>
          </w:tcPr>
          <w:p w14:paraId="112AF292">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200</w:t>
            </w:r>
          </w:p>
        </w:tc>
        <w:tc>
          <w:tcPr>
            <w:tcW w:w="1066" w:type="dxa"/>
            <w:vAlign w:val="center"/>
          </w:tcPr>
          <w:p w14:paraId="737EE92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250</w:t>
            </w:r>
          </w:p>
        </w:tc>
        <w:tc>
          <w:tcPr>
            <w:tcW w:w="1066" w:type="dxa"/>
            <w:vAlign w:val="center"/>
          </w:tcPr>
          <w:p w14:paraId="47667219">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350</w:t>
            </w:r>
          </w:p>
        </w:tc>
      </w:tr>
      <w:tr w14:paraId="1858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304FABA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沉降速度（m/s）</w:t>
            </w:r>
          </w:p>
        </w:tc>
        <w:tc>
          <w:tcPr>
            <w:tcW w:w="986" w:type="dxa"/>
            <w:vAlign w:val="center"/>
          </w:tcPr>
          <w:p w14:paraId="4CEE9862">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0.158</w:t>
            </w:r>
          </w:p>
        </w:tc>
        <w:tc>
          <w:tcPr>
            <w:tcW w:w="921" w:type="dxa"/>
            <w:vAlign w:val="center"/>
          </w:tcPr>
          <w:p w14:paraId="08C942E1">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0.170</w:t>
            </w:r>
          </w:p>
        </w:tc>
        <w:tc>
          <w:tcPr>
            <w:tcW w:w="857" w:type="dxa"/>
            <w:vAlign w:val="center"/>
          </w:tcPr>
          <w:p w14:paraId="75081D3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0.182</w:t>
            </w:r>
          </w:p>
        </w:tc>
        <w:tc>
          <w:tcPr>
            <w:tcW w:w="863" w:type="dxa"/>
            <w:vAlign w:val="center"/>
          </w:tcPr>
          <w:p w14:paraId="10C3C27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0.239</w:t>
            </w:r>
          </w:p>
        </w:tc>
        <w:tc>
          <w:tcPr>
            <w:tcW w:w="1066" w:type="dxa"/>
            <w:vAlign w:val="center"/>
          </w:tcPr>
          <w:p w14:paraId="6FCB0524">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0.804</w:t>
            </w:r>
          </w:p>
        </w:tc>
        <w:tc>
          <w:tcPr>
            <w:tcW w:w="1066" w:type="dxa"/>
            <w:vAlign w:val="center"/>
          </w:tcPr>
          <w:p w14:paraId="7C025EF9">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1.005</w:t>
            </w:r>
          </w:p>
        </w:tc>
        <w:tc>
          <w:tcPr>
            <w:tcW w:w="1066" w:type="dxa"/>
            <w:vAlign w:val="center"/>
          </w:tcPr>
          <w:p w14:paraId="785DCAB7">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1.829</w:t>
            </w:r>
          </w:p>
        </w:tc>
      </w:tr>
      <w:tr w14:paraId="6C63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320BCF9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粉尘粒径（</w:t>
            </w:r>
            <w:r>
              <w:rPr>
                <w:rFonts w:hint="eastAsia" w:ascii="Times New Roman" w:hAnsi="Times New Roman" w:eastAsia="宋体"/>
                <w:strike w:val="0"/>
                <w:dstrike w:val="0"/>
                <w:color w:val="auto"/>
                <w:sz w:val="21"/>
                <w:szCs w:val="21"/>
                <w:highlight w:val="none"/>
                <w:lang w:eastAsia="en-US" w:bidi="en-US"/>
              </w:rPr>
              <w:t>μm</w:t>
            </w:r>
            <w:r>
              <w:rPr>
                <w:rFonts w:hint="eastAsia" w:ascii="Times New Roman" w:hAnsi="Times New Roman" w:eastAsia="宋体"/>
                <w:strike w:val="0"/>
                <w:dstrike w:val="0"/>
                <w:color w:val="auto"/>
                <w:sz w:val="21"/>
                <w:szCs w:val="21"/>
                <w:highlight w:val="none"/>
                <w:lang w:bidi="en-US"/>
              </w:rPr>
              <w:t>）</w:t>
            </w:r>
          </w:p>
        </w:tc>
        <w:tc>
          <w:tcPr>
            <w:tcW w:w="986" w:type="dxa"/>
            <w:vAlign w:val="center"/>
          </w:tcPr>
          <w:p w14:paraId="1786B5F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450</w:t>
            </w:r>
          </w:p>
        </w:tc>
        <w:tc>
          <w:tcPr>
            <w:tcW w:w="921" w:type="dxa"/>
            <w:vAlign w:val="center"/>
          </w:tcPr>
          <w:p w14:paraId="0F0114B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550</w:t>
            </w:r>
          </w:p>
        </w:tc>
        <w:tc>
          <w:tcPr>
            <w:tcW w:w="857" w:type="dxa"/>
            <w:vAlign w:val="center"/>
          </w:tcPr>
          <w:p w14:paraId="56CDE6D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650</w:t>
            </w:r>
          </w:p>
        </w:tc>
        <w:tc>
          <w:tcPr>
            <w:tcW w:w="863" w:type="dxa"/>
            <w:vAlign w:val="center"/>
          </w:tcPr>
          <w:p w14:paraId="74263B90">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750</w:t>
            </w:r>
          </w:p>
        </w:tc>
        <w:tc>
          <w:tcPr>
            <w:tcW w:w="1066" w:type="dxa"/>
            <w:vAlign w:val="center"/>
          </w:tcPr>
          <w:p w14:paraId="5C2FBA7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850</w:t>
            </w:r>
          </w:p>
        </w:tc>
        <w:tc>
          <w:tcPr>
            <w:tcW w:w="1066" w:type="dxa"/>
            <w:vAlign w:val="center"/>
          </w:tcPr>
          <w:p w14:paraId="507DEDEB">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950</w:t>
            </w:r>
          </w:p>
        </w:tc>
        <w:tc>
          <w:tcPr>
            <w:tcW w:w="1066" w:type="dxa"/>
            <w:vAlign w:val="center"/>
          </w:tcPr>
          <w:p w14:paraId="209BCC57">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1050</w:t>
            </w:r>
          </w:p>
        </w:tc>
      </w:tr>
      <w:tr w14:paraId="1444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03" w:type="dxa"/>
            <w:vAlign w:val="center"/>
          </w:tcPr>
          <w:p w14:paraId="0496ABCA">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沉降速度（m/s）</w:t>
            </w:r>
          </w:p>
        </w:tc>
        <w:tc>
          <w:tcPr>
            <w:tcW w:w="986" w:type="dxa"/>
            <w:vAlign w:val="center"/>
          </w:tcPr>
          <w:p w14:paraId="7F7E0C46">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2.211</w:t>
            </w:r>
          </w:p>
        </w:tc>
        <w:tc>
          <w:tcPr>
            <w:tcW w:w="921" w:type="dxa"/>
            <w:vAlign w:val="center"/>
          </w:tcPr>
          <w:p w14:paraId="117F23AE">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2.614</w:t>
            </w:r>
          </w:p>
        </w:tc>
        <w:tc>
          <w:tcPr>
            <w:tcW w:w="857" w:type="dxa"/>
            <w:vAlign w:val="center"/>
          </w:tcPr>
          <w:p w14:paraId="50E9A093">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3.016</w:t>
            </w:r>
          </w:p>
        </w:tc>
        <w:tc>
          <w:tcPr>
            <w:tcW w:w="863" w:type="dxa"/>
            <w:vAlign w:val="center"/>
          </w:tcPr>
          <w:p w14:paraId="1BEEED1D">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3.418</w:t>
            </w:r>
          </w:p>
        </w:tc>
        <w:tc>
          <w:tcPr>
            <w:tcW w:w="1066" w:type="dxa"/>
            <w:vAlign w:val="center"/>
          </w:tcPr>
          <w:p w14:paraId="7BDA7D6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3.820</w:t>
            </w:r>
          </w:p>
        </w:tc>
        <w:tc>
          <w:tcPr>
            <w:tcW w:w="1066" w:type="dxa"/>
            <w:vAlign w:val="center"/>
          </w:tcPr>
          <w:p w14:paraId="248D0C5F">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4.222</w:t>
            </w:r>
          </w:p>
        </w:tc>
        <w:tc>
          <w:tcPr>
            <w:tcW w:w="1066" w:type="dxa"/>
            <w:vAlign w:val="center"/>
          </w:tcPr>
          <w:p w14:paraId="1A0F239C">
            <w:pPr>
              <w:widowControl/>
              <w:snapToGrid w:val="0"/>
              <w:spacing w:line="240" w:lineRule="auto"/>
              <w:ind w:firstLine="0" w:firstLineChars="0"/>
              <w:jc w:val="center"/>
              <w:rPr>
                <w:rFonts w:ascii="Times New Roman" w:hAnsi="Times New Roman" w:eastAsia="宋体"/>
                <w:strike w:val="0"/>
                <w:dstrike w:val="0"/>
                <w:color w:val="auto"/>
                <w:sz w:val="21"/>
                <w:szCs w:val="21"/>
                <w:highlight w:val="none"/>
                <w:lang w:bidi="en-US"/>
              </w:rPr>
            </w:pPr>
            <w:r>
              <w:rPr>
                <w:rFonts w:hint="eastAsia" w:ascii="Times New Roman" w:hAnsi="Times New Roman" w:eastAsia="宋体"/>
                <w:strike w:val="0"/>
                <w:dstrike w:val="0"/>
                <w:color w:val="auto"/>
                <w:sz w:val="21"/>
                <w:szCs w:val="21"/>
                <w:highlight w:val="none"/>
                <w:lang w:bidi="en-US"/>
              </w:rPr>
              <w:t>4.624</w:t>
            </w:r>
          </w:p>
        </w:tc>
      </w:tr>
    </w:tbl>
    <w:p w14:paraId="2A28794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由表3.3-1可知，粉尘的沉降速度随粒径的增大而迅速增大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当粒径为250</w:t>
      </w:r>
      <w:r>
        <w:rPr>
          <w:rFonts w:ascii="Times New Roman" w:hAnsi="Times New Roman" w:eastAsia="宋体"/>
          <w:strike w:val="0"/>
          <w:dstrike w:val="0"/>
          <w:color w:val="auto"/>
          <w:highlight w:val="none"/>
        </w:rPr>
        <w:t>μm</w:t>
      </w:r>
      <w:r>
        <w:rPr>
          <w:rFonts w:hint="eastAsia" w:ascii="Times New Roman" w:hAnsi="Times New Roman" w:eastAsia="宋体"/>
          <w:strike w:val="0"/>
          <w:dstrike w:val="0"/>
          <w:color w:val="auto"/>
          <w:highlight w:val="none"/>
        </w:rPr>
        <w:t>时，沉降速度为1.005m/s，因此可以认为当粒径大于250</w:t>
      </w:r>
      <w:r>
        <w:rPr>
          <w:rFonts w:ascii="Times New Roman" w:hAnsi="Times New Roman" w:eastAsia="宋体"/>
          <w:strike w:val="0"/>
          <w:dstrike w:val="0"/>
          <w:color w:val="auto"/>
          <w:highlight w:val="none"/>
        </w:rPr>
        <w:t>μm</w:t>
      </w:r>
      <w:r>
        <w:rPr>
          <w:rFonts w:hint="eastAsia" w:ascii="Times New Roman" w:hAnsi="Times New Roman" w:eastAsia="宋体"/>
          <w:strike w:val="0"/>
          <w:dstrike w:val="0"/>
          <w:color w:val="auto"/>
          <w:highlight w:val="none"/>
        </w:rPr>
        <w:t>时，主要影响范围在扬尘点下风向近距离范围内，本项目评价范围内无大气环境敏感点，因此，此类扬尘可造成施工区域附近TSP浓度暂时升高，对项目区周边评价范围内大气环境敏感点影响不大</w:t>
      </w:r>
      <w:r>
        <w:rPr>
          <w:rFonts w:hint="eastAsia" w:ascii="Times New Roman" w:hAnsi="Times New Roman" w:eastAsia="宋体"/>
          <w:strike w:val="0"/>
          <w:dstrike w:val="0"/>
          <w:color w:val="auto"/>
          <w:highlight w:val="none"/>
          <w:lang w:eastAsia="zh-CN"/>
        </w:rPr>
        <w:t>。</w:t>
      </w:r>
    </w:p>
    <w:p w14:paraId="5B8D676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②车辆运输扬尘</w:t>
      </w:r>
    </w:p>
    <w:p w14:paraId="51E3204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本项目动态起尘主要是各类施工机械、运输车辆在项目区内外来往形成的地面扬尘，据有关文献资料显示，在施工过程中，运输车辆行驶扬尘与车辆行驶速度、风速、气象条件、路面积尘量和积尘湿度等因素有关</w:t>
      </w:r>
      <w:r>
        <w:rPr>
          <w:rFonts w:hint="eastAsia" w:ascii="Times New Roman" w:hAnsi="Times New Roman" w:eastAsia="宋体"/>
          <w:strike w:val="0"/>
          <w:dstrike w:val="0"/>
          <w:color w:val="auto"/>
          <w:highlight w:val="none"/>
          <w:lang w:eastAsia="zh-CN"/>
        </w:rPr>
        <w:t>。</w:t>
      </w:r>
    </w:p>
    <w:p w14:paraId="77C206D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（2）燃油机械及机动车废气</w:t>
      </w:r>
    </w:p>
    <w:p w14:paraId="5DC866A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施工燃油机械和运输车辆运作过程中将产生含SO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、NO</w:t>
      </w:r>
      <w:r>
        <w:rPr>
          <w:rFonts w:hint="eastAsia" w:ascii="Times New Roman" w:hAnsi="Times New Roman" w:eastAsia="宋体"/>
          <w:strike w:val="0"/>
          <w:dstrike w:val="0"/>
          <w:color w:val="auto"/>
          <w:highlight w:val="none"/>
          <w:vertAlign w:val="subscript"/>
        </w:rPr>
        <w:t>x</w:t>
      </w:r>
      <w:r>
        <w:rPr>
          <w:rFonts w:hint="eastAsia" w:ascii="Times New Roman" w:hAnsi="Times New Roman" w:eastAsia="宋体"/>
          <w:strike w:val="0"/>
          <w:dstrike w:val="0"/>
          <w:color w:val="auto"/>
          <w:highlight w:val="none"/>
        </w:rPr>
        <w:t>、CO等气体</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根据相关资料，每耗1升油料，排放空气污染物NO</w:t>
      </w:r>
      <w:r>
        <w:rPr>
          <w:rFonts w:hint="eastAsia" w:ascii="Times New Roman" w:hAnsi="Times New Roman" w:eastAsia="宋体"/>
          <w:strike w:val="0"/>
          <w:dstrike w:val="0"/>
          <w:color w:val="auto"/>
          <w:highlight w:val="none"/>
          <w:vertAlign w:val="subscript"/>
        </w:rPr>
        <w:t>x</w:t>
      </w:r>
      <w:r>
        <w:rPr>
          <w:rFonts w:hint="eastAsia" w:ascii="Times New Roman" w:hAnsi="Times New Roman" w:eastAsia="宋体"/>
          <w:strike w:val="0"/>
          <w:dstrike w:val="0"/>
          <w:color w:val="auto"/>
          <w:highlight w:val="none"/>
        </w:rPr>
        <w:t>9g，SO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3.24g，CO27g</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本项目建设期消耗油料约2033</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9升，污染物排放量为NO</w:t>
      </w:r>
      <w:r>
        <w:rPr>
          <w:rFonts w:hint="eastAsia" w:ascii="Times New Roman" w:hAnsi="Times New Roman" w:eastAsia="宋体"/>
          <w:strike w:val="0"/>
          <w:dstrike w:val="0"/>
          <w:color w:val="auto"/>
          <w:highlight w:val="none"/>
          <w:vertAlign w:val="subscript"/>
        </w:rPr>
        <w:t>x</w:t>
      </w:r>
      <w:r>
        <w:rPr>
          <w:rFonts w:hint="eastAsia" w:ascii="Times New Roman" w:hAnsi="Times New Roman" w:eastAsia="宋体"/>
          <w:strike w:val="0"/>
          <w:dstrike w:val="0"/>
          <w:color w:val="auto"/>
          <w:highlight w:val="none"/>
        </w:rPr>
        <w:t>0.</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183t，SO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0.0</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7t，CO0.</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rPr>
        <w:t>549t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由于此类废气系无组织流动性排放，废气经稀释扩散后不会对周边空气环境产生明显影响</w:t>
      </w:r>
      <w:r>
        <w:rPr>
          <w:rFonts w:hint="eastAsia" w:ascii="Times New Roman" w:hAnsi="Times New Roman" w:eastAsia="宋体"/>
          <w:strike w:val="0"/>
          <w:dstrike w:val="0"/>
          <w:color w:val="auto"/>
          <w:highlight w:val="none"/>
          <w:lang w:eastAsia="zh-CN"/>
        </w:rPr>
        <w:t>。</w:t>
      </w:r>
    </w:p>
    <w:p w14:paraId="2AF138A2">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3.3.1.2施工期水污染源</w:t>
      </w:r>
    </w:p>
    <w:p w14:paraId="0F786C3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本项目施工期排放废水主要是施工废水和施工人员的日常生活废水</w:t>
      </w:r>
      <w:r>
        <w:rPr>
          <w:rFonts w:hint="eastAsia" w:ascii="Times New Roman" w:hAnsi="Times New Roman" w:eastAsia="宋体"/>
          <w:strike w:val="0"/>
          <w:dstrike w:val="0"/>
          <w:color w:val="auto"/>
          <w:highlight w:val="none"/>
          <w:lang w:eastAsia="zh-CN"/>
        </w:rPr>
        <w:t>。</w:t>
      </w:r>
    </w:p>
    <w:p w14:paraId="4316483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1</w:t>
      </w:r>
      <w:r>
        <w:rPr>
          <w:rFonts w:ascii="Times New Roman" w:hAnsi="Times New Roman" w:eastAsia="宋体"/>
          <w:strike w:val="0"/>
          <w:dstrike w:val="0"/>
          <w:color w:val="auto"/>
          <w:highlight w:val="none"/>
        </w:rPr>
        <w:t>）施工废水</w:t>
      </w:r>
    </w:p>
    <w:p w14:paraId="69373DF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不在施工区内洗车，施工废水主要包括混凝土废水、泥浆废水、混凝土保养时排放的废水，主要污染因子为SS，含一定量的泥沙和砾石碎屑等悬浮物，因施工场地分散工程进度不同，废水的产生量与排放量较难估算，在施工现场设置不小于3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的简易防渗沉淀池沉淀后回用于生产，项目产生的施工废水作到零排放，不会恶化地下水水质</w:t>
      </w:r>
      <w:r>
        <w:rPr>
          <w:rFonts w:hint="eastAsia" w:ascii="Times New Roman" w:hAnsi="Times New Roman" w:eastAsia="宋体"/>
          <w:strike w:val="0"/>
          <w:dstrike w:val="0"/>
          <w:color w:val="auto"/>
          <w:highlight w:val="none"/>
          <w:lang w:eastAsia="zh-CN"/>
        </w:rPr>
        <w:t>。</w:t>
      </w:r>
    </w:p>
    <w:p w14:paraId="3096F173">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2</w:t>
      </w:r>
      <w:r>
        <w:rPr>
          <w:rFonts w:ascii="Times New Roman" w:hAnsi="Times New Roman" w:eastAsia="宋体"/>
          <w:strike w:val="0"/>
          <w:dstrike w:val="0"/>
          <w:color w:val="auto"/>
          <w:highlight w:val="none"/>
        </w:rPr>
        <w:t>）生活污水</w:t>
      </w:r>
    </w:p>
    <w:p w14:paraId="5C7B803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本项目施工人员高峰时约</w:t>
      </w:r>
      <w:r>
        <w:rPr>
          <w:rFonts w:hint="eastAsia" w:ascii="Times New Roman" w:hAnsi="Times New Roman" w:eastAsia="宋体"/>
          <w:strike w:val="0"/>
          <w:dstrike w:val="0"/>
          <w:color w:val="auto"/>
          <w:highlight w:val="none"/>
        </w:rPr>
        <w:t>30</w:t>
      </w:r>
      <w:r>
        <w:rPr>
          <w:rFonts w:ascii="Times New Roman" w:hAnsi="Times New Roman" w:eastAsia="宋体"/>
          <w:strike w:val="0"/>
          <w:dstrike w:val="0"/>
          <w:color w:val="auto"/>
          <w:highlight w:val="none"/>
        </w:rPr>
        <w:t>人，按平均每人每天用水量为</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0L计，污水排放量按用水量的80%计，则现场施工人员生活污水产生量约为</w:t>
      </w:r>
      <w:r>
        <w:rPr>
          <w:rFonts w:hint="eastAsia" w:ascii="Times New Roman" w:hAnsi="Times New Roman" w:eastAsia="宋体"/>
          <w:strike w:val="0"/>
          <w:dstrike w:val="0"/>
          <w:color w:val="auto"/>
          <w:highlight w:val="none"/>
        </w:rPr>
        <w:t>0.96</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/d</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生活污水主要污染因子为SS、COD、BOD</w:t>
      </w:r>
      <w:r>
        <w:rPr>
          <w:rFonts w:ascii="Times New Roman" w:hAnsi="Times New Roman" w:eastAsia="宋体"/>
          <w:strike w:val="0"/>
          <w:dstrike w:val="0"/>
          <w:color w:val="auto"/>
          <w:highlight w:val="none"/>
          <w:vertAlign w:val="subscript"/>
        </w:rPr>
        <w:t>5</w:t>
      </w:r>
      <w:r>
        <w:rPr>
          <w:rFonts w:ascii="Times New Roman" w:hAnsi="Times New Roman" w:eastAsia="宋体"/>
          <w:strike w:val="0"/>
          <w:dstrike w:val="0"/>
          <w:color w:val="auto"/>
          <w:highlight w:val="none"/>
        </w:rPr>
        <w:t>、氨氮</w:t>
      </w:r>
      <w:r>
        <w:rPr>
          <w:rFonts w:hint="eastAsia" w:ascii="Times New Roman" w:hAnsi="Times New Roman" w:eastAsia="宋体"/>
          <w:strike w:val="0"/>
          <w:dstrike w:val="0"/>
          <w:color w:val="auto"/>
          <w:highlight w:val="none"/>
          <w:lang w:eastAsia="zh-CN"/>
        </w:rPr>
        <w:t>。</w:t>
      </w:r>
    </w:p>
    <w:p w14:paraId="7828F119">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3.3.1.3施工期</w:t>
      </w:r>
      <w:r>
        <w:rPr>
          <w:rFonts w:ascii="Times New Roman" w:hAnsi="Times New Roman" w:eastAsia="宋体"/>
          <w:strike w:val="0"/>
          <w:dstrike w:val="0"/>
          <w:color w:val="auto"/>
          <w:highlight w:val="none"/>
        </w:rPr>
        <w:t>噪声</w:t>
      </w:r>
      <w:r>
        <w:rPr>
          <w:rFonts w:hint="eastAsia" w:ascii="Times New Roman" w:hAnsi="Times New Roman" w:eastAsia="宋体"/>
          <w:strike w:val="0"/>
          <w:dstrike w:val="0"/>
          <w:color w:val="auto"/>
          <w:highlight w:val="none"/>
        </w:rPr>
        <w:t>污染源</w:t>
      </w:r>
    </w:p>
    <w:p w14:paraId="6634760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施工期噪声主要来自施工机械噪声、施工作业噪声和运输车辆噪声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施工机械噪声由施工机械所造成，如挖土机、打桩机、混凝土搅拌机、升降机等，多为点声源；施工作业噪声主要指一些零星的敲打声、装卸建材的撞击声、施工人员的吆喝声、拆装模板的撞击声等，多为瞬间噪声；运输车辆的噪声属于交通噪声</w:t>
      </w:r>
      <w:r>
        <w:rPr>
          <w:rFonts w:hint="eastAsia" w:ascii="Times New Roman" w:hAnsi="Times New Roman" w:eastAsia="宋体"/>
          <w:strike w:val="0"/>
          <w:dstrike w:val="0"/>
          <w:color w:val="auto"/>
          <w:highlight w:val="none"/>
          <w:lang w:eastAsia="zh-CN"/>
        </w:rPr>
        <w:t>。</w:t>
      </w:r>
    </w:p>
    <w:p w14:paraId="183ECFD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各施工阶段的主要产噪机械设备、运输车辆及其声级值见表3.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-2和表3.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p>
    <w:p w14:paraId="14C9A0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表3.3-2施工噪声源强声级统计表单位：dB（A）</w:t>
      </w:r>
    </w:p>
    <w:tbl>
      <w:tblPr>
        <w:tblStyle w:val="6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1"/>
        <w:gridCol w:w="2839"/>
      </w:tblGrid>
      <w:tr w14:paraId="552A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666" w:type="pct"/>
            <w:vAlign w:val="center"/>
          </w:tcPr>
          <w:p w14:paraId="1854A6B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w:t>
            </w:r>
          </w:p>
        </w:tc>
        <w:tc>
          <w:tcPr>
            <w:tcW w:w="1667" w:type="pct"/>
            <w:vAlign w:val="center"/>
          </w:tcPr>
          <w:p w14:paraId="6DB6EDD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声源强度</w:t>
            </w:r>
          </w:p>
        </w:tc>
        <w:tc>
          <w:tcPr>
            <w:tcW w:w="1666" w:type="pct"/>
            <w:vAlign w:val="center"/>
          </w:tcPr>
          <w:p w14:paraId="0A99365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声源性质</w:t>
            </w:r>
          </w:p>
        </w:tc>
      </w:tr>
      <w:tr w14:paraId="2C75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4A01FDA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推土机</w:t>
            </w:r>
          </w:p>
        </w:tc>
        <w:tc>
          <w:tcPr>
            <w:tcW w:w="1667" w:type="pct"/>
            <w:vAlign w:val="center"/>
          </w:tcPr>
          <w:p w14:paraId="4EE0851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115</w:t>
            </w:r>
          </w:p>
        </w:tc>
        <w:tc>
          <w:tcPr>
            <w:tcW w:w="1666" w:type="pct"/>
            <w:vMerge w:val="restart"/>
            <w:vAlign w:val="center"/>
          </w:tcPr>
          <w:p w14:paraId="5D56D84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间歇性声源</w:t>
            </w:r>
          </w:p>
        </w:tc>
      </w:tr>
      <w:tr w14:paraId="6E36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3924B11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装载机</w:t>
            </w:r>
          </w:p>
        </w:tc>
        <w:tc>
          <w:tcPr>
            <w:tcW w:w="1667" w:type="pct"/>
            <w:vAlign w:val="center"/>
          </w:tcPr>
          <w:p w14:paraId="3176B5C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105</w:t>
            </w:r>
          </w:p>
        </w:tc>
        <w:tc>
          <w:tcPr>
            <w:tcW w:w="1666" w:type="pct"/>
            <w:vMerge w:val="continue"/>
            <w:vAlign w:val="center"/>
          </w:tcPr>
          <w:p w14:paraId="72D68BEE">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12C9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2F48118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挖掘机</w:t>
            </w:r>
          </w:p>
        </w:tc>
        <w:tc>
          <w:tcPr>
            <w:tcW w:w="1667" w:type="pct"/>
            <w:vAlign w:val="center"/>
          </w:tcPr>
          <w:p w14:paraId="7B1E63D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100</w:t>
            </w:r>
          </w:p>
        </w:tc>
        <w:tc>
          <w:tcPr>
            <w:tcW w:w="1666" w:type="pct"/>
            <w:vMerge w:val="continue"/>
            <w:vAlign w:val="center"/>
          </w:tcPr>
          <w:p w14:paraId="7974BC1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0C24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6030126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自卸卡车</w:t>
            </w:r>
          </w:p>
        </w:tc>
        <w:tc>
          <w:tcPr>
            <w:tcW w:w="1667" w:type="pct"/>
            <w:vAlign w:val="center"/>
          </w:tcPr>
          <w:p w14:paraId="651478F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100</w:t>
            </w:r>
          </w:p>
        </w:tc>
        <w:tc>
          <w:tcPr>
            <w:tcW w:w="1666" w:type="pct"/>
            <w:vMerge w:val="continue"/>
            <w:vAlign w:val="center"/>
          </w:tcPr>
          <w:p w14:paraId="3C8860C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2C48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01CF206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空压机</w:t>
            </w:r>
          </w:p>
        </w:tc>
        <w:tc>
          <w:tcPr>
            <w:tcW w:w="1667" w:type="pct"/>
            <w:vAlign w:val="center"/>
          </w:tcPr>
          <w:p w14:paraId="581350A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110</w:t>
            </w:r>
          </w:p>
        </w:tc>
        <w:tc>
          <w:tcPr>
            <w:tcW w:w="1666" w:type="pct"/>
            <w:vMerge w:val="continue"/>
            <w:vAlign w:val="center"/>
          </w:tcPr>
          <w:p w14:paraId="10D715D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5423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3D29531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电锯</w:t>
            </w:r>
          </w:p>
        </w:tc>
        <w:tc>
          <w:tcPr>
            <w:tcW w:w="1667" w:type="pct"/>
            <w:vAlign w:val="center"/>
          </w:tcPr>
          <w:p w14:paraId="6FF80B4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115</w:t>
            </w:r>
          </w:p>
        </w:tc>
        <w:tc>
          <w:tcPr>
            <w:tcW w:w="1666" w:type="pct"/>
            <w:vMerge w:val="continue"/>
            <w:vAlign w:val="center"/>
          </w:tcPr>
          <w:p w14:paraId="14819D6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2297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2F1109DE">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卷扬机</w:t>
            </w:r>
          </w:p>
        </w:tc>
        <w:tc>
          <w:tcPr>
            <w:tcW w:w="1667" w:type="pct"/>
            <w:vAlign w:val="center"/>
          </w:tcPr>
          <w:p w14:paraId="39988F9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100</w:t>
            </w:r>
          </w:p>
        </w:tc>
        <w:tc>
          <w:tcPr>
            <w:tcW w:w="1666" w:type="pct"/>
            <w:vMerge w:val="continue"/>
            <w:vAlign w:val="center"/>
          </w:tcPr>
          <w:p w14:paraId="5C65657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7E8B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66" w:type="pct"/>
            <w:vAlign w:val="center"/>
          </w:tcPr>
          <w:p w14:paraId="5A3A41B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切割机</w:t>
            </w:r>
          </w:p>
        </w:tc>
        <w:tc>
          <w:tcPr>
            <w:tcW w:w="1667" w:type="pct"/>
            <w:vAlign w:val="center"/>
          </w:tcPr>
          <w:p w14:paraId="1DC0C22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rPr>
              <w:t>110</w:t>
            </w:r>
          </w:p>
        </w:tc>
        <w:tc>
          <w:tcPr>
            <w:tcW w:w="1666" w:type="pct"/>
            <w:vMerge w:val="continue"/>
            <w:vAlign w:val="center"/>
          </w:tcPr>
          <w:p w14:paraId="3D082FE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bl>
    <w:p w14:paraId="4A8870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表3.3-3运输车辆交通噪声源强统计表单位：dB（A）</w:t>
      </w:r>
    </w:p>
    <w:tbl>
      <w:tblPr>
        <w:tblStyle w:val="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2666"/>
        <w:gridCol w:w="2131"/>
        <w:gridCol w:w="2131"/>
      </w:tblGrid>
      <w:tr w14:paraId="49CB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94" w:type="dxa"/>
            <w:vAlign w:val="center"/>
          </w:tcPr>
          <w:p w14:paraId="1CCDF53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施工阶段</w:t>
            </w:r>
          </w:p>
        </w:tc>
        <w:tc>
          <w:tcPr>
            <w:tcW w:w="2666" w:type="dxa"/>
            <w:vAlign w:val="center"/>
          </w:tcPr>
          <w:p w14:paraId="2059483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运输内容</w:t>
            </w:r>
          </w:p>
        </w:tc>
        <w:tc>
          <w:tcPr>
            <w:tcW w:w="2131" w:type="dxa"/>
            <w:vAlign w:val="center"/>
          </w:tcPr>
          <w:p w14:paraId="536B26C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车辆类型</w:t>
            </w:r>
          </w:p>
        </w:tc>
        <w:tc>
          <w:tcPr>
            <w:tcW w:w="2131" w:type="dxa"/>
            <w:vAlign w:val="center"/>
          </w:tcPr>
          <w:p w14:paraId="704C30C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声源强度</w:t>
            </w:r>
          </w:p>
        </w:tc>
      </w:tr>
      <w:tr w14:paraId="07F4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Align w:val="center"/>
          </w:tcPr>
          <w:p w14:paraId="463DE0A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基础工程</w:t>
            </w:r>
          </w:p>
        </w:tc>
        <w:tc>
          <w:tcPr>
            <w:tcW w:w="2666" w:type="dxa"/>
            <w:vAlign w:val="center"/>
          </w:tcPr>
          <w:p w14:paraId="109B78D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弃土外运</w:t>
            </w:r>
          </w:p>
        </w:tc>
        <w:tc>
          <w:tcPr>
            <w:tcW w:w="2131" w:type="dxa"/>
            <w:vAlign w:val="center"/>
          </w:tcPr>
          <w:p w14:paraId="1AD816C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大型载重车</w:t>
            </w:r>
          </w:p>
        </w:tc>
        <w:tc>
          <w:tcPr>
            <w:tcW w:w="2131" w:type="dxa"/>
            <w:vAlign w:val="center"/>
          </w:tcPr>
          <w:p w14:paraId="3AB1282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84-89</w:t>
            </w:r>
          </w:p>
        </w:tc>
      </w:tr>
      <w:tr w14:paraId="57DB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Align w:val="center"/>
          </w:tcPr>
          <w:p w14:paraId="27A7A4A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主体工程</w:t>
            </w:r>
          </w:p>
        </w:tc>
        <w:tc>
          <w:tcPr>
            <w:tcW w:w="2666" w:type="dxa"/>
            <w:vAlign w:val="center"/>
          </w:tcPr>
          <w:p w14:paraId="1689DF5E">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钢筋、商品混凝土</w:t>
            </w:r>
          </w:p>
        </w:tc>
        <w:tc>
          <w:tcPr>
            <w:tcW w:w="2131" w:type="dxa"/>
            <w:vAlign w:val="center"/>
          </w:tcPr>
          <w:p w14:paraId="618696B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混凝土罐车、载重车</w:t>
            </w:r>
          </w:p>
        </w:tc>
        <w:tc>
          <w:tcPr>
            <w:tcW w:w="2131" w:type="dxa"/>
            <w:vAlign w:val="center"/>
          </w:tcPr>
          <w:p w14:paraId="1CD1062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80-85</w:t>
            </w:r>
          </w:p>
        </w:tc>
      </w:tr>
      <w:tr w14:paraId="712D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94" w:type="dxa"/>
            <w:vAlign w:val="center"/>
          </w:tcPr>
          <w:p w14:paraId="1D6B94D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装饰工程</w:t>
            </w:r>
          </w:p>
        </w:tc>
        <w:tc>
          <w:tcPr>
            <w:tcW w:w="2666" w:type="dxa"/>
            <w:vAlign w:val="center"/>
          </w:tcPr>
          <w:p w14:paraId="08ACBF5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各种装修材料及必备设备</w:t>
            </w:r>
          </w:p>
        </w:tc>
        <w:tc>
          <w:tcPr>
            <w:tcW w:w="2131" w:type="dxa"/>
            <w:vAlign w:val="center"/>
          </w:tcPr>
          <w:p w14:paraId="464F05C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轻型载重卡车</w:t>
            </w:r>
          </w:p>
        </w:tc>
        <w:tc>
          <w:tcPr>
            <w:tcW w:w="2131" w:type="dxa"/>
            <w:vAlign w:val="center"/>
          </w:tcPr>
          <w:p w14:paraId="731FCAA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75-80</w:t>
            </w:r>
          </w:p>
        </w:tc>
      </w:tr>
    </w:tbl>
    <w:p w14:paraId="5205FF9C">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3.3.1.4施工期</w:t>
      </w:r>
      <w:r>
        <w:rPr>
          <w:rFonts w:ascii="Times New Roman" w:hAnsi="Times New Roman" w:eastAsia="宋体"/>
          <w:strike w:val="0"/>
          <w:dstrike w:val="0"/>
          <w:color w:val="auto"/>
          <w:highlight w:val="none"/>
        </w:rPr>
        <w:t>固体废物</w:t>
      </w:r>
    </w:p>
    <w:p w14:paraId="4435C8C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施工期间固体废物主要源于施工人员生活垃圾和施工场地产生的建筑垃圾（废弃砖块、废钢筋等）</w:t>
      </w:r>
      <w:r>
        <w:rPr>
          <w:rFonts w:hint="eastAsia" w:ascii="Times New Roman" w:hAnsi="Times New Roman" w:eastAsia="宋体"/>
          <w:strike w:val="0"/>
          <w:dstrike w:val="0"/>
          <w:color w:val="auto"/>
          <w:highlight w:val="none"/>
          <w:lang w:eastAsia="zh-CN"/>
        </w:rPr>
        <w:t>。</w:t>
      </w:r>
    </w:p>
    <w:p w14:paraId="3C00A58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本项目主要建筑物为</w:t>
      </w:r>
      <w:r>
        <w:rPr>
          <w:rFonts w:hint="eastAsia" w:ascii="Times New Roman" w:hAnsi="Times New Roman" w:eastAsia="宋体"/>
          <w:strike w:val="0"/>
          <w:dstrike w:val="0"/>
          <w:color w:val="auto"/>
          <w:highlight w:val="none"/>
        </w:rPr>
        <w:t>标准化</w:t>
      </w:r>
      <w:r>
        <w:rPr>
          <w:rFonts w:hint="eastAsia" w:ascii="Times New Roman" w:hAnsi="Times New Roman" w:eastAsia="宋体"/>
          <w:strike w:val="0"/>
          <w:dstrike w:val="0"/>
          <w:color w:val="auto"/>
          <w:highlight w:val="none"/>
          <w:lang w:val="en-US" w:eastAsia="zh-CN"/>
        </w:rPr>
        <w:t>骆驼圈舍</w:t>
      </w:r>
      <w:r>
        <w:rPr>
          <w:rFonts w:ascii="Times New Roman" w:hAnsi="Times New Roman" w:eastAsia="宋体"/>
          <w:strike w:val="0"/>
          <w:dstrike w:val="0"/>
          <w:color w:val="auto"/>
          <w:highlight w:val="none"/>
        </w:rPr>
        <w:t>及相应的配套设施，在建设过程中会产生碎砖块、砂浆、桩头、水泥、钢筋、涂料和包装材料等建筑垃圾</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此类固体废物应按相关环境保护要求及时清运至</w:t>
      </w:r>
      <w:r>
        <w:rPr>
          <w:rFonts w:hint="eastAsia" w:ascii="Times New Roman" w:hAnsi="Times New Roman" w:eastAsia="宋体"/>
          <w:strike w:val="0"/>
          <w:dstrike w:val="0"/>
          <w:color w:val="auto"/>
          <w:highlight w:val="none"/>
          <w:lang w:eastAsia="zh-CN"/>
        </w:rPr>
        <w:t>木垒县</w:t>
      </w:r>
      <w:r>
        <w:rPr>
          <w:rFonts w:ascii="Times New Roman" w:hAnsi="Times New Roman" w:eastAsia="宋体"/>
          <w:strike w:val="0"/>
          <w:dstrike w:val="0"/>
          <w:color w:val="auto"/>
          <w:highlight w:val="none"/>
        </w:rPr>
        <w:t>建筑垃圾填埋场填埋，建筑垃圾使用加盖篷布的车辆运输</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施工产生的固体废物中遗留在现场的建筑废物要及时清运或回填，将建筑垃圾运至指定地点</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各施工单位要加强施工管理，对施工产生的生活垃圾和建筑垃圾不得随意倾倒</w:t>
      </w:r>
      <w:r>
        <w:rPr>
          <w:rFonts w:hint="eastAsia" w:ascii="Times New Roman" w:hAnsi="Times New Roman" w:eastAsia="宋体"/>
          <w:strike w:val="0"/>
          <w:dstrike w:val="0"/>
          <w:color w:val="auto"/>
          <w:highlight w:val="none"/>
          <w:lang w:eastAsia="zh-CN"/>
        </w:rPr>
        <w:t>。</w:t>
      </w:r>
    </w:p>
    <w:p w14:paraId="0EF2337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生活垃圾按</w:t>
      </w:r>
      <w:r>
        <w:rPr>
          <w:rFonts w:hint="eastAsia" w:ascii="Times New Roman" w:hAnsi="Times New Roman" w:eastAsia="宋体"/>
          <w:strike w:val="0"/>
          <w:dstrike w:val="0"/>
          <w:color w:val="auto"/>
          <w:highlight w:val="none"/>
        </w:rPr>
        <w:t>0.5</w:t>
      </w:r>
      <w:r>
        <w:rPr>
          <w:rFonts w:ascii="Times New Roman" w:hAnsi="Times New Roman" w:eastAsia="宋体"/>
          <w:strike w:val="0"/>
          <w:dstrike w:val="0"/>
          <w:color w:val="auto"/>
          <w:highlight w:val="none"/>
        </w:rPr>
        <w:t>kg/人·d计，则施工期生活垃圾产生量为</w:t>
      </w:r>
      <w:r>
        <w:rPr>
          <w:rFonts w:hint="eastAsia" w:ascii="Times New Roman" w:hAnsi="Times New Roman" w:eastAsia="宋体"/>
          <w:strike w:val="0"/>
          <w:dstrike w:val="0"/>
          <w:color w:val="auto"/>
          <w:highlight w:val="none"/>
        </w:rPr>
        <w:t>15</w:t>
      </w:r>
      <w:r>
        <w:rPr>
          <w:rFonts w:ascii="Times New Roman" w:hAnsi="Times New Roman" w:eastAsia="宋体"/>
          <w:strike w:val="0"/>
          <w:dstrike w:val="0"/>
          <w:color w:val="auto"/>
          <w:highlight w:val="none"/>
        </w:rPr>
        <w:t>kg/d</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对施工人员产生的生活垃圾，设置垃圾箱，集中收集后交由环卫部门统一处置</w:t>
      </w:r>
      <w:r>
        <w:rPr>
          <w:rFonts w:hint="eastAsia" w:ascii="Times New Roman" w:hAnsi="Times New Roman" w:eastAsia="宋体"/>
          <w:strike w:val="0"/>
          <w:dstrike w:val="0"/>
          <w:color w:val="auto"/>
          <w:highlight w:val="none"/>
          <w:lang w:eastAsia="zh-CN"/>
        </w:rPr>
        <w:t>。</w:t>
      </w:r>
    </w:p>
    <w:p w14:paraId="266F11A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施工期项目的固体废弃物排放是暂时的，随着施工的结束而减小，通过积极有效的施工管理，施工期固体废弃物对环境造成的影响不大</w:t>
      </w:r>
      <w:r>
        <w:rPr>
          <w:rFonts w:hint="eastAsia" w:ascii="Times New Roman" w:hAnsi="Times New Roman" w:eastAsia="宋体"/>
          <w:strike w:val="0"/>
          <w:dstrike w:val="0"/>
          <w:color w:val="auto"/>
          <w:highlight w:val="none"/>
          <w:lang w:eastAsia="zh-CN"/>
        </w:rPr>
        <w:t>。</w:t>
      </w:r>
    </w:p>
    <w:p w14:paraId="33A89ED7">
      <w:pPr>
        <w:pStyle w:val="4"/>
        <w:rPr>
          <w:rFonts w:ascii="Times New Roman" w:hAnsi="Times New Roman" w:eastAsia="宋体"/>
          <w:strike w:val="0"/>
          <w:dstrike w:val="0"/>
          <w:color w:val="auto"/>
          <w:highlight w:val="none"/>
        </w:rPr>
      </w:pPr>
      <w:bookmarkStart w:id="149" w:name="_Toc106663472"/>
      <w:bookmarkStart w:id="150" w:name="_Toc2984"/>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.2运营期</w:t>
      </w:r>
      <w:r>
        <w:rPr>
          <w:rFonts w:hint="eastAsia" w:ascii="Times New Roman" w:hAnsi="Times New Roman" w:eastAsia="宋体"/>
          <w:strike w:val="0"/>
          <w:dstrike w:val="0"/>
          <w:color w:val="auto"/>
          <w:highlight w:val="none"/>
        </w:rPr>
        <w:t>污染源强</w:t>
      </w:r>
      <w:r>
        <w:rPr>
          <w:rFonts w:ascii="Times New Roman" w:hAnsi="Times New Roman" w:eastAsia="宋体"/>
          <w:strike w:val="0"/>
          <w:dstrike w:val="0"/>
          <w:color w:val="auto"/>
          <w:highlight w:val="none"/>
        </w:rPr>
        <w:t>分析</w:t>
      </w:r>
      <w:bookmarkEnd w:id="149"/>
      <w:bookmarkEnd w:id="150"/>
    </w:p>
    <w:p w14:paraId="7DE2D424">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3.3.2.1运营期大气污染源</w:t>
      </w:r>
    </w:p>
    <w:p w14:paraId="0FADF3DF">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eastAsia="zh-CN"/>
        </w:rPr>
      </w:pPr>
      <w:r>
        <w:rPr>
          <w:rFonts w:hint="eastAsia" w:ascii="Times New Roman" w:hAnsi="Times New Roman" w:eastAsia="宋体"/>
          <w:strike w:val="0"/>
          <w:dstrike w:val="0"/>
          <w:color w:val="auto"/>
          <w:spacing w:val="0"/>
          <w:sz w:val="24"/>
          <w:highlight w:val="none"/>
        </w:rPr>
        <w:t>本项目冬季供暖采用电锅炉供暖，不使用天然气和燃煤锅炉，因此，本项目废气主要是恶臭气体</w:t>
      </w:r>
      <w:r>
        <w:rPr>
          <w:rFonts w:hint="eastAsia" w:ascii="Times New Roman" w:hAnsi="Times New Roman" w:eastAsia="宋体"/>
          <w:strike w:val="0"/>
          <w:dstrike w:val="0"/>
          <w:color w:val="auto"/>
          <w:spacing w:val="0"/>
          <w:sz w:val="24"/>
          <w:highlight w:val="none"/>
          <w:lang w:val="en-US" w:eastAsia="zh-CN"/>
        </w:rPr>
        <w:t>和饲料加工粉尘</w:t>
      </w:r>
      <w:r>
        <w:rPr>
          <w:rFonts w:hint="eastAsia" w:ascii="Times New Roman" w:hAnsi="Times New Roman" w:eastAsia="宋体"/>
          <w:strike w:val="0"/>
          <w:dstrike w:val="0"/>
          <w:color w:val="auto"/>
          <w:spacing w:val="0"/>
          <w:sz w:val="24"/>
          <w:highlight w:val="none"/>
          <w:lang w:eastAsia="zh-CN"/>
        </w:rPr>
        <w:t>。</w:t>
      </w:r>
    </w:p>
    <w:p w14:paraId="7DAC14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textAlignment w:val="auto"/>
        <w:rPr>
          <w:rFonts w:hint="eastAsia" w:ascii="Times New Roman" w:hAnsi="Times New Roman" w:eastAsia="宋体"/>
          <w:b/>
          <w:bCs/>
          <w:strike w:val="0"/>
          <w:dstrike w:val="0"/>
          <w:color w:val="auto"/>
          <w:spacing w:val="0"/>
          <w:sz w:val="24"/>
          <w:highlight w:val="none"/>
          <w:lang w:val="en-US" w:eastAsia="zh-CN"/>
        </w:rPr>
      </w:pPr>
      <w:r>
        <w:rPr>
          <w:rFonts w:hint="eastAsia" w:ascii="Times New Roman" w:hAnsi="Times New Roman" w:eastAsia="宋体" w:cs="Times New Roman"/>
          <w:b/>
          <w:bCs/>
          <w:strike w:val="0"/>
          <w:dstrike w:val="0"/>
          <w:color w:val="auto"/>
          <w:spacing w:val="0"/>
          <w:sz w:val="24"/>
          <w:lang w:val="en-US" w:eastAsia="zh-CN" w:bidi="ar-SA"/>
        </w:rPr>
        <w:t>（1）</w:t>
      </w:r>
      <w:r>
        <w:rPr>
          <w:rFonts w:hint="eastAsia" w:ascii="Times New Roman" w:hAnsi="Times New Roman" w:eastAsia="宋体"/>
          <w:b/>
          <w:bCs/>
          <w:strike w:val="0"/>
          <w:dstrike w:val="0"/>
          <w:color w:val="auto"/>
          <w:spacing w:val="0"/>
          <w:sz w:val="24"/>
          <w:highlight w:val="none"/>
          <w:lang w:val="en-US" w:eastAsia="zh-CN"/>
        </w:rPr>
        <w:t>恶臭</w:t>
      </w:r>
    </w:p>
    <w:p w14:paraId="6175EC8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200" w:right="0" w:rightChars="0"/>
        <w:textAlignment w:val="auto"/>
        <w:rPr>
          <w:rFonts w:ascii="Times New Roman" w:hAnsi="Times New Roman" w:eastAsia="宋体"/>
          <w:b/>
          <w:bCs/>
          <w:strike w:val="0"/>
          <w:dstrike w:val="0"/>
          <w:color w:val="auto"/>
          <w:spacing w:val="0"/>
          <w:sz w:val="24"/>
          <w:highlight w:val="none"/>
        </w:rPr>
      </w:pPr>
      <w:r>
        <w:rPr>
          <w:rFonts w:hint="eastAsia" w:ascii="Times New Roman" w:hAnsi="Times New Roman" w:eastAsia="宋体"/>
          <w:b/>
          <w:bCs/>
          <w:strike w:val="0"/>
          <w:dstrike w:val="0"/>
          <w:color w:val="auto"/>
          <w:spacing w:val="0"/>
          <w:sz w:val="24"/>
          <w:highlight w:val="none"/>
          <w:lang w:val="en-US" w:eastAsia="zh-CN"/>
        </w:rPr>
        <w:t>①</w:t>
      </w:r>
      <w:r>
        <w:rPr>
          <w:rFonts w:hint="eastAsia" w:ascii="Times New Roman" w:hAnsi="Times New Roman" w:eastAsia="宋体"/>
          <w:b/>
          <w:bCs/>
          <w:strike w:val="0"/>
          <w:dstrike w:val="0"/>
          <w:color w:val="auto"/>
          <w:spacing w:val="0"/>
          <w:sz w:val="24"/>
          <w:highlight w:val="none"/>
        </w:rPr>
        <w:t>来源及组成</w:t>
      </w:r>
    </w:p>
    <w:p w14:paraId="1DD77C7B">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本项目骆驼养殖过程中恶臭气体主要来源于骆驼圈舍、堆肥场、黑膜池。</w:t>
      </w:r>
    </w:p>
    <w:p w14:paraId="386C0721">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恶臭主要由骆驼排泄物引发，骆驼排泄物组成主要包括碳水化合物和含氮化合物，它们在有氧条件下会彻底氧化，不会产生恶臭，绝大部分恶臭均是这些有机物在合适的条件下经过慢性厌氧发酵而形成的。研究表明，排泄物在18℃的情况下经70d以后，有24%的植物纤维片段和43%的粗蛋白发生降解，碳水化合物会转化成挥发性脂肪酸、醇类及二氧化碳等，这些物质略带臭味和酸味。含氮化合物会转化成氨、硫酸、乙烯醇、二甲基硫醚、硫化氢、三甲胺等，这些气体有的具有腐败洋葱臭，有的具有腐败的蛋臭、鱼臭等。各种具有不同的气味的气体混合在一起，也即人们常说的恶臭。</w:t>
      </w:r>
    </w:p>
    <w:p w14:paraId="5274C6EB">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几种主要恶臭物质的理化性质见下表：</w:t>
      </w:r>
    </w:p>
    <w:p w14:paraId="7AD6E2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表3.3-4恶臭物质理化性质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2D20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7A9D45D">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恶臭物质</w:t>
            </w:r>
          </w:p>
        </w:tc>
        <w:tc>
          <w:tcPr>
            <w:tcW w:w="2130" w:type="dxa"/>
          </w:tcPr>
          <w:p w14:paraId="22771A69">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分子式</w:t>
            </w:r>
          </w:p>
        </w:tc>
        <w:tc>
          <w:tcPr>
            <w:tcW w:w="2131" w:type="dxa"/>
          </w:tcPr>
          <w:p w14:paraId="32DA6C61">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嗅阀值（ppm）</w:t>
            </w:r>
          </w:p>
        </w:tc>
        <w:tc>
          <w:tcPr>
            <w:tcW w:w="2131" w:type="dxa"/>
          </w:tcPr>
          <w:p w14:paraId="252ADFBF">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臭气特征</w:t>
            </w:r>
          </w:p>
        </w:tc>
      </w:tr>
      <w:tr w14:paraId="47B7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C815FF4">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氨</w:t>
            </w:r>
          </w:p>
        </w:tc>
        <w:tc>
          <w:tcPr>
            <w:tcW w:w="2130" w:type="dxa"/>
          </w:tcPr>
          <w:p w14:paraId="7A00C2B2">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subscript"/>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NH</w:t>
            </w:r>
            <w:r>
              <w:rPr>
                <w:rFonts w:hint="eastAsia" w:ascii="Times New Roman" w:hAnsi="Times New Roman" w:eastAsia="宋体"/>
                <w:strike w:val="0"/>
                <w:dstrike w:val="0"/>
                <w:color w:val="auto"/>
                <w:spacing w:val="0"/>
                <w:sz w:val="21"/>
                <w:highlight w:val="none"/>
                <w:vertAlign w:val="subscript"/>
                <w:lang w:val="en-US" w:eastAsia="zh-CN"/>
              </w:rPr>
              <w:t>3</w:t>
            </w:r>
          </w:p>
        </w:tc>
        <w:tc>
          <w:tcPr>
            <w:tcW w:w="2131" w:type="dxa"/>
          </w:tcPr>
          <w:p w14:paraId="46718796">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1.54</w:t>
            </w:r>
          </w:p>
        </w:tc>
        <w:tc>
          <w:tcPr>
            <w:tcW w:w="2131" w:type="dxa"/>
          </w:tcPr>
          <w:p w14:paraId="0E4FE32B">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刺激味</w:t>
            </w:r>
          </w:p>
        </w:tc>
      </w:tr>
      <w:tr w14:paraId="1A24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5975C03">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硫化氢</w:t>
            </w:r>
          </w:p>
        </w:tc>
        <w:tc>
          <w:tcPr>
            <w:tcW w:w="2130" w:type="dxa"/>
          </w:tcPr>
          <w:p w14:paraId="0B1D32AA">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H</w:t>
            </w:r>
            <w:r>
              <w:rPr>
                <w:rFonts w:hint="eastAsia" w:ascii="Times New Roman" w:hAnsi="Times New Roman" w:eastAsia="宋体"/>
                <w:strike w:val="0"/>
                <w:dstrike w:val="0"/>
                <w:color w:val="auto"/>
                <w:spacing w:val="0"/>
                <w:sz w:val="21"/>
                <w:highlight w:val="none"/>
                <w:vertAlign w:val="subscript"/>
                <w:lang w:val="en-US" w:eastAsia="zh-CN"/>
              </w:rPr>
              <w:t>2</w:t>
            </w:r>
            <w:r>
              <w:rPr>
                <w:rFonts w:hint="eastAsia" w:ascii="Times New Roman" w:hAnsi="Times New Roman" w:eastAsia="宋体"/>
                <w:strike w:val="0"/>
                <w:dstrike w:val="0"/>
                <w:color w:val="auto"/>
                <w:spacing w:val="0"/>
                <w:sz w:val="21"/>
                <w:highlight w:val="none"/>
                <w:vertAlign w:val="baseline"/>
                <w:lang w:val="en-US" w:eastAsia="zh-CN"/>
              </w:rPr>
              <w:t>S</w:t>
            </w:r>
          </w:p>
        </w:tc>
        <w:tc>
          <w:tcPr>
            <w:tcW w:w="2131" w:type="dxa"/>
          </w:tcPr>
          <w:p w14:paraId="52A8C3DE">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0.0041</w:t>
            </w:r>
          </w:p>
        </w:tc>
        <w:tc>
          <w:tcPr>
            <w:tcW w:w="2131" w:type="dxa"/>
          </w:tcPr>
          <w:p w14:paraId="55BB01F5">
            <w:pPr>
              <w:keepNext w:val="0"/>
              <w:keepLines w:val="0"/>
              <w:pageBreakBefore w:val="0"/>
              <w:widowControl w:val="0"/>
              <w:kinsoku/>
              <w:wordWrap/>
              <w:overflowPunct/>
              <w:topLinePunct w:val="0"/>
              <w:autoSpaceDE/>
              <w:autoSpaceDN/>
              <w:bidi w:val="0"/>
              <w:adjustRightInd/>
              <w:snapToGrid/>
              <w:spacing w:line="480" w:lineRule="exact"/>
              <w:ind w:right="0" w:firstLine="0" w:firstLineChars="0"/>
              <w:jc w:val="center"/>
              <w:textAlignment w:val="auto"/>
              <w:rPr>
                <w:rFonts w:hint="default" w:ascii="Times New Roman" w:hAnsi="Times New Roman" w:eastAsia="宋体"/>
                <w:strike w:val="0"/>
                <w:dstrike w:val="0"/>
                <w:color w:val="auto"/>
                <w:spacing w:val="0"/>
                <w:sz w:val="21"/>
                <w:highlight w:val="none"/>
                <w:vertAlign w:val="baseline"/>
                <w:lang w:val="en-US" w:eastAsia="zh-CN"/>
              </w:rPr>
            </w:pPr>
            <w:r>
              <w:rPr>
                <w:rFonts w:hint="eastAsia" w:ascii="Times New Roman" w:hAnsi="Times New Roman" w:eastAsia="宋体"/>
                <w:strike w:val="0"/>
                <w:dstrike w:val="0"/>
                <w:color w:val="auto"/>
                <w:spacing w:val="0"/>
                <w:sz w:val="21"/>
                <w:highlight w:val="none"/>
                <w:vertAlign w:val="baseline"/>
                <w:lang w:val="en-US" w:eastAsia="zh-CN"/>
              </w:rPr>
              <w:t>臭蛋味</w:t>
            </w:r>
          </w:p>
        </w:tc>
      </w:tr>
    </w:tbl>
    <w:p w14:paraId="79F2735F">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b/>
          <w:bCs/>
          <w:strike w:val="0"/>
          <w:dstrike w:val="0"/>
          <w:color w:val="auto"/>
          <w:spacing w:val="0"/>
          <w:sz w:val="24"/>
          <w:szCs w:val="24"/>
          <w:highlight w:val="none"/>
        </w:rPr>
      </w:pPr>
      <w:r>
        <w:rPr>
          <w:rFonts w:hint="eastAsia" w:ascii="Times New Roman" w:hAnsi="Times New Roman" w:eastAsia="宋体" w:cs="宋体"/>
          <w:b/>
          <w:bCs/>
          <w:strike w:val="0"/>
          <w:dstrike w:val="0"/>
          <w:color w:val="auto"/>
          <w:spacing w:val="0"/>
          <w:sz w:val="24"/>
          <w:szCs w:val="24"/>
          <w:highlight w:val="none"/>
          <w:lang w:val="en-US" w:eastAsia="zh-CN"/>
        </w:rPr>
        <w:t>②</w:t>
      </w:r>
      <w:r>
        <w:rPr>
          <w:rFonts w:ascii="Times New Roman" w:hAnsi="Times New Roman" w:eastAsia="宋体" w:cs="宋体"/>
          <w:b/>
          <w:bCs/>
          <w:strike w:val="0"/>
          <w:dstrike w:val="0"/>
          <w:color w:val="auto"/>
          <w:spacing w:val="0"/>
          <w:sz w:val="24"/>
          <w:szCs w:val="24"/>
          <w:highlight w:val="none"/>
        </w:rPr>
        <w:t>恶臭源强</w:t>
      </w:r>
    </w:p>
    <w:p w14:paraId="0000780C">
      <w:pPr>
        <w:keepNext w:val="0"/>
        <w:keepLines w:val="0"/>
        <w:pageBreakBefore w:val="0"/>
        <w:widowControl w:val="0"/>
        <w:kinsoku/>
        <w:wordWrap/>
        <w:overflowPunct/>
        <w:topLinePunct w:val="0"/>
        <w:autoSpaceDE/>
        <w:autoSpaceDN/>
        <w:bidi w:val="0"/>
        <w:adjustRightInd/>
        <w:snapToGrid/>
        <w:spacing w:line="480" w:lineRule="exact"/>
        <w:ind w:left="0" w:right="0" w:firstLine="479"/>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本项目恶臭气体主要来源于</w:t>
      </w:r>
      <w:r>
        <w:rPr>
          <w:rFonts w:hint="eastAsia" w:ascii="Times New Roman" w:hAnsi="Times New Roman" w:eastAsia="宋体" w:cs="宋体"/>
          <w:strike w:val="0"/>
          <w:dstrike w:val="0"/>
          <w:color w:val="auto"/>
          <w:spacing w:val="0"/>
          <w:sz w:val="24"/>
          <w:szCs w:val="24"/>
          <w:highlight w:val="none"/>
          <w:lang w:eastAsia="zh-CN"/>
        </w:rPr>
        <w:t>骆驼圈舍</w:t>
      </w:r>
      <w:r>
        <w:rPr>
          <w:rFonts w:hint="eastAsia" w:ascii="Times New Roman" w:hAnsi="Times New Roman" w:eastAsia="宋体" w:cs="宋体"/>
          <w:strike w:val="0"/>
          <w:dstrike w:val="0"/>
          <w:color w:val="auto"/>
          <w:spacing w:val="0"/>
          <w:sz w:val="24"/>
          <w:szCs w:val="24"/>
          <w:highlight w:val="none"/>
          <w:lang w:val="en-US" w:eastAsia="zh-CN"/>
        </w:rPr>
        <w:t>、堆肥场、黑膜池</w:t>
      </w:r>
      <w:r>
        <w:rPr>
          <w:rFonts w:ascii="Times New Roman" w:hAnsi="Times New Roman" w:eastAsia="宋体" w:cs="宋体"/>
          <w:strike w:val="0"/>
          <w:dstrike w:val="0"/>
          <w:color w:val="auto"/>
          <w:spacing w:val="0"/>
          <w:sz w:val="24"/>
          <w:szCs w:val="24"/>
          <w:highlight w:val="none"/>
        </w:rPr>
        <w:t>，恶臭气体主要为</w:t>
      </w:r>
      <w:r>
        <w:rPr>
          <w:rFonts w:ascii="Times New Roman" w:hAnsi="Times New Roman" w:eastAsia="宋体" w:cs="Times New Roman"/>
          <w:strike w:val="0"/>
          <w:dstrike w:val="0"/>
          <w:color w:val="auto"/>
          <w:spacing w:val="0"/>
          <w:sz w:val="24"/>
          <w:szCs w:val="24"/>
          <w:highlight w:val="none"/>
        </w:rPr>
        <w:t>NH</w:t>
      </w:r>
      <w:r>
        <w:rPr>
          <w:rFonts w:ascii="Times New Roman" w:hAnsi="Times New Roman" w:eastAsia="宋体" w:cs="Times New Roman"/>
          <w:strike w:val="0"/>
          <w:dstrike w:val="0"/>
          <w:color w:val="auto"/>
          <w:spacing w:val="0"/>
          <w:sz w:val="24"/>
          <w:szCs w:val="15"/>
          <w:highlight w:val="none"/>
          <w:vertAlign w:val="subscript"/>
        </w:rPr>
        <w:t>3</w:t>
      </w:r>
      <w:r>
        <w:rPr>
          <w:rFonts w:ascii="Times New Roman" w:hAnsi="Times New Roman" w:eastAsia="宋体" w:cs="宋体"/>
          <w:strike w:val="0"/>
          <w:dstrike w:val="0"/>
          <w:color w:val="auto"/>
          <w:spacing w:val="0"/>
          <w:sz w:val="24"/>
          <w:szCs w:val="24"/>
          <w:highlight w:val="none"/>
        </w:rPr>
        <w:t>、</w:t>
      </w:r>
      <w:r>
        <w:rPr>
          <w:rFonts w:ascii="Times New Roman" w:hAnsi="Times New Roman" w:eastAsia="宋体" w:cs="Times New Roman"/>
          <w:strike w:val="0"/>
          <w:dstrike w:val="0"/>
          <w:color w:val="auto"/>
          <w:spacing w:val="0"/>
          <w:sz w:val="24"/>
          <w:szCs w:val="24"/>
          <w:highlight w:val="none"/>
        </w:rPr>
        <w:t>H</w:t>
      </w:r>
      <w:r>
        <w:rPr>
          <w:rFonts w:ascii="Times New Roman" w:hAnsi="Times New Roman" w:eastAsia="宋体" w:cs="Times New Roman"/>
          <w:strike w:val="0"/>
          <w:dstrike w:val="0"/>
          <w:color w:val="auto"/>
          <w:spacing w:val="0"/>
          <w:sz w:val="24"/>
          <w:szCs w:val="15"/>
          <w:highlight w:val="none"/>
          <w:vertAlign w:val="subscript"/>
        </w:rPr>
        <w:t>2</w:t>
      </w:r>
      <w:r>
        <w:rPr>
          <w:rFonts w:ascii="Times New Roman" w:hAnsi="Times New Roman" w:eastAsia="宋体" w:cs="Times New Roman"/>
          <w:strike w:val="0"/>
          <w:dstrike w:val="0"/>
          <w:color w:val="auto"/>
          <w:spacing w:val="0"/>
          <w:sz w:val="24"/>
          <w:szCs w:val="24"/>
          <w:highlight w:val="none"/>
        </w:rPr>
        <w:t>S</w:t>
      </w:r>
      <w:r>
        <w:rPr>
          <w:rFonts w:ascii="Times New Roman" w:hAnsi="Times New Roman" w:eastAsia="宋体" w:cs="宋体"/>
          <w:strike w:val="0"/>
          <w:dstrike w:val="0"/>
          <w:color w:val="auto"/>
          <w:spacing w:val="0"/>
          <w:sz w:val="24"/>
          <w:szCs w:val="24"/>
          <w:highlight w:val="none"/>
        </w:rPr>
        <w:t>等</w:t>
      </w:r>
      <w:r>
        <w:rPr>
          <w:rFonts w:hint="eastAsia" w:ascii="Times New Roman" w:hAnsi="Times New Roman" w:eastAsia="宋体" w:cs="宋体"/>
          <w:strike w:val="0"/>
          <w:dstrike w:val="0"/>
          <w:color w:val="auto"/>
          <w:spacing w:val="0"/>
          <w:sz w:val="24"/>
          <w:szCs w:val="24"/>
          <w:highlight w:val="none"/>
          <w:lang w:eastAsia="zh-CN"/>
        </w:rPr>
        <w:t>。</w:t>
      </w:r>
    </w:p>
    <w:p w14:paraId="7F165151">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cs="宋体"/>
          <w:b/>
          <w:bCs/>
          <w:strike w:val="0"/>
          <w:dstrike w:val="0"/>
          <w:color w:val="auto"/>
          <w:spacing w:val="0"/>
          <w:sz w:val="24"/>
          <w:szCs w:val="24"/>
          <w:highlight w:val="none"/>
          <w:lang w:eastAsia="zh-CN"/>
        </w:rPr>
      </w:pPr>
      <w:r>
        <w:rPr>
          <w:rFonts w:hint="eastAsia" w:ascii="Times New Roman" w:hAnsi="Times New Roman" w:eastAsia="宋体"/>
          <w:b/>
          <w:bCs/>
          <w:strike w:val="0"/>
          <w:dstrike w:val="0"/>
          <w:color w:val="auto"/>
          <w:spacing w:val="0"/>
          <w:sz w:val="24"/>
          <w:highlight w:val="none"/>
          <w:lang w:val="en-US" w:eastAsia="zh-CN"/>
        </w:rPr>
        <w:t>a</w:t>
      </w:r>
      <w:r>
        <w:rPr>
          <w:rFonts w:hint="eastAsia" w:ascii="Times New Roman" w:hAnsi="Times New Roman" w:eastAsia="宋体" w:cs="宋体"/>
          <w:b/>
          <w:bCs/>
          <w:strike w:val="0"/>
          <w:dstrike w:val="0"/>
          <w:color w:val="auto"/>
          <w:spacing w:val="0"/>
          <w:sz w:val="24"/>
          <w:szCs w:val="24"/>
          <w:highlight w:val="none"/>
          <w:lang w:eastAsia="zh-CN"/>
        </w:rPr>
        <w:t>骆驼圈舍</w:t>
      </w:r>
    </w:p>
    <w:p w14:paraId="2992A75E">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本项目采用资料调查法参考相关文献报道确定恶臭污染物源强。</w:t>
      </w:r>
    </w:p>
    <w:p w14:paraId="2E41419A">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骆驼养殖恶臭主要来自驼舍和堆肥场，其产生源分布面较广，均为低矮面源。</w:t>
      </w:r>
    </w:p>
    <w:p w14:paraId="609DC8C8">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cs="Times New Roman"/>
          <w:strike w:val="0"/>
          <w:dstrike w:val="0"/>
          <w:color w:val="auto"/>
          <w:kern w:val="0"/>
          <w:sz w:val="24"/>
          <w:szCs w:val="20"/>
          <w:lang w:val="en-US" w:eastAsia="zh-CN" w:bidi="ar-SA"/>
        </w:rPr>
        <w:t>根据《建设项目环境影响评价分类管理名录》（2021年版），二、畜牧业03中相关说明“其他畜禽种类折合猪的养殖量”，因此本项目将骆驼养殖量换算成猪养殖量，</w:t>
      </w:r>
      <w:r>
        <w:rPr>
          <w:rFonts w:hint="eastAsia" w:ascii="Times New Roman" w:hAnsi="Times New Roman" w:eastAsia="宋体"/>
          <w:strike w:val="0"/>
          <w:dstrike w:val="0"/>
          <w:color w:val="auto"/>
          <w:spacing w:val="0"/>
          <w:sz w:val="24"/>
          <w:highlight w:val="none"/>
          <w:lang w:val="en-US" w:eastAsia="zh-CN"/>
        </w:rPr>
        <w:t>《畜禽养殖业污染物排放标准》（GB1859-2001）中有鸡、牛的换算比例，目前无明确文件规定骆驼换算比例，因此参考论文《基于饲养标准的家禽单位折算方法》（草地学报，第17卷第4期，2009年7月，刘玉杰、李向林、何峰）中各种家禽与绵羊单位的折算系数可知：1头牛=4只绵羊，1峰骆驼=7只绵羊，并结合《畜禽养殖业污染物排放标准》（GB 118596-2001）可知：1头肉牛=5头猪。按照上述折算系数，可得出：1峰骆驼约折算成9头猪，本项目骆驼存栏量1015峰，骆驼换算后的量为9135头猪。</w:t>
      </w:r>
    </w:p>
    <w:p w14:paraId="2D86C332">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default"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本次评价骆驼养殖恶臭排放源强参照《排放源统计调查产排污核算方法和系数手册》畜禽规模化养殖排污系数中生猪的相关数据（一头生猪一天产生的氨氮为0.0283kg/头）进行计算，恶臭无组织排放氮转化为NH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挥发的比率约为1%，H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S约为NH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的10%。</w:t>
      </w:r>
    </w:p>
    <w:p w14:paraId="3167A5EF">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本项目骆驼存栏量1015峰，则NH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的产生量约为943.599kg/a，H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S的产生量约为94.36kg/a，排放方式为无组织排放的面源。</w:t>
      </w:r>
    </w:p>
    <w:p w14:paraId="6E162BE2">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本项目驼舍定时清理骆驼粪，加强驼舍通风，并科学合理调控饲粮，合理配置饲料成分，同时加强骆驼养殖场的环境跟踪和管理，对驼舍、堆肥场定期喷洒除臭剂，减少恶臭污染物的蓄积，经过上述综合措施处理后，臭气浓度排放值可满足《畜禽养殖业污染物排放标准》（GB18596-2001）中限值要求。</w:t>
      </w:r>
    </w:p>
    <w:p w14:paraId="054B2218">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参考《日粮不同种类的饲草料对荷斯坦青年母牛粪尿中总氮、氨态氮和粪中NH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S散发量的影响》（《中国畜牧杂质》，2010（46）20）一文，在采取TMR全混合日粮喂食奶牛、添加沙皂素等除臭剂后，其粪污中NH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S可减少55%左右；参考《南方冬季奶牛场牛舍内环境检测与评价》（金陵科技学院动物科学与技术学院，伍林清等）一文，在牛舍通风条件良好的情况下牛舍内NH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可较牛舍通风条件一般情况减少35%左右；定期驼舍清理、堆肥棚、集污池定期喷洒除生物除臭剂去除恶臭，参考《多种除臭剂对氨和硫化氢去除效果的试验研究》（丁湘蓉，（北京市海淀区环境卫生科学研究所）一文，采用除臭剂去除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S的，NH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S可减少85%左右。</w:t>
      </w:r>
    </w:p>
    <w:p w14:paraId="0699ED88">
      <w:pPr>
        <w:keepNext w:val="0"/>
        <w:keepLines w:val="0"/>
        <w:pageBreakBefore w:val="0"/>
        <w:widowControl w:val="0"/>
        <w:kinsoku/>
        <w:wordWrap/>
        <w:overflowPunct/>
        <w:topLinePunct w:val="0"/>
        <w:autoSpaceDE/>
        <w:autoSpaceDN/>
        <w:bidi w:val="0"/>
        <w:adjustRightInd/>
        <w:snapToGrid/>
        <w:spacing w:line="480" w:lineRule="exact"/>
        <w:ind w:left="0" w:right="0" w:firstLine="480"/>
        <w:textAlignment w:val="auto"/>
        <w:rPr>
          <w:rFonts w:hint="eastAsia"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综合考虑，本项目恶臭去除效率按照85%考虑，达产后骆驼养殖场恶臭污染物排放量为NH</w:t>
      </w:r>
      <w:r>
        <w:rPr>
          <w:rFonts w:hint="eastAsia"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lang w:val="en-US" w:eastAsia="zh-CN"/>
        </w:rPr>
        <w:t>：141.54kg/a，H</w:t>
      </w:r>
      <w:r>
        <w:rPr>
          <w:rFonts w:hint="eastAsia" w:ascii="Times New Roman" w:hAnsi="Times New Roman" w:eastAsia="宋体"/>
          <w:strike w:val="0"/>
          <w:dstrike w:val="0"/>
          <w:color w:val="auto"/>
          <w:spacing w:val="0"/>
          <w:sz w:val="24"/>
          <w:highlight w:val="none"/>
          <w:vertAlign w:val="subscript"/>
          <w:lang w:val="en-US" w:eastAsia="zh-CN"/>
        </w:rPr>
        <w:t>2</w:t>
      </w:r>
      <w:r>
        <w:rPr>
          <w:rFonts w:hint="eastAsia" w:ascii="Times New Roman" w:hAnsi="Times New Roman" w:eastAsia="宋体"/>
          <w:strike w:val="0"/>
          <w:dstrike w:val="0"/>
          <w:color w:val="auto"/>
          <w:spacing w:val="0"/>
          <w:sz w:val="24"/>
          <w:highlight w:val="none"/>
          <w:lang w:val="en-US" w:eastAsia="zh-CN"/>
        </w:rPr>
        <w:t>S：14.154kg/a。</w:t>
      </w:r>
    </w:p>
    <w:p w14:paraId="6BE3B90B">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eastAsia" w:ascii="Times New Roman" w:hAnsi="Times New Roman" w:eastAsia="宋体" w:cs="Times New Roman"/>
          <w:strike w:val="0"/>
          <w:dstrike w:val="0"/>
          <w:color w:val="auto"/>
          <w:spacing w:val="0"/>
          <w:sz w:val="24"/>
          <w:szCs w:val="24"/>
          <w:highlight w:val="none"/>
          <w:lang w:eastAsia="zh-CN"/>
        </w:rPr>
      </w:pPr>
      <w:r>
        <w:rPr>
          <w:rFonts w:hint="eastAsia" w:ascii="Times New Roman" w:hAnsi="Times New Roman" w:eastAsia="宋体" w:cs="宋体"/>
          <w:color w:val="auto"/>
          <w:kern w:val="0"/>
          <w:sz w:val="24"/>
          <w:lang w:bidi="ar"/>
        </w:rPr>
        <w:t>本项目</w:t>
      </w:r>
      <w:r>
        <w:rPr>
          <w:rFonts w:hint="eastAsia" w:ascii="Times New Roman" w:hAnsi="Times New Roman" w:eastAsia="宋体" w:cs="宋体"/>
          <w:color w:val="auto"/>
          <w:kern w:val="0"/>
          <w:sz w:val="24"/>
          <w:lang w:val="en-US" w:eastAsia="zh-CN" w:bidi="ar"/>
        </w:rPr>
        <w:t>骆驼圈舍</w:t>
      </w:r>
      <w:r>
        <w:rPr>
          <w:rFonts w:hint="eastAsia" w:ascii="Times New Roman" w:hAnsi="Times New Roman" w:eastAsia="宋体" w:cs="宋体"/>
          <w:color w:val="auto"/>
          <w:kern w:val="0"/>
          <w:sz w:val="24"/>
          <w:lang w:bidi="ar"/>
        </w:rPr>
        <w:t>恶臭气体产生排放情况见表</w:t>
      </w:r>
      <w:r>
        <w:rPr>
          <w:rFonts w:hint="eastAsia" w:ascii="Times New Roman" w:hAnsi="Times New Roman" w:eastAsia="宋体" w:cs="Times New Roman"/>
          <w:strike w:val="0"/>
          <w:dstrike w:val="0"/>
          <w:color w:val="auto"/>
          <w:spacing w:val="0"/>
          <w:sz w:val="24"/>
          <w:szCs w:val="24"/>
          <w:highlight w:val="none"/>
          <w:lang w:val="en-US" w:eastAsia="zh-CN"/>
        </w:rPr>
        <w:t>3.3-4</w:t>
      </w:r>
      <w:r>
        <w:rPr>
          <w:rFonts w:hint="eastAsia" w:ascii="Times New Roman" w:hAnsi="Times New Roman" w:eastAsia="宋体" w:cs="Times New Roman"/>
          <w:strike w:val="0"/>
          <w:dstrike w:val="0"/>
          <w:color w:val="auto"/>
          <w:spacing w:val="0"/>
          <w:sz w:val="24"/>
          <w:szCs w:val="24"/>
          <w:highlight w:val="none"/>
          <w:lang w:eastAsia="zh-CN"/>
        </w:rPr>
        <w:t>。</w:t>
      </w:r>
    </w:p>
    <w:p w14:paraId="602CF376">
      <w:pPr>
        <w:keepNext w:val="0"/>
        <w:keepLines w:val="0"/>
        <w:pageBreakBefore w:val="0"/>
        <w:widowControl w:val="0"/>
        <w:kinsoku/>
        <w:wordWrap/>
        <w:overflowPunct/>
        <w:topLinePunct w:val="0"/>
        <w:autoSpaceDE/>
        <w:autoSpaceDN/>
        <w:bidi w:val="0"/>
        <w:adjustRightInd/>
        <w:snapToGrid/>
        <w:spacing w:line="233" w:lineRule="auto"/>
        <w:ind w:left="0" w:firstLine="0" w:firstLineChars="0"/>
        <w:jc w:val="center"/>
        <w:textAlignment w:val="auto"/>
        <w:rPr>
          <w:rFonts w:hint="eastAsia" w:ascii="Times New Roman" w:hAnsi="Times New Roman" w:eastAsia="宋体" w:cstheme="majorBidi"/>
          <w:b/>
          <w:strike w:val="0"/>
          <w:dstrike w:val="0"/>
          <w:color w:val="auto"/>
          <w:sz w:val="24"/>
          <w:szCs w:val="22"/>
          <w:highlight w:val="none"/>
          <w:lang w:val="en-US" w:eastAsia="zh-CN" w:bidi="ar-SA"/>
        </w:rPr>
      </w:pPr>
      <w:r>
        <w:rPr>
          <w:rFonts w:hint="eastAsia" w:ascii="Times New Roman" w:hAnsi="Times New Roman" w:eastAsia="宋体" w:cstheme="majorBidi"/>
          <w:b/>
          <w:strike w:val="0"/>
          <w:dstrike w:val="0"/>
          <w:color w:val="auto"/>
          <w:sz w:val="24"/>
          <w:szCs w:val="22"/>
          <w:highlight w:val="none"/>
          <w:lang w:val="en-US" w:eastAsia="zh-CN" w:bidi="ar-SA"/>
        </w:rPr>
        <w:t>表3.3-4</w:t>
      </w:r>
      <w:r>
        <w:rPr>
          <w:rFonts w:hint="eastAsia" w:ascii="Times New Roman" w:hAnsi="Times New Roman" w:eastAsia="宋体" w:cstheme="majorBidi"/>
          <w:b/>
          <w:strike w:val="0"/>
          <w:dstrike w:val="0"/>
          <w:color w:val="auto"/>
          <w:sz w:val="24"/>
          <w:szCs w:val="22"/>
          <w:highlight w:val="none"/>
          <w:lang w:val="en-US" w:eastAsia="zh-CN" w:bidi="ar-SA"/>
        </w:rPr>
        <w:t>骆驼圈舍</w:t>
      </w:r>
      <w:r>
        <w:rPr>
          <w:rFonts w:hint="eastAsia" w:ascii="Times New Roman" w:hAnsi="Times New Roman" w:eastAsia="宋体" w:cstheme="majorBidi"/>
          <w:b/>
          <w:strike w:val="0"/>
          <w:dstrike w:val="0"/>
          <w:color w:val="auto"/>
          <w:sz w:val="24"/>
          <w:szCs w:val="22"/>
          <w:highlight w:val="none"/>
          <w:lang w:val="en-US" w:eastAsia="zh-CN" w:bidi="ar-SA"/>
        </w:rPr>
        <w:t>恶臭气体产生排放情况一览表</w:t>
      </w:r>
    </w:p>
    <w:tbl>
      <w:tblPr>
        <w:tblStyle w:val="183"/>
        <w:tblW w:w="502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480"/>
        <w:gridCol w:w="460"/>
        <w:gridCol w:w="734"/>
        <w:gridCol w:w="3307"/>
        <w:gridCol w:w="889"/>
        <w:gridCol w:w="889"/>
        <w:gridCol w:w="1049"/>
      </w:tblGrid>
      <w:tr w14:paraId="3D2D0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323" w:type="pct"/>
            <w:vAlign w:val="center"/>
          </w:tcPr>
          <w:p w14:paraId="5EC3A42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污染源</w:t>
            </w:r>
          </w:p>
        </w:tc>
        <w:tc>
          <w:tcPr>
            <w:tcW w:w="287" w:type="pct"/>
            <w:vAlign w:val="center"/>
          </w:tcPr>
          <w:p w14:paraId="0089D5E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污染因子</w:t>
            </w:r>
          </w:p>
        </w:tc>
        <w:tc>
          <w:tcPr>
            <w:tcW w:w="275" w:type="pct"/>
            <w:vAlign w:val="center"/>
          </w:tcPr>
          <w:p w14:paraId="49361C9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14"/>
                <w:highlight w:val="none"/>
                <w:lang w:val="en-US" w:eastAsia="zh-CN"/>
              </w:rPr>
            </w:pPr>
            <w:r>
              <w:rPr>
                <w:rFonts w:hint="eastAsia" w:ascii="Times New Roman" w:hAnsi="Times New Roman" w:eastAsia="宋体" w:cs="Times New Roman"/>
                <w:strike w:val="0"/>
                <w:dstrike w:val="0"/>
                <w:color w:val="auto"/>
                <w:spacing w:val="0"/>
                <w:position w:val="0"/>
                <w:sz w:val="21"/>
                <w:szCs w:val="14"/>
                <w:highlight w:val="none"/>
                <w:lang w:val="en-US" w:eastAsia="zh-CN"/>
              </w:rPr>
              <w:t>排放方式</w:t>
            </w:r>
          </w:p>
        </w:tc>
        <w:tc>
          <w:tcPr>
            <w:tcW w:w="439" w:type="pct"/>
            <w:vAlign w:val="center"/>
          </w:tcPr>
          <w:p w14:paraId="1EFAD49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产生量（kg/a）</w:t>
            </w:r>
          </w:p>
        </w:tc>
        <w:tc>
          <w:tcPr>
            <w:tcW w:w="1981" w:type="pct"/>
            <w:vAlign w:val="center"/>
          </w:tcPr>
          <w:p w14:paraId="4369C1F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治理措施</w:t>
            </w:r>
          </w:p>
        </w:tc>
        <w:tc>
          <w:tcPr>
            <w:tcW w:w="532" w:type="pct"/>
            <w:vAlign w:val="center"/>
          </w:tcPr>
          <w:p w14:paraId="67B30D4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处理效率</w:t>
            </w:r>
          </w:p>
        </w:tc>
        <w:tc>
          <w:tcPr>
            <w:tcW w:w="532" w:type="pct"/>
            <w:vAlign w:val="center"/>
          </w:tcPr>
          <w:p w14:paraId="1BC0D1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排放量（kg/a）</w:t>
            </w:r>
          </w:p>
        </w:tc>
        <w:tc>
          <w:tcPr>
            <w:tcW w:w="628" w:type="pct"/>
            <w:vAlign w:val="center"/>
          </w:tcPr>
          <w:p w14:paraId="55E9866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排放速率（kg/h）</w:t>
            </w:r>
          </w:p>
        </w:tc>
      </w:tr>
      <w:tr w14:paraId="607D8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323" w:type="pct"/>
            <w:vMerge w:val="restart"/>
            <w:vAlign w:val="center"/>
          </w:tcPr>
          <w:p w14:paraId="1C070A2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骆驼圈舍</w:t>
            </w:r>
          </w:p>
        </w:tc>
        <w:tc>
          <w:tcPr>
            <w:tcW w:w="287" w:type="pct"/>
            <w:vAlign w:val="center"/>
          </w:tcPr>
          <w:p w14:paraId="617A759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vertAlign w:val="subscript"/>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NH</w:t>
            </w:r>
            <w:r>
              <w:rPr>
                <w:rFonts w:hint="eastAsia" w:ascii="Times New Roman" w:hAnsi="Times New Roman" w:eastAsia="宋体" w:cs="Times New Roman"/>
                <w:strike w:val="0"/>
                <w:dstrike w:val="0"/>
                <w:color w:val="auto"/>
                <w:spacing w:val="0"/>
                <w:position w:val="0"/>
                <w:sz w:val="21"/>
                <w:szCs w:val="21"/>
                <w:highlight w:val="none"/>
                <w:vertAlign w:val="subscript"/>
                <w:lang w:val="en-US" w:eastAsia="zh-CN"/>
              </w:rPr>
              <w:t>3</w:t>
            </w:r>
          </w:p>
        </w:tc>
        <w:tc>
          <w:tcPr>
            <w:tcW w:w="275" w:type="pct"/>
            <w:vMerge w:val="restart"/>
            <w:vAlign w:val="center"/>
          </w:tcPr>
          <w:p w14:paraId="5415EA9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无组织</w:t>
            </w:r>
          </w:p>
        </w:tc>
        <w:tc>
          <w:tcPr>
            <w:tcW w:w="439" w:type="pct"/>
            <w:vAlign w:val="center"/>
          </w:tcPr>
          <w:p w14:paraId="7406030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943.599</w:t>
            </w:r>
          </w:p>
        </w:tc>
        <w:tc>
          <w:tcPr>
            <w:tcW w:w="1981" w:type="pct"/>
            <w:vMerge w:val="restart"/>
            <w:vAlign w:val="center"/>
          </w:tcPr>
          <w:p w14:paraId="2E7EC22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default" w:ascii="Times New Roman" w:hAnsi="Times New Roman" w:eastAsia="宋体" w:cs="Times New Roman"/>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532" w:type="pct"/>
            <w:vMerge w:val="restart"/>
            <w:vAlign w:val="center"/>
          </w:tcPr>
          <w:p w14:paraId="532C69A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85%</w:t>
            </w:r>
          </w:p>
        </w:tc>
        <w:tc>
          <w:tcPr>
            <w:tcW w:w="532" w:type="pct"/>
            <w:vAlign w:val="center"/>
          </w:tcPr>
          <w:p w14:paraId="27FF12F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w:t>
            </w:r>
          </w:p>
        </w:tc>
        <w:tc>
          <w:tcPr>
            <w:tcW w:w="628" w:type="pct"/>
            <w:vAlign w:val="center"/>
          </w:tcPr>
          <w:p w14:paraId="66F921A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vertAlign w:val="superscript"/>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-2</w:t>
            </w:r>
          </w:p>
        </w:tc>
      </w:tr>
      <w:tr w14:paraId="1ECAA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jc w:val="center"/>
        </w:trPr>
        <w:tc>
          <w:tcPr>
            <w:tcW w:w="323" w:type="pct"/>
            <w:vMerge w:val="continue"/>
            <w:vAlign w:val="center"/>
          </w:tcPr>
          <w:p w14:paraId="464C377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287" w:type="pct"/>
            <w:vAlign w:val="center"/>
          </w:tcPr>
          <w:p w14:paraId="7E17164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H</w:t>
            </w:r>
            <w:r>
              <w:rPr>
                <w:rFonts w:hint="eastAsia" w:ascii="Times New Roman" w:hAnsi="Times New Roman" w:eastAsia="宋体" w:cs="Times New Roman"/>
                <w:strike w:val="0"/>
                <w:dstrike w:val="0"/>
                <w:color w:val="auto"/>
                <w:spacing w:val="0"/>
                <w:position w:val="0"/>
                <w:sz w:val="21"/>
                <w:szCs w:val="21"/>
                <w:highlight w:val="none"/>
                <w:vertAlign w:val="subscript"/>
                <w:lang w:val="en-US" w:eastAsia="zh-CN"/>
              </w:rPr>
              <w:t>2</w:t>
            </w:r>
            <w:r>
              <w:rPr>
                <w:rFonts w:hint="eastAsia" w:ascii="Times New Roman" w:hAnsi="Times New Roman" w:eastAsia="宋体" w:cs="Times New Roman"/>
                <w:strike w:val="0"/>
                <w:dstrike w:val="0"/>
                <w:color w:val="auto"/>
                <w:spacing w:val="0"/>
                <w:position w:val="0"/>
                <w:sz w:val="21"/>
                <w:szCs w:val="21"/>
                <w:highlight w:val="none"/>
                <w:vertAlign w:val="baseline"/>
                <w:lang w:val="en-US" w:eastAsia="zh-CN"/>
              </w:rPr>
              <w:t>S</w:t>
            </w:r>
          </w:p>
        </w:tc>
        <w:tc>
          <w:tcPr>
            <w:tcW w:w="275" w:type="pct"/>
            <w:vMerge w:val="continue"/>
            <w:vAlign w:val="center"/>
          </w:tcPr>
          <w:p w14:paraId="14070CE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439" w:type="pct"/>
            <w:vAlign w:val="center"/>
          </w:tcPr>
          <w:p w14:paraId="2E23F43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94.36</w:t>
            </w:r>
          </w:p>
        </w:tc>
        <w:tc>
          <w:tcPr>
            <w:tcW w:w="1981" w:type="pct"/>
            <w:vMerge w:val="continue"/>
            <w:vAlign w:val="center"/>
          </w:tcPr>
          <w:p w14:paraId="335D294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532" w:type="pct"/>
            <w:vMerge w:val="continue"/>
            <w:vAlign w:val="center"/>
          </w:tcPr>
          <w:p w14:paraId="29D52FF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p>
        </w:tc>
        <w:tc>
          <w:tcPr>
            <w:tcW w:w="532" w:type="pct"/>
            <w:vAlign w:val="center"/>
          </w:tcPr>
          <w:p w14:paraId="6C3128D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w:t>
            </w:r>
          </w:p>
        </w:tc>
        <w:tc>
          <w:tcPr>
            <w:tcW w:w="628" w:type="pct"/>
            <w:vAlign w:val="center"/>
          </w:tcPr>
          <w:p w14:paraId="52DC4F0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-3</w:t>
            </w:r>
          </w:p>
        </w:tc>
      </w:tr>
    </w:tbl>
    <w:p w14:paraId="72AB9A8E">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eastAsia" w:ascii="Times New Roman" w:hAnsi="Times New Roman" w:eastAsia="宋体"/>
          <w:b/>
          <w:bCs/>
          <w:strike w:val="0"/>
          <w:dstrike w:val="0"/>
          <w:color w:val="auto"/>
          <w:spacing w:val="0"/>
          <w:sz w:val="24"/>
          <w:highlight w:val="none"/>
          <w:lang w:val="en-US" w:eastAsia="zh-CN"/>
        </w:rPr>
      </w:pPr>
      <w:r>
        <w:rPr>
          <w:rFonts w:hint="eastAsia" w:ascii="Times New Roman" w:hAnsi="Times New Roman" w:eastAsia="宋体"/>
          <w:b/>
          <w:bCs/>
          <w:strike w:val="0"/>
          <w:dstrike w:val="0"/>
          <w:color w:val="auto"/>
          <w:spacing w:val="0"/>
          <w:sz w:val="24"/>
          <w:highlight w:val="none"/>
          <w:lang w:val="en-US" w:eastAsia="zh-CN"/>
        </w:rPr>
        <w:t>b堆肥发酵恶臭</w:t>
      </w:r>
    </w:p>
    <w:p w14:paraId="617206D0">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default" w:ascii="Times New Roman" w:hAnsi="Times New Roman" w:eastAsia="宋体"/>
          <w:strike w:val="0"/>
          <w:dstrike w:val="0"/>
          <w:color w:val="auto"/>
          <w:spacing w:val="0"/>
          <w:sz w:val="24"/>
          <w:highlight w:val="none"/>
          <w:lang w:val="en-US" w:eastAsia="zh-CN"/>
        </w:rPr>
      </w:pP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恶臭主要产生于粪便暂存、混合、发酵等环节。根据《规模化畜禽养殖场恶臭污染物扩散规律及其防护距离研究》中国农业科学院中的恶臭污染源</w:t>
      </w:r>
      <w:r>
        <w:rPr>
          <w:rFonts w:hint="default" w:ascii="Times New Roman" w:hAnsi="Times New Roman" w:eastAsia="宋体"/>
          <w:strike w:val="0"/>
          <w:dstrike w:val="0"/>
          <w:color w:val="auto"/>
          <w:spacing w:val="0"/>
          <w:sz w:val="24"/>
          <w:highlight w:val="none"/>
          <w:shd w:val="clear"/>
          <w:lang w:val="en-US" w:eastAsia="zh-CN"/>
        </w:rPr>
        <w:t>500头牛粪堆场NH</w:t>
      </w:r>
      <w:r>
        <w:rPr>
          <w:rFonts w:hint="default" w:ascii="Times New Roman" w:hAnsi="Times New Roman" w:eastAsia="宋体"/>
          <w:strike w:val="0"/>
          <w:dstrike w:val="0"/>
          <w:color w:val="auto"/>
          <w:spacing w:val="0"/>
          <w:sz w:val="24"/>
          <w:highlight w:val="none"/>
          <w:shd w:val="clear"/>
          <w:vertAlign w:val="subscript"/>
          <w:lang w:val="en-US" w:eastAsia="zh-CN"/>
        </w:rPr>
        <w:t>3</w:t>
      </w:r>
      <w:r>
        <w:rPr>
          <w:rFonts w:hint="default" w:ascii="Times New Roman" w:hAnsi="Times New Roman" w:eastAsia="宋体"/>
          <w:strike w:val="0"/>
          <w:dstrike w:val="0"/>
          <w:color w:val="auto"/>
          <w:spacing w:val="0"/>
          <w:sz w:val="24"/>
          <w:highlight w:val="none"/>
          <w:shd w:val="clear"/>
          <w:lang w:val="en-US" w:eastAsia="zh-CN"/>
        </w:rPr>
        <w:t>年产生量6.25kg/a，H</w:t>
      </w:r>
      <w:r>
        <w:rPr>
          <w:rFonts w:hint="default" w:ascii="Times New Roman" w:hAnsi="Times New Roman" w:eastAsia="宋体"/>
          <w:strike w:val="0"/>
          <w:dstrike w:val="0"/>
          <w:color w:val="auto"/>
          <w:spacing w:val="0"/>
          <w:sz w:val="24"/>
          <w:highlight w:val="none"/>
          <w:shd w:val="clear"/>
          <w:vertAlign w:val="subscript"/>
          <w:lang w:val="en-US" w:eastAsia="zh-CN"/>
        </w:rPr>
        <w:t>2</w:t>
      </w:r>
      <w:r>
        <w:rPr>
          <w:rFonts w:hint="default" w:ascii="Times New Roman" w:hAnsi="Times New Roman" w:eastAsia="宋体"/>
          <w:strike w:val="0"/>
          <w:dstrike w:val="0"/>
          <w:color w:val="auto"/>
          <w:spacing w:val="0"/>
          <w:sz w:val="24"/>
          <w:highlight w:val="none"/>
          <w:shd w:val="clear"/>
          <w:lang w:val="en-US" w:eastAsia="zh-CN"/>
        </w:rPr>
        <w:t>S年产生量为0.15kg/a。</w:t>
      </w:r>
      <w:r>
        <w:rPr>
          <w:rFonts w:hint="default" w:ascii="Times New Roman" w:hAnsi="Times New Roman" w:eastAsia="宋体"/>
          <w:strike w:val="0"/>
          <w:dstrike w:val="0"/>
          <w:color w:val="auto"/>
          <w:spacing w:val="0"/>
          <w:sz w:val="24"/>
          <w:highlight w:val="none"/>
          <w:lang w:val="en-US" w:eastAsia="zh-CN"/>
        </w:rPr>
        <w:t>同时根据论文《基于饲养标准的家禽单位折算方法》（草地学报，第17卷第4期，2009年7月，刘玉杰、李向林、何峰）中各种家畜与绵羊单位的折算系数可知：1头牛=4只绵羊，1峰骆驼=7只绵羊；根据《畜禽养殖业污染物排放标准》（GB118596-2001）可知：1头肉牛=5头猪。按照上述折算系数，可得出：1峰骆驼约折算成1.8头牛，经过折算后，本项目</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NH</w:t>
      </w:r>
      <w:r>
        <w:rPr>
          <w:rFonts w:hint="default" w:ascii="Times New Roman" w:hAnsi="Times New Roman" w:eastAsia="宋体"/>
          <w:strike w:val="0"/>
          <w:dstrike w:val="0"/>
          <w:color w:val="auto"/>
          <w:spacing w:val="0"/>
          <w:sz w:val="24"/>
          <w:highlight w:val="none"/>
          <w:vertAlign w:val="subscript"/>
          <w:lang w:val="en-US" w:eastAsia="zh-CN"/>
        </w:rPr>
        <w:t>3</w:t>
      </w:r>
      <w:r>
        <w:rPr>
          <w:rFonts w:hint="default" w:ascii="Times New Roman" w:hAnsi="Times New Roman" w:eastAsia="宋体"/>
          <w:strike w:val="0"/>
          <w:dstrike w:val="0"/>
          <w:color w:val="auto"/>
          <w:spacing w:val="0"/>
          <w:sz w:val="24"/>
          <w:highlight w:val="none"/>
          <w:lang w:val="en-US" w:eastAsia="zh-CN"/>
        </w:rPr>
        <w:t>年产生为</w:t>
      </w:r>
      <w:r>
        <w:rPr>
          <w:rFonts w:hint="eastAsia" w:ascii="Times New Roman" w:hAnsi="Times New Roman" w:eastAsia="宋体"/>
          <w:strike w:val="0"/>
          <w:dstrike w:val="0"/>
          <w:color w:val="auto"/>
          <w:spacing w:val="0"/>
          <w:sz w:val="24"/>
          <w:highlight w:val="none"/>
          <w:lang w:val="en-US" w:eastAsia="zh-CN"/>
        </w:rPr>
        <w:t>22.8375</w:t>
      </w:r>
      <w:r>
        <w:rPr>
          <w:rFonts w:hint="default" w:ascii="Times New Roman" w:hAnsi="Times New Roman" w:eastAsia="宋体"/>
          <w:strike w:val="0"/>
          <w:dstrike w:val="0"/>
          <w:color w:val="auto"/>
          <w:spacing w:val="0"/>
          <w:sz w:val="24"/>
          <w:highlight w:val="none"/>
          <w:lang w:val="en-US" w:eastAsia="zh-CN"/>
        </w:rPr>
        <w:t>kg/a，H</w:t>
      </w:r>
      <w:r>
        <w:rPr>
          <w:rFonts w:hint="default" w:ascii="Times New Roman" w:hAnsi="Times New Roman" w:eastAsia="宋体"/>
          <w:strike w:val="0"/>
          <w:dstrike w:val="0"/>
          <w:color w:val="auto"/>
          <w:spacing w:val="0"/>
          <w:sz w:val="24"/>
          <w:highlight w:val="none"/>
          <w:vertAlign w:val="subscript"/>
          <w:lang w:val="en-US" w:eastAsia="zh-CN"/>
        </w:rPr>
        <w:t>2</w:t>
      </w:r>
      <w:r>
        <w:rPr>
          <w:rFonts w:hint="default" w:ascii="Times New Roman" w:hAnsi="Times New Roman" w:eastAsia="宋体"/>
          <w:strike w:val="0"/>
          <w:dstrike w:val="0"/>
          <w:color w:val="auto"/>
          <w:spacing w:val="0"/>
          <w:sz w:val="24"/>
          <w:highlight w:val="none"/>
          <w:lang w:val="en-US" w:eastAsia="zh-CN"/>
        </w:rPr>
        <w:t>S年产生量为</w:t>
      </w:r>
      <w:r>
        <w:rPr>
          <w:rFonts w:hint="eastAsia" w:ascii="Times New Roman" w:hAnsi="Times New Roman" w:eastAsia="宋体"/>
          <w:strike w:val="0"/>
          <w:dstrike w:val="0"/>
          <w:color w:val="auto"/>
          <w:spacing w:val="0"/>
          <w:sz w:val="24"/>
          <w:highlight w:val="none"/>
          <w:lang w:val="en-US" w:eastAsia="zh-CN"/>
        </w:rPr>
        <w:t>0.5481</w:t>
      </w:r>
      <w:r>
        <w:rPr>
          <w:rFonts w:hint="default" w:ascii="Times New Roman" w:hAnsi="Times New Roman" w:eastAsia="宋体"/>
          <w:strike w:val="0"/>
          <w:dstrike w:val="0"/>
          <w:color w:val="auto"/>
          <w:spacing w:val="0"/>
          <w:sz w:val="24"/>
          <w:highlight w:val="none"/>
          <w:lang w:val="en-US" w:eastAsia="zh-CN"/>
        </w:rPr>
        <w:t>kg/a，产生速率即</w:t>
      </w:r>
      <w:r>
        <w:rPr>
          <w:rFonts w:hint="eastAsia" w:ascii="Times New Roman" w:hAnsi="Times New Roman" w:eastAsia="宋体"/>
          <w:strike w:val="0"/>
          <w:dstrike w:val="0"/>
          <w:color w:val="auto"/>
          <w:spacing w:val="0"/>
          <w:sz w:val="24"/>
          <w:highlight w:val="none"/>
          <w:lang w:val="en-US" w:eastAsia="zh-CN"/>
        </w:rPr>
        <w:t>2.61</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-3</w:t>
      </w:r>
      <w:r>
        <w:rPr>
          <w:rFonts w:hint="default" w:ascii="Times New Roman" w:hAnsi="Times New Roman" w:eastAsia="宋体"/>
          <w:strike w:val="0"/>
          <w:dstrike w:val="0"/>
          <w:color w:val="auto"/>
          <w:spacing w:val="0"/>
          <w:sz w:val="24"/>
          <w:highlight w:val="none"/>
          <w:lang w:val="en-US" w:eastAsia="zh-CN"/>
        </w:rPr>
        <w:t>和</w:t>
      </w:r>
      <w:r>
        <w:rPr>
          <w:rFonts w:hint="eastAsia" w:ascii="Times New Roman" w:hAnsi="Times New Roman" w:eastAsia="宋体"/>
          <w:strike w:val="0"/>
          <w:dstrike w:val="0"/>
          <w:color w:val="auto"/>
          <w:spacing w:val="0"/>
          <w:sz w:val="24"/>
          <w:highlight w:val="none"/>
          <w:lang w:val="en-US" w:eastAsia="zh-CN"/>
        </w:rPr>
        <w:t>6.26</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-5</w:t>
      </w:r>
      <w:r>
        <w:rPr>
          <w:rFonts w:hint="default" w:ascii="Times New Roman" w:hAnsi="Times New Roman" w:eastAsia="宋体"/>
          <w:strike w:val="0"/>
          <w:dstrike w:val="0"/>
          <w:color w:val="auto"/>
          <w:spacing w:val="0"/>
          <w:sz w:val="24"/>
          <w:highlight w:val="none"/>
          <w:lang w:val="en-US" w:eastAsia="zh-CN"/>
        </w:rPr>
        <w:t>kg/h。</w:t>
      </w:r>
    </w:p>
    <w:p w14:paraId="4E86D1F0">
      <w:pPr>
        <w:keepNext w:val="0"/>
        <w:keepLines w:val="0"/>
        <w:pageBreakBefore w:val="0"/>
        <w:widowControl w:val="0"/>
        <w:kinsoku/>
        <w:wordWrap/>
        <w:overflowPunct/>
        <w:topLinePunct w:val="0"/>
        <w:autoSpaceDE/>
        <w:autoSpaceDN/>
        <w:bidi w:val="0"/>
        <w:adjustRightInd/>
        <w:snapToGrid/>
        <w:spacing w:line="480" w:lineRule="exact"/>
        <w:ind w:left="0" w:right="0" w:firstLine="484"/>
        <w:textAlignment w:val="auto"/>
        <w:rPr>
          <w:rFonts w:hint="default" w:ascii="Times New Roman" w:hAnsi="Times New Roman" w:eastAsia="宋体"/>
          <w:strike w:val="0"/>
          <w:dstrike w:val="0"/>
          <w:color w:val="auto"/>
          <w:spacing w:val="0"/>
          <w:sz w:val="24"/>
          <w:highlight w:val="none"/>
          <w:lang w:val="en-US" w:eastAsia="zh-CN"/>
        </w:rPr>
      </w:pPr>
      <w:r>
        <w:rPr>
          <w:rFonts w:hint="default" w:ascii="Times New Roman" w:hAnsi="Times New Roman" w:eastAsia="宋体"/>
          <w:strike w:val="0"/>
          <w:dstrike w:val="0"/>
          <w:color w:val="auto"/>
          <w:spacing w:val="0"/>
          <w:sz w:val="24"/>
          <w:highlight w:val="none"/>
          <w:lang w:val="en-US" w:eastAsia="zh-CN"/>
        </w:rPr>
        <w:t>本项目采取在</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周边种植高大乔木，利用绿色植物对恶臭气体的吸收作用减少污染；另外要在</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周边喷洒除臭剂进行处理，多用强氧化剂和杀菌剂等消除微生物产生的臭味或化学氧化臭味物质</w:t>
      </w:r>
      <w:r>
        <w:rPr>
          <w:rFonts w:hint="eastAsia" w:ascii="Times New Roman" w:hAnsi="Times New Roman" w:eastAsia="宋体"/>
          <w:strike w:val="0"/>
          <w:dstrike w:val="0"/>
          <w:color w:val="auto"/>
          <w:spacing w:val="0"/>
          <w:sz w:val="24"/>
          <w:highlight w:val="none"/>
          <w:lang w:val="en-US" w:eastAsia="zh-CN"/>
        </w:rPr>
        <w:t>；使用透气发酵膜全覆盖堆垛，周边压实，防雨、阻隔臭气，翻堆仅局部揭膜，同步喷淋除臭，完工马上盖膜；</w:t>
      </w:r>
      <w:r>
        <w:rPr>
          <w:rFonts w:hint="default" w:ascii="Times New Roman" w:hAnsi="Times New Roman" w:eastAsia="宋体"/>
          <w:strike w:val="0"/>
          <w:dstrike w:val="0"/>
          <w:color w:val="auto"/>
          <w:spacing w:val="0"/>
          <w:sz w:val="24"/>
          <w:highlight w:val="none"/>
          <w:lang w:val="en-US" w:eastAsia="zh-CN"/>
        </w:rPr>
        <w:t>经过采取以上措施后，可有效减少约60%的恶臭废气排放，经计算，</w:t>
      </w:r>
      <w:r>
        <w:rPr>
          <w:rFonts w:hint="eastAsia" w:ascii="Times New Roman" w:hAnsi="Times New Roman" w:eastAsia="宋体"/>
          <w:strike w:val="0"/>
          <w:dstrike w:val="0"/>
          <w:color w:val="auto"/>
          <w:spacing w:val="0"/>
          <w:sz w:val="24"/>
          <w:highlight w:val="none"/>
          <w:lang w:val="en-US" w:eastAsia="zh-CN"/>
        </w:rPr>
        <w:t>堆肥场</w:t>
      </w:r>
      <w:r>
        <w:rPr>
          <w:rFonts w:hint="default" w:ascii="Times New Roman" w:hAnsi="Times New Roman" w:eastAsia="宋体"/>
          <w:strike w:val="0"/>
          <w:dstrike w:val="0"/>
          <w:color w:val="auto"/>
          <w:spacing w:val="0"/>
          <w:sz w:val="24"/>
          <w:highlight w:val="none"/>
          <w:lang w:val="en-US" w:eastAsia="zh-CN"/>
        </w:rPr>
        <w:t>恶臭排放量为NH</w:t>
      </w:r>
      <w:r>
        <w:rPr>
          <w:rFonts w:hint="default"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vertAlign w:val="baseline"/>
          <w:lang w:val="en-US" w:eastAsia="zh-CN"/>
        </w:rPr>
        <w:t>：9.1250</w:t>
      </w:r>
      <w:r>
        <w:rPr>
          <w:rFonts w:hint="default" w:ascii="Times New Roman" w:hAnsi="Times New Roman" w:eastAsia="宋体"/>
          <w:strike w:val="0"/>
          <w:dstrike w:val="0"/>
          <w:color w:val="auto"/>
          <w:spacing w:val="0"/>
          <w:sz w:val="24"/>
          <w:highlight w:val="none"/>
          <w:lang w:val="en-US" w:eastAsia="zh-CN"/>
        </w:rPr>
        <w:t>kg/a，H</w:t>
      </w:r>
      <w:r>
        <w:rPr>
          <w:rFonts w:hint="default" w:ascii="Times New Roman" w:hAnsi="Times New Roman" w:eastAsia="宋体"/>
          <w:strike w:val="0"/>
          <w:dstrike w:val="0"/>
          <w:color w:val="auto"/>
          <w:spacing w:val="0"/>
          <w:sz w:val="24"/>
          <w:highlight w:val="none"/>
          <w:vertAlign w:val="subscript"/>
          <w:lang w:val="en-US" w:eastAsia="zh-CN"/>
        </w:rPr>
        <w:t>2</w:t>
      </w:r>
      <w:r>
        <w:rPr>
          <w:rFonts w:hint="default" w:ascii="Times New Roman" w:hAnsi="Times New Roman" w:eastAsia="宋体"/>
          <w:strike w:val="0"/>
          <w:dstrike w:val="0"/>
          <w:color w:val="auto"/>
          <w:spacing w:val="0"/>
          <w:sz w:val="24"/>
          <w:highlight w:val="none"/>
          <w:lang w:val="en-US" w:eastAsia="zh-CN"/>
        </w:rPr>
        <w:t>S</w:t>
      </w:r>
      <w:r>
        <w:rPr>
          <w:rFonts w:hint="eastAsia" w:ascii="Times New Roman" w:hAnsi="Times New Roman" w:eastAsia="宋体"/>
          <w:strike w:val="0"/>
          <w:dstrike w:val="0"/>
          <w:color w:val="auto"/>
          <w:spacing w:val="0"/>
          <w:sz w:val="24"/>
          <w:highlight w:val="none"/>
          <w:vertAlign w:val="baseline"/>
          <w:lang w:val="en-US" w:eastAsia="zh-CN"/>
        </w:rPr>
        <w:t>：</w:t>
      </w:r>
      <w:r>
        <w:rPr>
          <w:rFonts w:hint="eastAsia" w:ascii="Times New Roman" w:hAnsi="Times New Roman" w:eastAsia="宋体"/>
          <w:strike w:val="0"/>
          <w:dstrike w:val="0"/>
          <w:color w:val="auto"/>
          <w:spacing w:val="0"/>
          <w:sz w:val="24"/>
          <w:highlight w:val="none"/>
          <w:lang w:val="en-US" w:eastAsia="zh-CN"/>
        </w:rPr>
        <w:t>0.2190</w:t>
      </w:r>
      <w:r>
        <w:rPr>
          <w:rFonts w:hint="default" w:ascii="Times New Roman" w:hAnsi="Times New Roman" w:eastAsia="宋体"/>
          <w:strike w:val="0"/>
          <w:dstrike w:val="0"/>
          <w:color w:val="auto"/>
          <w:spacing w:val="0"/>
          <w:sz w:val="24"/>
          <w:highlight w:val="none"/>
          <w:lang w:val="en-US" w:eastAsia="zh-CN"/>
        </w:rPr>
        <w:t>kg/a</w:t>
      </w:r>
      <w:r>
        <w:rPr>
          <w:rFonts w:hint="eastAsia" w:ascii="Times New Roman" w:hAnsi="Times New Roman" w:eastAsia="宋体"/>
          <w:strike w:val="0"/>
          <w:dstrike w:val="0"/>
          <w:color w:val="auto"/>
          <w:spacing w:val="0"/>
          <w:sz w:val="24"/>
          <w:highlight w:val="none"/>
          <w:lang w:val="en-US" w:eastAsia="zh-CN"/>
        </w:rPr>
        <w:t>，排放速率为</w:t>
      </w:r>
      <w:r>
        <w:rPr>
          <w:rFonts w:hint="default" w:ascii="Times New Roman" w:hAnsi="Times New Roman" w:eastAsia="宋体"/>
          <w:strike w:val="0"/>
          <w:dstrike w:val="0"/>
          <w:color w:val="auto"/>
          <w:spacing w:val="0"/>
          <w:sz w:val="24"/>
          <w:highlight w:val="none"/>
          <w:lang w:val="en-US" w:eastAsia="zh-CN"/>
        </w:rPr>
        <w:t>NH</w:t>
      </w:r>
      <w:r>
        <w:rPr>
          <w:rFonts w:hint="default" w:ascii="Times New Roman" w:hAnsi="Times New Roman" w:eastAsia="宋体"/>
          <w:strike w:val="0"/>
          <w:dstrike w:val="0"/>
          <w:color w:val="auto"/>
          <w:spacing w:val="0"/>
          <w:sz w:val="24"/>
          <w:highlight w:val="none"/>
          <w:vertAlign w:val="subscript"/>
          <w:lang w:val="en-US" w:eastAsia="zh-CN"/>
        </w:rPr>
        <w:t>3</w:t>
      </w:r>
      <w:r>
        <w:rPr>
          <w:rFonts w:hint="eastAsia" w:ascii="Times New Roman" w:hAnsi="Times New Roman" w:eastAsia="宋体"/>
          <w:strike w:val="0"/>
          <w:dstrike w:val="0"/>
          <w:color w:val="auto"/>
          <w:spacing w:val="0"/>
          <w:sz w:val="24"/>
          <w:highlight w:val="none"/>
          <w:vertAlign w:val="baseline"/>
          <w:lang w:val="en-US" w:eastAsia="zh-CN"/>
        </w:rPr>
        <w:t>：</w:t>
      </w:r>
      <w:r>
        <w:rPr>
          <w:rFonts w:hint="eastAsia" w:ascii="Times New Roman" w:hAnsi="Times New Roman" w:eastAsia="宋体"/>
          <w:strike w:val="0"/>
          <w:dstrike w:val="0"/>
          <w:color w:val="auto"/>
          <w:spacing w:val="0"/>
          <w:sz w:val="24"/>
          <w:highlight w:val="none"/>
          <w:lang w:val="en-US" w:eastAsia="zh-CN"/>
        </w:rPr>
        <w:t>1.04</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-3</w:t>
      </w:r>
      <w:r>
        <w:rPr>
          <w:rFonts w:hint="default" w:ascii="Times New Roman" w:hAnsi="Times New Roman" w:eastAsia="宋体"/>
          <w:strike w:val="0"/>
          <w:dstrike w:val="0"/>
          <w:color w:val="auto"/>
          <w:spacing w:val="0"/>
          <w:sz w:val="24"/>
          <w:highlight w:val="none"/>
          <w:lang w:val="en-US" w:eastAsia="zh-CN"/>
        </w:rPr>
        <w:t>kg/</w:t>
      </w:r>
      <w:r>
        <w:rPr>
          <w:rFonts w:hint="eastAsia" w:ascii="Times New Roman" w:hAnsi="Times New Roman" w:eastAsia="宋体"/>
          <w:strike w:val="0"/>
          <w:dstrike w:val="0"/>
          <w:color w:val="auto"/>
          <w:spacing w:val="0"/>
          <w:sz w:val="24"/>
          <w:highlight w:val="none"/>
          <w:lang w:val="en-US" w:eastAsia="zh-CN"/>
        </w:rPr>
        <w:t>h</w:t>
      </w:r>
      <w:r>
        <w:rPr>
          <w:rFonts w:hint="default" w:ascii="Times New Roman" w:hAnsi="Times New Roman" w:eastAsia="宋体"/>
          <w:strike w:val="0"/>
          <w:dstrike w:val="0"/>
          <w:color w:val="auto"/>
          <w:spacing w:val="0"/>
          <w:sz w:val="24"/>
          <w:highlight w:val="none"/>
          <w:lang w:val="en-US" w:eastAsia="zh-CN"/>
        </w:rPr>
        <w:t>，H</w:t>
      </w:r>
      <w:r>
        <w:rPr>
          <w:rFonts w:hint="default" w:ascii="Times New Roman" w:hAnsi="Times New Roman" w:eastAsia="宋体"/>
          <w:strike w:val="0"/>
          <w:dstrike w:val="0"/>
          <w:color w:val="auto"/>
          <w:spacing w:val="0"/>
          <w:sz w:val="24"/>
          <w:highlight w:val="none"/>
          <w:vertAlign w:val="subscript"/>
          <w:lang w:val="en-US" w:eastAsia="zh-CN"/>
        </w:rPr>
        <w:t>2</w:t>
      </w:r>
      <w:r>
        <w:rPr>
          <w:rFonts w:hint="default" w:ascii="Times New Roman" w:hAnsi="Times New Roman" w:eastAsia="宋体"/>
          <w:strike w:val="0"/>
          <w:dstrike w:val="0"/>
          <w:color w:val="auto"/>
          <w:spacing w:val="0"/>
          <w:sz w:val="24"/>
          <w:highlight w:val="none"/>
          <w:lang w:val="en-US" w:eastAsia="zh-CN"/>
        </w:rPr>
        <w:t>S</w:t>
      </w:r>
      <w:r>
        <w:rPr>
          <w:rFonts w:hint="eastAsia" w:ascii="Times New Roman" w:hAnsi="Times New Roman" w:eastAsia="宋体"/>
          <w:strike w:val="0"/>
          <w:dstrike w:val="0"/>
          <w:color w:val="auto"/>
          <w:spacing w:val="0"/>
          <w:sz w:val="24"/>
          <w:highlight w:val="none"/>
          <w:vertAlign w:val="baseline"/>
          <w:lang w:val="en-US" w:eastAsia="zh-CN"/>
        </w:rPr>
        <w:t>：</w:t>
      </w:r>
      <w:r>
        <w:rPr>
          <w:rFonts w:hint="eastAsia" w:ascii="Times New Roman" w:hAnsi="Times New Roman" w:eastAsia="宋体"/>
          <w:strike w:val="0"/>
          <w:dstrike w:val="0"/>
          <w:color w:val="auto"/>
          <w:spacing w:val="0"/>
          <w:sz w:val="24"/>
          <w:highlight w:val="none"/>
          <w:lang w:val="en-US" w:eastAsia="zh-CN"/>
        </w:rPr>
        <w:t>2.50</w:t>
      </w:r>
      <w:r>
        <w:rPr>
          <w:rFonts w:hint="default" w:ascii="Times New Roman" w:hAnsi="Times New Roman" w:eastAsia="宋体" w:cs="Arial"/>
          <w:strike w:val="0"/>
          <w:dstrike w:val="0"/>
          <w:color w:val="auto"/>
          <w:spacing w:val="0"/>
          <w:sz w:val="24"/>
          <w:highlight w:val="none"/>
          <w:lang w:val="en-US" w:eastAsia="zh-CN"/>
        </w:rPr>
        <w:t>×</w:t>
      </w:r>
      <w:r>
        <w:rPr>
          <w:rFonts w:hint="eastAsia" w:ascii="Times New Roman" w:hAnsi="Times New Roman" w:eastAsia="宋体"/>
          <w:strike w:val="0"/>
          <w:dstrike w:val="0"/>
          <w:color w:val="auto"/>
          <w:spacing w:val="0"/>
          <w:sz w:val="24"/>
          <w:highlight w:val="none"/>
          <w:lang w:val="en-US" w:eastAsia="zh-CN"/>
        </w:rPr>
        <w:t>10</w:t>
      </w:r>
      <w:r>
        <w:rPr>
          <w:rFonts w:hint="eastAsia" w:ascii="Times New Roman" w:hAnsi="Times New Roman" w:eastAsia="宋体"/>
          <w:strike w:val="0"/>
          <w:dstrike w:val="0"/>
          <w:color w:val="auto"/>
          <w:spacing w:val="0"/>
          <w:sz w:val="24"/>
          <w:highlight w:val="none"/>
          <w:vertAlign w:val="superscript"/>
          <w:lang w:val="en-US" w:eastAsia="zh-CN"/>
        </w:rPr>
        <w:t>-5</w:t>
      </w:r>
      <w:r>
        <w:rPr>
          <w:rFonts w:hint="default" w:ascii="Times New Roman" w:hAnsi="Times New Roman" w:eastAsia="宋体"/>
          <w:strike w:val="0"/>
          <w:dstrike w:val="0"/>
          <w:color w:val="auto"/>
          <w:spacing w:val="0"/>
          <w:sz w:val="24"/>
          <w:highlight w:val="none"/>
          <w:lang w:val="en-US" w:eastAsia="zh-CN"/>
        </w:rPr>
        <w:t>kg/</w:t>
      </w:r>
      <w:r>
        <w:rPr>
          <w:rFonts w:hint="eastAsia" w:ascii="Times New Roman" w:hAnsi="Times New Roman" w:eastAsia="宋体"/>
          <w:strike w:val="0"/>
          <w:dstrike w:val="0"/>
          <w:color w:val="auto"/>
          <w:spacing w:val="0"/>
          <w:sz w:val="24"/>
          <w:highlight w:val="none"/>
          <w:lang w:val="en-US" w:eastAsia="zh-CN"/>
        </w:rPr>
        <w:t>h</w:t>
      </w:r>
      <w:r>
        <w:rPr>
          <w:rFonts w:hint="default" w:ascii="Times New Roman" w:hAnsi="Times New Roman" w:eastAsia="宋体"/>
          <w:strike w:val="0"/>
          <w:dstrike w:val="0"/>
          <w:color w:val="auto"/>
          <w:spacing w:val="0"/>
          <w:sz w:val="24"/>
          <w:highlight w:val="none"/>
          <w:lang w:val="en-US" w:eastAsia="zh-CN"/>
        </w:rPr>
        <w:t>。</w:t>
      </w:r>
    </w:p>
    <w:p w14:paraId="47D25FF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w:t>
      </w:r>
      <w:r>
        <w:rPr>
          <w:rFonts w:hint="eastAsia" w:ascii="Times New Roman" w:hAnsi="Times New Roman" w:eastAsia="宋体" w:cs="宋体"/>
          <w:color w:val="auto"/>
          <w:kern w:val="0"/>
          <w:sz w:val="24"/>
          <w:lang w:val="en-US" w:eastAsia="zh-CN" w:bidi="ar"/>
        </w:rPr>
        <w:t>堆肥厂</w:t>
      </w:r>
      <w:r>
        <w:rPr>
          <w:rFonts w:hint="eastAsia" w:ascii="Times New Roman" w:hAnsi="Times New Roman" w:eastAsia="宋体" w:cs="宋体"/>
          <w:color w:val="auto"/>
          <w:kern w:val="0"/>
          <w:sz w:val="24"/>
          <w:lang w:bidi="ar"/>
        </w:rPr>
        <w:t>恶臭气体产生排放情况见表</w:t>
      </w:r>
      <w:r>
        <w:rPr>
          <w:rFonts w:hint="eastAsia" w:ascii="Times New Roman" w:hAnsi="Times New Roman" w:eastAsia="宋体" w:cs="宋体"/>
          <w:color w:val="auto"/>
          <w:kern w:val="0"/>
          <w:sz w:val="24"/>
          <w:lang w:val="en-US" w:eastAsia="zh-CN" w:bidi="ar"/>
        </w:rPr>
        <w:t>3.3-5</w:t>
      </w:r>
      <w:r>
        <w:rPr>
          <w:rFonts w:hint="eastAsia" w:ascii="Times New Roman" w:hAnsi="Times New Roman" w:eastAsia="宋体" w:cs="宋体"/>
          <w:color w:val="auto"/>
          <w:kern w:val="0"/>
          <w:sz w:val="24"/>
          <w:lang w:bidi="ar"/>
        </w:rPr>
        <w:t>。</w:t>
      </w:r>
    </w:p>
    <w:p w14:paraId="29931670">
      <w:pPr>
        <w:keepNext w:val="0"/>
        <w:keepLines w:val="0"/>
        <w:pageBreakBefore w:val="0"/>
        <w:widowControl w:val="0"/>
        <w:kinsoku/>
        <w:wordWrap/>
        <w:overflowPunct/>
        <w:topLinePunct w:val="0"/>
        <w:autoSpaceDE/>
        <w:autoSpaceDN/>
        <w:bidi w:val="0"/>
        <w:adjustRightInd/>
        <w:snapToGrid/>
        <w:spacing w:line="233" w:lineRule="auto"/>
        <w:ind w:left="0" w:firstLine="0" w:firstLineChars="0"/>
        <w:jc w:val="center"/>
        <w:textAlignment w:val="auto"/>
        <w:rPr>
          <w:rFonts w:hint="eastAsia" w:ascii="Times New Roman" w:hAnsi="Times New Roman" w:eastAsia="宋体" w:cstheme="majorBidi"/>
          <w:b/>
          <w:strike w:val="0"/>
          <w:dstrike w:val="0"/>
          <w:color w:val="auto"/>
          <w:sz w:val="24"/>
          <w:szCs w:val="22"/>
          <w:highlight w:val="none"/>
          <w:lang w:val="en-US" w:eastAsia="zh-CN" w:bidi="ar-SA"/>
        </w:rPr>
      </w:pPr>
      <w:r>
        <w:rPr>
          <w:rFonts w:hint="eastAsia" w:ascii="Times New Roman" w:hAnsi="Times New Roman" w:eastAsia="宋体" w:cstheme="majorBidi"/>
          <w:b/>
          <w:strike w:val="0"/>
          <w:dstrike w:val="0"/>
          <w:color w:val="auto"/>
          <w:sz w:val="24"/>
          <w:szCs w:val="22"/>
          <w:highlight w:val="none"/>
          <w:lang w:val="en-US" w:eastAsia="zh-CN" w:bidi="ar-SA"/>
        </w:rPr>
        <w:t>表</w:t>
      </w:r>
      <w:r>
        <w:rPr>
          <w:rFonts w:hint="eastAsia" w:ascii="Times New Roman" w:hAnsi="Times New Roman" w:eastAsia="宋体" w:cstheme="majorBidi"/>
          <w:b/>
          <w:strike w:val="0"/>
          <w:dstrike w:val="0"/>
          <w:color w:val="auto"/>
          <w:sz w:val="24"/>
          <w:szCs w:val="22"/>
          <w:highlight w:val="none"/>
          <w:lang w:val="en-US" w:eastAsia="zh-CN" w:bidi="ar-SA"/>
        </w:rPr>
        <w:t>3.3-5堆肥场</w:t>
      </w:r>
      <w:r>
        <w:rPr>
          <w:rFonts w:hint="eastAsia" w:ascii="Times New Roman" w:hAnsi="Times New Roman" w:eastAsia="宋体" w:cstheme="majorBidi"/>
          <w:b/>
          <w:strike w:val="0"/>
          <w:dstrike w:val="0"/>
          <w:color w:val="auto"/>
          <w:sz w:val="24"/>
          <w:szCs w:val="22"/>
          <w:highlight w:val="none"/>
          <w:lang w:val="en-US" w:eastAsia="zh-CN" w:bidi="ar-SA"/>
        </w:rPr>
        <w:t>恶臭气体产生排放情况一览表</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727"/>
        <w:gridCol w:w="750"/>
        <w:gridCol w:w="1125"/>
        <w:gridCol w:w="2012"/>
        <w:gridCol w:w="675"/>
        <w:gridCol w:w="1056"/>
        <w:gridCol w:w="1180"/>
      </w:tblGrid>
      <w:tr w14:paraId="7DFE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582" w:type="pct"/>
            <w:shd w:val="clear" w:color="auto" w:fill="auto"/>
            <w:vAlign w:val="center"/>
          </w:tcPr>
          <w:p w14:paraId="259A746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val="en-US" w:eastAsia="zh-CN" w:bidi="ar"/>
              </w:rPr>
              <w:t>污染源</w:t>
            </w:r>
          </w:p>
        </w:tc>
        <w:tc>
          <w:tcPr>
            <w:tcW w:w="426" w:type="pct"/>
            <w:shd w:val="clear" w:color="auto" w:fill="auto"/>
            <w:vAlign w:val="center"/>
          </w:tcPr>
          <w:p w14:paraId="142BD5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污染</w:t>
            </w:r>
            <w:r>
              <w:rPr>
                <w:rFonts w:hint="eastAsia" w:ascii="Times New Roman" w:hAnsi="Times New Roman" w:eastAsia="宋体" w:cs="宋体"/>
                <w:color w:val="auto"/>
                <w:kern w:val="0"/>
                <w:sz w:val="21"/>
                <w:szCs w:val="21"/>
                <w:lang w:val="en-US" w:eastAsia="zh-CN" w:bidi="ar"/>
              </w:rPr>
              <w:t>因子</w:t>
            </w:r>
          </w:p>
        </w:tc>
        <w:tc>
          <w:tcPr>
            <w:tcW w:w="440" w:type="pct"/>
            <w:shd w:val="clear" w:color="auto" w:fill="auto"/>
            <w:vAlign w:val="center"/>
          </w:tcPr>
          <w:p w14:paraId="223BB42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color w:val="auto"/>
                <w:kern w:val="0"/>
                <w:sz w:val="21"/>
                <w:szCs w:val="21"/>
                <w:lang w:val="en-US" w:eastAsia="zh-CN" w:bidi="ar"/>
              </w:rPr>
            </w:pPr>
            <w:r>
              <w:rPr>
                <w:rFonts w:hint="eastAsia" w:ascii="Times New Roman" w:hAnsi="Times New Roman" w:eastAsia="宋体" w:cs="宋体"/>
                <w:color w:val="auto"/>
                <w:kern w:val="0"/>
                <w:sz w:val="21"/>
                <w:szCs w:val="21"/>
                <w:lang w:val="en-US" w:eastAsia="zh-CN" w:bidi="ar"/>
              </w:rPr>
              <w:t>排放方式</w:t>
            </w:r>
          </w:p>
        </w:tc>
        <w:tc>
          <w:tcPr>
            <w:tcW w:w="660" w:type="pct"/>
            <w:shd w:val="clear" w:color="auto" w:fill="auto"/>
            <w:vAlign w:val="center"/>
          </w:tcPr>
          <w:p w14:paraId="0558250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产生量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1181" w:type="pct"/>
            <w:shd w:val="clear" w:color="auto" w:fill="auto"/>
            <w:vAlign w:val="center"/>
          </w:tcPr>
          <w:p w14:paraId="56A33CE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val="en-US" w:eastAsia="zh-CN" w:bidi="ar"/>
              </w:rPr>
              <w:t>治理</w:t>
            </w:r>
            <w:r>
              <w:rPr>
                <w:rFonts w:hint="eastAsia" w:ascii="Times New Roman" w:hAnsi="Times New Roman" w:eastAsia="宋体" w:cs="宋体"/>
                <w:color w:val="auto"/>
                <w:kern w:val="0"/>
                <w:sz w:val="21"/>
                <w:szCs w:val="21"/>
                <w:lang w:bidi="ar"/>
              </w:rPr>
              <w:t>措施</w:t>
            </w:r>
          </w:p>
        </w:tc>
        <w:tc>
          <w:tcPr>
            <w:tcW w:w="396" w:type="pct"/>
            <w:shd w:val="clear" w:color="auto" w:fill="auto"/>
            <w:vAlign w:val="center"/>
          </w:tcPr>
          <w:p w14:paraId="0B3D56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处理效率</w:t>
            </w:r>
          </w:p>
        </w:tc>
        <w:tc>
          <w:tcPr>
            <w:tcW w:w="619" w:type="pct"/>
            <w:shd w:val="clear" w:color="auto" w:fill="auto"/>
            <w:vAlign w:val="center"/>
          </w:tcPr>
          <w:p w14:paraId="54BAC95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692" w:type="pct"/>
            <w:shd w:val="clear" w:color="auto" w:fill="auto"/>
            <w:vAlign w:val="center"/>
          </w:tcPr>
          <w:p w14:paraId="4BB7BC9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排放速率</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bidi="ar"/>
              </w:rPr>
              <w:t>kg/h</w:t>
            </w:r>
            <w:r>
              <w:rPr>
                <w:rFonts w:hint="eastAsia" w:ascii="Times New Roman" w:hAnsi="Times New Roman" w:eastAsia="宋体" w:cs="宋体"/>
                <w:color w:val="auto"/>
                <w:kern w:val="0"/>
                <w:sz w:val="21"/>
                <w:szCs w:val="21"/>
                <w:lang w:eastAsia="zh-CN" w:bidi="ar"/>
              </w:rPr>
              <w:t>）</w:t>
            </w:r>
          </w:p>
        </w:tc>
      </w:tr>
      <w:tr w14:paraId="218A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2" w:type="pct"/>
            <w:vMerge w:val="restart"/>
            <w:shd w:val="clear" w:color="auto" w:fill="auto"/>
            <w:vAlign w:val="center"/>
          </w:tcPr>
          <w:p w14:paraId="5766A49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val="en-US" w:eastAsia="zh-CN" w:bidi="ar"/>
              </w:rPr>
              <w:t>堆肥场</w:t>
            </w:r>
          </w:p>
        </w:tc>
        <w:tc>
          <w:tcPr>
            <w:tcW w:w="426" w:type="pct"/>
            <w:shd w:val="clear" w:color="auto" w:fill="auto"/>
            <w:vAlign w:val="center"/>
          </w:tcPr>
          <w:p w14:paraId="23506C5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NH</w:t>
            </w:r>
            <w:r>
              <w:rPr>
                <w:rFonts w:ascii="Times New Roman" w:hAnsi="Times New Roman" w:eastAsia="宋体"/>
                <w:color w:val="auto"/>
                <w:kern w:val="0"/>
                <w:sz w:val="21"/>
                <w:szCs w:val="21"/>
                <w:vertAlign w:val="subscript"/>
                <w:lang w:bidi="ar"/>
              </w:rPr>
              <w:t>3</w:t>
            </w:r>
          </w:p>
        </w:tc>
        <w:tc>
          <w:tcPr>
            <w:tcW w:w="440" w:type="pct"/>
            <w:vMerge w:val="restart"/>
            <w:shd w:val="clear" w:color="auto" w:fill="auto"/>
            <w:vAlign w:val="center"/>
          </w:tcPr>
          <w:p w14:paraId="15E3020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olor w:val="auto"/>
                <w:kern w:val="0"/>
                <w:sz w:val="21"/>
                <w:szCs w:val="21"/>
                <w:lang w:val="en-US" w:eastAsia="zh-CN" w:bidi="ar"/>
              </w:rPr>
            </w:pPr>
            <w:r>
              <w:rPr>
                <w:rFonts w:hint="eastAsia" w:ascii="Times New Roman" w:hAnsi="Times New Roman" w:eastAsia="宋体"/>
                <w:color w:val="auto"/>
                <w:kern w:val="0"/>
                <w:sz w:val="21"/>
                <w:szCs w:val="21"/>
                <w:lang w:val="en-US" w:eastAsia="zh-CN" w:bidi="ar"/>
              </w:rPr>
              <w:t>无组织</w:t>
            </w:r>
          </w:p>
        </w:tc>
        <w:tc>
          <w:tcPr>
            <w:tcW w:w="660" w:type="pct"/>
            <w:shd w:val="clear" w:color="auto" w:fill="auto"/>
            <w:vAlign w:val="center"/>
          </w:tcPr>
          <w:p w14:paraId="2E18E10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22.8375</w:t>
            </w:r>
          </w:p>
        </w:tc>
        <w:tc>
          <w:tcPr>
            <w:tcW w:w="1181" w:type="pct"/>
            <w:vMerge w:val="restart"/>
            <w:shd w:val="clear" w:color="auto" w:fill="auto"/>
            <w:vAlign w:val="center"/>
          </w:tcPr>
          <w:p w14:paraId="1C90FA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喷洒除臭剂、</w:t>
            </w:r>
            <w:r>
              <w:rPr>
                <w:rFonts w:hint="eastAsia" w:ascii="Times New Roman" w:hAnsi="Times New Roman" w:eastAsia="宋体" w:cs="宋体"/>
                <w:color w:val="auto"/>
                <w:kern w:val="0"/>
                <w:sz w:val="21"/>
                <w:szCs w:val="21"/>
                <w:lang w:val="en-US" w:eastAsia="zh-CN" w:bidi="ar"/>
              </w:rPr>
              <w:t>发酵膜覆盖、</w:t>
            </w:r>
            <w:r>
              <w:rPr>
                <w:rFonts w:hint="eastAsia" w:ascii="Times New Roman" w:hAnsi="Times New Roman" w:eastAsia="宋体" w:cs="宋体"/>
                <w:color w:val="auto"/>
                <w:kern w:val="0"/>
                <w:sz w:val="21"/>
                <w:szCs w:val="21"/>
                <w:lang w:bidi="ar"/>
              </w:rPr>
              <w:t>加强绿化</w:t>
            </w:r>
          </w:p>
        </w:tc>
        <w:tc>
          <w:tcPr>
            <w:tcW w:w="396" w:type="pct"/>
            <w:vMerge w:val="restart"/>
            <w:shd w:val="clear" w:color="auto" w:fill="auto"/>
            <w:vAlign w:val="center"/>
          </w:tcPr>
          <w:p w14:paraId="6D01162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olor w:val="auto"/>
                <w:kern w:val="0"/>
                <w:sz w:val="21"/>
                <w:szCs w:val="21"/>
                <w:lang w:val="en-US" w:eastAsia="zh-CN" w:bidi="ar"/>
              </w:rPr>
              <w:t>60</w:t>
            </w:r>
            <w:r>
              <w:rPr>
                <w:rFonts w:ascii="Times New Roman" w:hAnsi="Times New Roman" w:eastAsia="宋体"/>
                <w:color w:val="auto"/>
                <w:kern w:val="0"/>
                <w:sz w:val="21"/>
                <w:szCs w:val="21"/>
                <w:lang w:bidi="ar"/>
              </w:rPr>
              <w:t>%</w:t>
            </w:r>
          </w:p>
        </w:tc>
        <w:tc>
          <w:tcPr>
            <w:tcW w:w="619" w:type="pct"/>
            <w:shd w:val="clear" w:color="auto" w:fill="auto"/>
            <w:vAlign w:val="center"/>
          </w:tcPr>
          <w:p w14:paraId="4EAACE3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9.1350</w:t>
            </w:r>
          </w:p>
        </w:tc>
        <w:tc>
          <w:tcPr>
            <w:tcW w:w="692" w:type="pct"/>
            <w:shd w:val="clear" w:color="auto" w:fill="auto"/>
            <w:vAlign w:val="center"/>
          </w:tcPr>
          <w:p w14:paraId="072E276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1.04</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-3</w:t>
            </w:r>
          </w:p>
        </w:tc>
      </w:tr>
      <w:tr w14:paraId="40DA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pct"/>
            <w:vMerge w:val="continue"/>
            <w:shd w:val="clear" w:color="auto" w:fill="auto"/>
            <w:vAlign w:val="center"/>
          </w:tcPr>
          <w:p w14:paraId="694C7CA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center"/>
              <w:rPr>
                <w:rFonts w:ascii="Times New Roman" w:hAnsi="Times New Roman" w:eastAsia="宋体" w:cs="宋体"/>
                <w:bCs/>
                <w:color w:val="auto"/>
                <w:spacing w:val="-10"/>
                <w:sz w:val="21"/>
                <w:szCs w:val="21"/>
              </w:rPr>
            </w:pPr>
          </w:p>
        </w:tc>
        <w:tc>
          <w:tcPr>
            <w:tcW w:w="426" w:type="pct"/>
            <w:shd w:val="clear" w:color="auto" w:fill="auto"/>
            <w:vAlign w:val="center"/>
          </w:tcPr>
          <w:p w14:paraId="53B625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H</w:t>
            </w:r>
            <w:r>
              <w:rPr>
                <w:rFonts w:ascii="Times New Roman" w:hAnsi="Times New Roman" w:eastAsia="宋体"/>
                <w:color w:val="auto"/>
                <w:kern w:val="0"/>
                <w:sz w:val="21"/>
                <w:szCs w:val="21"/>
                <w:vertAlign w:val="subscript"/>
                <w:lang w:bidi="ar"/>
              </w:rPr>
              <w:t>2</w:t>
            </w:r>
            <w:r>
              <w:rPr>
                <w:rFonts w:ascii="Times New Roman" w:hAnsi="Times New Roman" w:eastAsia="宋体"/>
                <w:color w:val="auto"/>
                <w:kern w:val="0"/>
                <w:sz w:val="21"/>
                <w:szCs w:val="21"/>
                <w:lang w:bidi="ar"/>
              </w:rPr>
              <w:t>S</w:t>
            </w:r>
          </w:p>
        </w:tc>
        <w:tc>
          <w:tcPr>
            <w:tcW w:w="440" w:type="pct"/>
            <w:vMerge w:val="continue"/>
            <w:shd w:val="clear" w:color="auto" w:fill="auto"/>
            <w:vAlign w:val="center"/>
          </w:tcPr>
          <w:p w14:paraId="0F7C2D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olor w:val="auto"/>
                <w:kern w:val="0"/>
                <w:sz w:val="21"/>
                <w:szCs w:val="21"/>
                <w:lang w:bidi="ar"/>
              </w:rPr>
            </w:pPr>
          </w:p>
        </w:tc>
        <w:tc>
          <w:tcPr>
            <w:tcW w:w="660" w:type="pct"/>
            <w:shd w:val="clear" w:color="auto" w:fill="auto"/>
            <w:vAlign w:val="center"/>
          </w:tcPr>
          <w:p w14:paraId="3C66E1E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0.5481</w:t>
            </w:r>
          </w:p>
        </w:tc>
        <w:tc>
          <w:tcPr>
            <w:tcW w:w="1181" w:type="pct"/>
            <w:vMerge w:val="continue"/>
            <w:shd w:val="clear" w:color="auto" w:fill="auto"/>
            <w:vAlign w:val="center"/>
          </w:tcPr>
          <w:p w14:paraId="509A804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396" w:type="pct"/>
            <w:vMerge w:val="continue"/>
            <w:shd w:val="clear" w:color="auto" w:fill="auto"/>
            <w:vAlign w:val="center"/>
          </w:tcPr>
          <w:p w14:paraId="448B6E5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619" w:type="pct"/>
            <w:shd w:val="clear" w:color="auto" w:fill="auto"/>
            <w:vAlign w:val="center"/>
          </w:tcPr>
          <w:p w14:paraId="6A5AAC2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0.2192</w:t>
            </w:r>
          </w:p>
        </w:tc>
        <w:tc>
          <w:tcPr>
            <w:tcW w:w="692" w:type="pct"/>
            <w:shd w:val="clear" w:color="auto" w:fill="auto"/>
            <w:vAlign w:val="center"/>
          </w:tcPr>
          <w:p w14:paraId="6DB2DE2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2.50</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r>
    </w:tbl>
    <w:p w14:paraId="1FF48F26">
      <w:pPr>
        <w:keepNext w:val="0"/>
        <w:keepLines w:val="0"/>
        <w:pageBreakBefore w:val="0"/>
        <w:widowControl w:val="0"/>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宋体"/>
          <w:b/>
          <w:bCs/>
          <w:strike w:val="0"/>
          <w:dstrike w:val="0"/>
          <w:color w:val="auto"/>
          <w:kern w:val="0"/>
          <w:sz w:val="24"/>
          <w:szCs w:val="24"/>
          <w:lang w:val="en-US" w:eastAsia="zh-CN" w:bidi="ar"/>
        </w:rPr>
      </w:pPr>
      <w:r>
        <w:rPr>
          <w:rFonts w:hint="eastAsia" w:ascii="Times New Roman" w:hAnsi="Times New Roman" w:eastAsia="宋体" w:cs="宋体"/>
          <w:b/>
          <w:bCs/>
          <w:strike w:val="0"/>
          <w:dstrike w:val="0"/>
          <w:color w:val="auto"/>
          <w:kern w:val="0"/>
          <w:sz w:val="24"/>
          <w:szCs w:val="24"/>
          <w:lang w:val="en-US" w:eastAsia="zh-CN" w:bidi="ar"/>
        </w:rPr>
        <w:t>c黑膜池恶臭</w:t>
      </w:r>
    </w:p>
    <w:p w14:paraId="3F62AC7F">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污水处理的臭气可分为两类：一类是直接从污水中挥发出来的，如废水中含有的有机成分；另一类是由于微生物的生物化学反应而新形成的，尤其与厌氧菌活动有很大的关系。</w:t>
      </w:r>
    </w:p>
    <w:p w14:paraId="797B1426">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highlight w:val="none"/>
          <w:lang w:bidi="ar"/>
        </w:rPr>
      </w:pPr>
      <w:r>
        <w:rPr>
          <w:rFonts w:hint="eastAsia" w:ascii="Times New Roman" w:hAnsi="Times New Roman" w:eastAsia="宋体" w:cs="宋体"/>
          <w:color w:val="auto"/>
          <w:kern w:val="0"/>
          <w:sz w:val="24"/>
          <w:highlight w:val="none"/>
          <w:lang w:bidi="ar"/>
        </w:rPr>
        <w:t>类比调查及美国</w:t>
      </w:r>
      <w:r>
        <w:rPr>
          <w:rFonts w:ascii="Times New Roman" w:hAnsi="Times New Roman" w:eastAsia="宋体" w:cs="宋体"/>
          <w:color w:val="auto"/>
          <w:kern w:val="0"/>
          <w:sz w:val="24"/>
          <w:highlight w:val="none"/>
          <w:lang w:bidi="ar"/>
        </w:rPr>
        <w:t>EPA</w:t>
      </w:r>
      <w:r>
        <w:rPr>
          <w:rFonts w:hint="eastAsia" w:ascii="Times New Roman" w:hAnsi="Times New Roman" w:eastAsia="宋体" w:cs="宋体"/>
          <w:color w:val="auto"/>
          <w:kern w:val="0"/>
          <w:sz w:val="24"/>
          <w:highlight w:val="none"/>
          <w:lang w:bidi="ar"/>
        </w:rPr>
        <w:t>对城市污水处理厂恶臭污染物产生情况的研究，每处理</w:t>
      </w:r>
      <w:r>
        <w:rPr>
          <w:rFonts w:ascii="Times New Roman" w:hAnsi="Times New Roman" w:eastAsia="宋体" w:cs="宋体"/>
          <w:color w:val="auto"/>
          <w:kern w:val="0"/>
          <w:sz w:val="24"/>
          <w:highlight w:val="none"/>
          <w:lang w:bidi="ar"/>
        </w:rPr>
        <w:t>1g</w:t>
      </w:r>
      <w:r>
        <w:rPr>
          <w:rFonts w:hint="eastAsia" w:ascii="Times New Roman" w:hAnsi="Times New Roman" w:eastAsia="宋体" w:cs="宋体"/>
          <w:color w:val="auto"/>
          <w:kern w:val="0"/>
          <w:sz w:val="24"/>
          <w:highlight w:val="none"/>
          <w:lang w:bidi="ar"/>
        </w:rPr>
        <w:t>的</w:t>
      </w:r>
      <w:r>
        <w:rPr>
          <w:rFonts w:ascii="Times New Roman" w:hAnsi="Times New Roman" w:eastAsia="宋体" w:cs="宋体"/>
          <w:color w:val="auto"/>
          <w:kern w:val="0"/>
          <w:sz w:val="24"/>
          <w:highlight w:val="none"/>
          <w:lang w:bidi="ar"/>
        </w:rPr>
        <w:t>BOD</w:t>
      </w:r>
      <w:r>
        <w:rPr>
          <w:rFonts w:ascii="Times New Roman" w:hAnsi="Times New Roman" w:eastAsia="宋体" w:cs="宋体"/>
          <w:color w:val="auto"/>
          <w:kern w:val="0"/>
          <w:sz w:val="24"/>
          <w:highlight w:val="none"/>
          <w:vertAlign w:val="subscript"/>
          <w:lang w:bidi="ar"/>
        </w:rPr>
        <w:t>5</w:t>
      </w:r>
      <w:r>
        <w:rPr>
          <w:rFonts w:hint="eastAsia" w:ascii="Times New Roman" w:hAnsi="Times New Roman" w:eastAsia="宋体" w:cs="宋体"/>
          <w:color w:val="auto"/>
          <w:kern w:val="0"/>
          <w:sz w:val="24"/>
          <w:highlight w:val="none"/>
          <w:lang w:bidi="ar"/>
        </w:rPr>
        <w:t>，可产生</w:t>
      </w:r>
      <w:r>
        <w:rPr>
          <w:rFonts w:ascii="Times New Roman" w:hAnsi="Times New Roman" w:eastAsia="宋体" w:cs="宋体"/>
          <w:color w:val="auto"/>
          <w:kern w:val="0"/>
          <w:sz w:val="24"/>
          <w:highlight w:val="none"/>
          <w:lang w:bidi="ar"/>
        </w:rPr>
        <w:t>0.0031g</w:t>
      </w:r>
      <w:r>
        <w:rPr>
          <w:rFonts w:hint="eastAsia" w:ascii="Times New Roman" w:hAnsi="Times New Roman" w:eastAsia="宋体" w:cs="宋体"/>
          <w:color w:val="auto"/>
          <w:kern w:val="0"/>
          <w:sz w:val="24"/>
          <w:highlight w:val="none"/>
          <w:lang w:bidi="ar"/>
        </w:rPr>
        <w:t>的</w:t>
      </w:r>
      <w:r>
        <w:rPr>
          <w:rFonts w:ascii="Times New Roman" w:hAnsi="Times New Roman" w:eastAsia="宋体" w:cs="宋体"/>
          <w:color w:val="auto"/>
          <w:kern w:val="0"/>
          <w:sz w:val="24"/>
          <w:highlight w:val="none"/>
          <w:lang w:bidi="ar"/>
        </w:rPr>
        <w:t>NH</w:t>
      </w:r>
      <w:r>
        <w:rPr>
          <w:rFonts w:ascii="Times New Roman" w:hAnsi="Times New Roman" w:eastAsia="宋体" w:cs="宋体"/>
          <w:color w:val="auto"/>
          <w:kern w:val="0"/>
          <w:sz w:val="24"/>
          <w:highlight w:val="none"/>
          <w:vertAlign w:val="subscript"/>
          <w:lang w:bidi="ar"/>
        </w:rPr>
        <w:t>3</w:t>
      </w:r>
      <w:r>
        <w:rPr>
          <w:rFonts w:hint="eastAsia" w:ascii="Times New Roman" w:hAnsi="Times New Roman" w:eastAsia="宋体" w:cs="宋体"/>
          <w:color w:val="auto"/>
          <w:kern w:val="0"/>
          <w:sz w:val="24"/>
          <w:highlight w:val="none"/>
          <w:lang w:bidi="ar"/>
        </w:rPr>
        <w:t>、</w:t>
      </w:r>
      <w:r>
        <w:rPr>
          <w:rFonts w:ascii="Times New Roman" w:hAnsi="Times New Roman" w:eastAsia="宋体" w:cs="宋体"/>
          <w:color w:val="auto"/>
          <w:kern w:val="0"/>
          <w:sz w:val="24"/>
          <w:highlight w:val="none"/>
          <w:lang w:bidi="ar"/>
        </w:rPr>
        <w:t>0.00012g</w:t>
      </w:r>
      <w:r>
        <w:rPr>
          <w:rFonts w:hint="eastAsia" w:ascii="Times New Roman" w:hAnsi="Times New Roman" w:eastAsia="宋体" w:cs="宋体"/>
          <w:color w:val="auto"/>
          <w:kern w:val="0"/>
          <w:sz w:val="24"/>
          <w:highlight w:val="none"/>
          <w:lang w:bidi="ar"/>
        </w:rPr>
        <w:t>的</w:t>
      </w:r>
      <w:r>
        <w:rPr>
          <w:rFonts w:ascii="Times New Roman" w:hAnsi="Times New Roman" w:eastAsia="宋体" w:cs="宋体"/>
          <w:color w:val="auto"/>
          <w:kern w:val="0"/>
          <w:sz w:val="24"/>
          <w:highlight w:val="none"/>
          <w:lang w:bidi="ar"/>
        </w:rPr>
        <w:t>H</w:t>
      </w:r>
      <w:r>
        <w:rPr>
          <w:rFonts w:ascii="Times New Roman" w:hAnsi="Times New Roman" w:eastAsia="宋体" w:cs="宋体"/>
          <w:color w:val="auto"/>
          <w:kern w:val="0"/>
          <w:sz w:val="24"/>
          <w:highlight w:val="none"/>
          <w:vertAlign w:val="subscript"/>
          <w:lang w:bidi="ar"/>
        </w:rPr>
        <w:t>2</w:t>
      </w:r>
      <w:r>
        <w:rPr>
          <w:rFonts w:ascii="Times New Roman" w:hAnsi="Times New Roman" w:eastAsia="宋体" w:cs="宋体"/>
          <w:color w:val="auto"/>
          <w:kern w:val="0"/>
          <w:sz w:val="24"/>
          <w:highlight w:val="none"/>
          <w:lang w:bidi="ar"/>
        </w:rPr>
        <w:t>S</w:t>
      </w:r>
      <w:r>
        <w:rPr>
          <w:rFonts w:hint="eastAsia" w:ascii="Times New Roman" w:hAnsi="Times New Roman" w:eastAsia="宋体" w:cs="宋体"/>
          <w:color w:val="auto"/>
          <w:kern w:val="0"/>
          <w:sz w:val="24"/>
          <w:highlight w:val="none"/>
          <w:lang w:bidi="ar"/>
        </w:rPr>
        <w:t>。根据废水工程分析，本项目污水处理系统</w:t>
      </w:r>
      <w:r>
        <w:rPr>
          <w:rFonts w:ascii="Times New Roman" w:hAnsi="Times New Roman" w:eastAsia="宋体" w:cs="宋体"/>
          <w:color w:val="auto"/>
          <w:kern w:val="0"/>
          <w:sz w:val="24"/>
          <w:highlight w:val="none"/>
          <w:lang w:bidi="ar"/>
        </w:rPr>
        <w:t>BOD</w:t>
      </w:r>
      <w:r>
        <w:rPr>
          <w:rFonts w:ascii="Times New Roman" w:hAnsi="Times New Roman" w:eastAsia="宋体" w:cs="宋体"/>
          <w:color w:val="auto"/>
          <w:kern w:val="0"/>
          <w:sz w:val="24"/>
          <w:highlight w:val="none"/>
          <w:vertAlign w:val="subscript"/>
          <w:lang w:bidi="ar"/>
        </w:rPr>
        <w:t>5</w:t>
      </w:r>
      <w:r>
        <w:rPr>
          <w:rFonts w:hint="eastAsia" w:ascii="Times New Roman" w:hAnsi="Times New Roman" w:eastAsia="宋体" w:cs="宋体"/>
          <w:color w:val="auto"/>
          <w:kern w:val="0"/>
          <w:sz w:val="24"/>
          <w:highlight w:val="none"/>
          <w:lang w:bidi="ar"/>
        </w:rPr>
        <w:t>的去除量为</w:t>
      </w:r>
      <w:r>
        <w:rPr>
          <w:rFonts w:hint="eastAsia" w:ascii="Times New Roman" w:hAnsi="Times New Roman" w:eastAsia="宋体" w:cs="宋体"/>
          <w:color w:val="auto"/>
          <w:kern w:val="0"/>
          <w:sz w:val="24"/>
          <w:highlight w:val="none"/>
          <w:lang w:val="en-US" w:eastAsia="zh-CN" w:bidi="ar"/>
        </w:rPr>
        <w:t>1.57</w:t>
      </w:r>
      <w:r>
        <w:rPr>
          <w:rFonts w:ascii="Times New Roman" w:hAnsi="Times New Roman" w:eastAsia="宋体" w:cs="宋体"/>
          <w:color w:val="auto"/>
          <w:kern w:val="0"/>
          <w:sz w:val="24"/>
          <w:highlight w:val="none"/>
          <w:lang w:bidi="ar"/>
        </w:rPr>
        <w:t>t/a</w:t>
      </w:r>
      <w:r>
        <w:rPr>
          <w:rFonts w:hint="eastAsia" w:ascii="Times New Roman" w:hAnsi="Times New Roman" w:eastAsia="宋体" w:cs="宋体"/>
          <w:color w:val="auto"/>
          <w:kern w:val="0"/>
          <w:sz w:val="24"/>
          <w:highlight w:val="none"/>
          <w:lang w:bidi="ar"/>
        </w:rPr>
        <w:t>，则污水处理中</w:t>
      </w:r>
      <w:r>
        <w:rPr>
          <w:rFonts w:ascii="Times New Roman" w:hAnsi="Times New Roman" w:eastAsia="宋体" w:cs="宋体"/>
          <w:color w:val="auto"/>
          <w:kern w:val="0"/>
          <w:sz w:val="24"/>
          <w:highlight w:val="none"/>
          <w:lang w:bidi="ar"/>
        </w:rPr>
        <w:t>NH</w:t>
      </w:r>
      <w:r>
        <w:rPr>
          <w:rFonts w:ascii="Times New Roman" w:hAnsi="Times New Roman" w:eastAsia="宋体" w:cs="宋体"/>
          <w:color w:val="auto"/>
          <w:kern w:val="0"/>
          <w:sz w:val="24"/>
          <w:highlight w:val="none"/>
          <w:vertAlign w:val="subscript"/>
          <w:lang w:bidi="ar"/>
        </w:rPr>
        <w:t>3</w:t>
      </w:r>
      <w:r>
        <w:rPr>
          <w:rFonts w:hint="eastAsia" w:ascii="Times New Roman" w:hAnsi="Times New Roman" w:eastAsia="宋体" w:cs="宋体"/>
          <w:color w:val="auto"/>
          <w:kern w:val="0"/>
          <w:sz w:val="24"/>
          <w:highlight w:val="none"/>
          <w:lang w:bidi="ar"/>
        </w:rPr>
        <w:t>的产生量为</w:t>
      </w:r>
      <w:r>
        <w:rPr>
          <w:rFonts w:hint="eastAsia" w:ascii="Times New Roman" w:hAnsi="Times New Roman" w:eastAsia="宋体" w:cs="宋体"/>
          <w:color w:val="auto"/>
          <w:kern w:val="0"/>
          <w:sz w:val="24"/>
          <w:highlight w:val="none"/>
          <w:lang w:val="en-US" w:eastAsia="zh-CN" w:bidi="ar"/>
        </w:rPr>
        <w:t>4.8670kg</w:t>
      </w:r>
      <w:r>
        <w:rPr>
          <w:rFonts w:ascii="Times New Roman" w:hAnsi="Times New Roman" w:eastAsia="宋体" w:cs="宋体"/>
          <w:color w:val="auto"/>
          <w:kern w:val="0"/>
          <w:sz w:val="24"/>
          <w:highlight w:val="none"/>
          <w:lang w:bidi="ar"/>
        </w:rPr>
        <w:t>/a</w:t>
      </w:r>
      <w:r>
        <w:rPr>
          <w:rFonts w:hint="eastAsia" w:ascii="Times New Roman" w:hAnsi="Times New Roman" w:eastAsia="宋体" w:cs="宋体"/>
          <w:color w:val="auto"/>
          <w:kern w:val="0"/>
          <w:sz w:val="24"/>
          <w:highlight w:val="none"/>
          <w:lang w:bidi="ar"/>
        </w:rPr>
        <w:t>，</w:t>
      </w:r>
      <w:r>
        <w:rPr>
          <w:rFonts w:ascii="Times New Roman" w:hAnsi="Times New Roman" w:eastAsia="宋体" w:cs="宋体"/>
          <w:color w:val="auto"/>
          <w:kern w:val="0"/>
          <w:sz w:val="24"/>
          <w:highlight w:val="none"/>
          <w:lang w:bidi="ar"/>
        </w:rPr>
        <w:t>H</w:t>
      </w:r>
      <w:r>
        <w:rPr>
          <w:rFonts w:ascii="Times New Roman" w:hAnsi="Times New Roman" w:eastAsia="宋体" w:cs="宋体"/>
          <w:color w:val="auto"/>
          <w:kern w:val="0"/>
          <w:sz w:val="24"/>
          <w:highlight w:val="none"/>
          <w:vertAlign w:val="subscript"/>
          <w:lang w:bidi="ar"/>
        </w:rPr>
        <w:t>2</w:t>
      </w:r>
      <w:r>
        <w:rPr>
          <w:rFonts w:ascii="Times New Roman" w:hAnsi="Times New Roman" w:eastAsia="宋体" w:cs="宋体"/>
          <w:color w:val="auto"/>
          <w:kern w:val="0"/>
          <w:sz w:val="24"/>
          <w:highlight w:val="none"/>
          <w:lang w:bidi="ar"/>
        </w:rPr>
        <w:t>S</w:t>
      </w:r>
      <w:r>
        <w:rPr>
          <w:rFonts w:hint="eastAsia" w:ascii="Times New Roman" w:hAnsi="Times New Roman" w:eastAsia="宋体" w:cs="宋体"/>
          <w:color w:val="auto"/>
          <w:kern w:val="0"/>
          <w:sz w:val="24"/>
          <w:highlight w:val="none"/>
          <w:lang w:bidi="ar"/>
        </w:rPr>
        <w:t>的产生量为</w:t>
      </w:r>
      <w:r>
        <w:rPr>
          <w:rFonts w:hint="eastAsia" w:ascii="Times New Roman" w:hAnsi="Times New Roman" w:eastAsia="宋体" w:cs="宋体"/>
          <w:color w:val="auto"/>
          <w:kern w:val="0"/>
          <w:sz w:val="24"/>
          <w:highlight w:val="none"/>
          <w:lang w:val="en-US" w:eastAsia="zh-CN" w:bidi="ar"/>
        </w:rPr>
        <w:t>0.1884kg</w:t>
      </w:r>
      <w:r>
        <w:rPr>
          <w:rFonts w:ascii="Times New Roman" w:hAnsi="Times New Roman" w:eastAsia="宋体" w:cs="宋体"/>
          <w:color w:val="auto"/>
          <w:kern w:val="0"/>
          <w:sz w:val="24"/>
          <w:highlight w:val="none"/>
          <w:lang w:bidi="ar"/>
        </w:rPr>
        <w:t>/a</w:t>
      </w:r>
      <w:r>
        <w:rPr>
          <w:rFonts w:hint="eastAsia" w:ascii="Times New Roman" w:hAnsi="Times New Roman" w:eastAsia="宋体" w:cs="宋体"/>
          <w:color w:val="auto"/>
          <w:kern w:val="0"/>
          <w:sz w:val="24"/>
          <w:highlight w:val="none"/>
          <w:lang w:bidi="ar"/>
        </w:rPr>
        <w:t>。</w:t>
      </w:r>
    </w:p>
    <w:p w14:paraId="66626A6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项目通过喷洒除臭剂、加强绿化等措施减少污水处理过程中臭气气体排放，根据《自然科学》现代化农业，</w:t>
      </w:r>
      <w:r>
        <w:rPr>
          <w:rFonts w:ascii="Times New Roman" w:hAnsi="Times New Roman" w:eastAsia="宋体" w:cs="宋体"/>
          <w:color w:val="auto"/>
          <w:kern w:val="0"/>
          <w:sz w:val="24"/>
          <w:lang w:bidi="ar"/>
        </w:rPr>
        <w:t>2011</w:t>
      </w:r>
      <w:r>
        <w:rPr>
          <w:rFonts w:hint="eastAsia" w:ascii="Times New Roman" w:hAnsi="Times New Roman" w:eastAsia="宋体" w:cs="宋体"/>
          <w:color w:val="auto"/>
          <w:kern w:val="0"/>
          <w:sz w:val="24"/>
          <w:lang w:bidi="ar"/>
        </w:rPr>
        <w:t>年第</w:t>
      </w:r>
      <w:r>
        <w:rPr>
          <w:rFonts w:ascii="Times New Roman" w:hAnsi="Times New Roman" w:eastAsia="宋体" w:cs="宋体"/>
          <w:color w:val="auto"/>
          <w:kern w:val="0"/>
          <w:sz w:val="24"/>
          <w:lang w:bidi="ar"/>
        </w:rPr>
        <w:t>6</w:t>
      </w:r>
      <w:r>
        <w:rPr>
          <w:rFonts w:hint="eastAsia" w:ascii="Times New Roman" w:hAnsi="Times New Roman" w:eastAsia="宋体" w:cs="宋体"/>
          <w:color w:val="auto"/>
          <w:kern w:val="0"/>
          <w:sz w:val="24"/>
          <w:lang w:bidi="ar"/>
        </w:rPr>
        <w:t>期（总第</w:t>
      </w:r>
      <w:r>
        <w:rPr>
          <w:rFonts w:ascii="Times New Roman" w:hAnsi="Times New Roman" w:eastAsia="宋体" w:cs="宋体"/>
          <w:color w:val="auto"/>
          <w:kern w:val="0"/>
          <w:sz w:val="24"/>
          <w:lang w:bidi="ar"/>
        </w:rPr>
        <w:t>383</w:t>
      </w:r>
      <w:r>
        <w:rPr>
          <w:rFonts w:hint="eastAsia" w:ascii="Times New Roman" w:hAnsi="Times New Roman" w:eastAsia="宋体" w:cs="宋体"/>
          <w:color w:val="auto"/>
          <w:kern w:val="0"/>
          <w:sz w:val="24"/>
          <w:lang w:bidi="ar"/>
        </w:rPr>
        <w:t>期）“微生物除臭剂研究进展”（赵晓锋，隋文志）的资料，经国家环境分析测试中心和陕西环境监测中心测试万洁芬对</w:t>
      </w:r>
      <w:r>
        <w:rPr>
          <w:rFonts w:ascii="Times New Roman" w:hAnsi="Times New Roman" w:eastAsia="宋体" w:cs="宋体"/>
          <w:color w:val="auto"/>
          <w:kern w:val="0"/>
          <w:sz w:val="24"/>
          <w:lang w:bidi="ar"/>
        </w:rPr>
        <w:t>NH</w:t>
      </w:r>
      <w:r>
        <w:rPr>
          <w:rFonts w:ascii="Times New Roman" w:hAnsi="Times New Roman" w:eastAsia="宋体" w:cs="宋体"/>
          <w:color w:val="auto"/>
          <w:kern w:val="0"/>
          <w:sz w:val="24"/>
          <w:vertAlign w:val="subscript"/>
          <w:lang w:bidi="ar"/>
        </w:rPr>
        <w:t>3</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H</w:t>
      </w:r>
      <w:r>
        <w:rPr>
          <w:rFonts w:ascii="Times New Roman" w:hAnsi="Times New Roman" w:eastAsia="宋体" w:cs="宋体"/>
          <w:color w:val="auto"/>
          <w:kern w:val="0"/>
          <w:sz w:val="24"/>
          <w:vertAlign w:val="subscript"/>
          <w:lang w:bidi="ar"/>
        </w:rPr>
        <w:t>2</w:t>
      </w:r>
      <w:r>
        <w:rPr>
          <w:rFonts w:ascii="Times New Roman" w:hAnsi="Times New Roman" w:eastAsia="宋体" w:cs="宋体"/>
          <w:color w:val="auto"/>
          <w:kern w:val="0"/>
          <w:sz w:val="24"/>
          <w:lang w:bidi="ar"/>
        </w:rPr>
        <w:t>S</w:t>
      </w:r>
      <w:r>
        <w:rPr>
          <w:rFonts w:hint="eastAsia" w:ascii="Times New Roman" w:hAnsi="Times New Roman" w:eastAsia="宋体" w:cs="宋体"/>
          <w:color w:val="auto"/>
          <w:kern w:val="0"/>
          <w:sz w:val="24"/>
          <w:lang w:bidi="ar"/>
        </w:rPr>
        <w:t>的去除效率分别为</w:t>
      </w:r>
      <w:r>
        <w:rPr>
          <w:rFonts w:ascii="Times New Roman" w:hAnsi="Times New Roman" w:eastAsia="宋体" w:cs="宋体"/>
          <w:color w:val="auto"/>
          <w:kern w:val="0"/>
          <w:sz w:val="24"/>
          <w:lang w:bidi="ar"/>
        </w:rPr>
        <w:t>92.6%</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89%</w:t>
      </w:r>
      <w:r>
        <w:rPr>
          <w:rFonts w:hint="eastAsia" w:ascii="Times New Roman" w:hAnsi="Times New Roman" w:eastAsia="宋体" w:cs="宋体"/>
          <w:color w:val="auto"/>
          <w:kern w:val="0"/>
          <w:sz w:val="24"/>
          <w:lang w:bidi="ar"/>
        </w:rPr>
        <w:t>，本次评价对</w:t>
      </w:r>
      <w:r>
        <w:rPr>
          <w:rFonts w:ascii="Times New Roman" w:hAnsi="Times New Roman" w:eastAsia="宋体" w:cs="宋体"/>
          <w:color w:val="auto"/>
          <w:kern w:val="0"/>
          <w:sz w:val="24"/>
          <w:lang w:bidi="ar"/>
        </w:rPr>
        <w:t>NH</w:t>
      </w:r>
      <w:r>
        <w:rPr>
          <w:rFonts w:ascii="Times New Roman" w:hAnsi="Times New Roman" w:eastAsia="宋体" w:cs="宋体"/>
          <w:color w:val="auto"/>
          <w:kern w:val="0"/>
          <w:sz w:val="24"/>
          <w:vertAlign w:val="subscript"/>
          <w:lang w:bidi="ar"/>
        </w:rPr>
        <w:t>3</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H</w:t>
      </w:r>
      <w:r>
        <w:rPr>
          <w:rFonts w:ascii="Times New Roman" w:hAnsi="Times New Roman" w:eastAsia="宋体" w:cs="宋体"/>
          <w:color w:val="auto"/>
          <w:kern w:val="0"/>
          <w:sz w:val="24"/>
          <w:vertAlign w:val="subscript"/>
          <w:lang w:bidi="ar"/>
        </w:rPr>
        <w:t>2</w:t>
      </w:r>
      <w:r>
        <w:rPr>
          <w:rFonts w:ascii="Times New Roman" w:hAnsi="Times New Roman" w:eastAsia="宋体" w:cs="宋体"/>
          <w:color w:val="auto"/>
          <w:kern w:val="0"/>
          <w:sz w:val="24"/>
          <w:lang w:bidi="ar"/>
        </w:rPr>
        <w:t>S</w:t>
      </w:r>
      <w:r>
        <w:rPr>
          <w:rFonts w:hint="eastAsia" w:ascii="Times New Roman" w:hAnsi="Times New Roman" w:eastAsia="宋体" w:cs="宋体"/>
          <w:color w:val="auto"/>
          <w:kern w:val="0"/>
          <w:sz w:val="24"/>
          <w:lang w:bidi="ar"/>
        </w:rPr>
        <w:t>的保守取值</w:t>
      </w:r>
      <w:r>
        <w:rPr>
          <w:rFonts w:ascii="Times New Roman" w:hAnsi="Times New Roman" w:eastAsia="宋体" w:cs="宋体"/>
          <w:color w:val="auto"/>
          <w:kern w:val="0"/>
          <w:sz w:val="24"/>
          <w:lang w:bidi="ar"/>
        </w:rPr>
        <w:t>85%</w:t>
      </w:r>
      <w:r>
        <w:rPr>
          <w:rFonts w:hint="eastAsia" w:ascii="Times New Roman" w:hAnsi="Times New Roman" w:eastAsia="宋体" w:cs="宋体"/>
          <w:color w:val="auto"/>
          <w:kern w:val="0"/>
          <w:sz w:val="24"/>
          <w:lang w:bidi="ar"/>
        </w:rPr>
        <w:t>。则污水处理过程</w:t>
      </w:r>
      <w:r>
        <w:rPr>
          <w:rFonts w:ascii="Times New Roman" w:hAnsi="Times New Roman" w:eastAsia="宋体" w:cs="宋体"/>
          <w:color w:val="auto"/>
          <w:kern w:val="0"/>
          <w:sz w:val="24"/>
          <w:lang w:bidi="ar"/>
        </w:rPr>
        <w:t>NH</w:t>
      </w:r>
      <w:r>
        <w:rPr>
          <w:rFonts w:ascii="Times New Roman" w:hAnsi="Times New Roman" w:eastAsia="宋体" w:cs="宋体"/>
          <w:color w:val="auto"/>
          <w:kern w:val="0"/>
          <w:sz w:val="24"/>
          <w:vertAlign w:val="subscript"/>
          <w:lang w:bidi="ar"/>
        </w:rPr>
        <w:t>3</w:t>
      </w:r>
      <w:r>
        <w:rPr>
          <w:rFonts w:hint="eastAsia" w:ascii="Times New Roman" w:hAnsi="Times New Roman" w:eastAsia="宋体" w:cs="宋体"/>
          <w:color w:val="auto"/>
          <w:kern w:val="0"/>
          <w:sz w:val="24"/>
          <w:lang w:bidi="ar"/>
        </w:rPr>
        <w:t>和</w:t>
      </w:r>
      <w:r>
        <w:rPr>
          <w:rFonts w:ascii="Times New Roman" w:hAnsi="Times New Roman" w:eastAsia="宋体" w:cs="宋体"/>
          <w:color w:val="auto"/>
          <w:kern w:val="0"/>
          <w:sz w:val="24"/>
          <w:lang w:bidi="ar"/>
        </w:rPr>
        <w:t>H</w:t>
      </w:r>
      <w:r>
        <w:rPr>
          <w:rFonts w:ascii="Times New Roman" w:hAnsi="Times New Roman" w:eastAsia="宋体" w:cs="宋体"/>
          <w:color w:val="auto"/>
          <w:kern w:val="0"/>
          <w:sz w:val="24"/>
          <w:vertAlign w:val="subscript"/>
          <w:lang w:bidi="ar"/>
        </w:rPr>
        <w:t>2</w:t>
      </w:r>
      <w:r>
        <w:rPr>
          <w:rFonts w:ascii="Times New Roman" w:hAnsi="Times New Roman" w:eastAsia="宋体" w:cs="宋体"/>
          <w:color w:val="auto"/>
          <w:kern w:val="0"/>
          <w:sz w:val="24"/>
          <w:lang w:bidi="ar"/>
        </w:rPr>
        <w:t>S</w:t>
      </w:r>
      <w:r>
        <w:rPr>
          <w:rFonts w:hint="eastAsia" w:ascii="Times New Roman" w:hAnsi="Times New Roman" w:eastAsia="宋体" w:cs="宋体"/>
          <w:color w:val="auto"/>
          <w:kern w:val="0"/>
          <w:sz w:val="24"/>
          <w:lang w:bidi="ar"/>
        </w:rPr>
        <w:t>排放量分别为</w:t>
      </w:r>
      <w:r>
        <w:rPr>
          <w:rFonts w:ascii="Times New Roman" w:hAnsi="Times New Roman" w:eastAsia="宋体" w:cs="宋体"/>
          <w:color w:val="auto"/>
          <w:kern w:val="0"/>
          <w:sz w:val="24"/>
          <w:lang w:bidi="ar"/>
        </w:rPr>
        <w:t>0.00</w:t>
      </w:r>
      <w:r>
        <w:rPr>
          <w:rFonts w:hint="eastAsia" w:ascii="Times New Roman" w:hAnsi="Times New Roman" w:eastAsia="宋体" w:cs="宋体"/>
          <w:color w:val="auto"/>
          <w:kern w:val="0"/>
          <w:sz w:val="24"/>
          <w:lang w:val="en-US" w:eastAsia="zh-CN" w:bidi="ar"/>
        </w:rPr>
        <w:t>073</w:t>
      </w:r>
      <w:r>
        <w:rPr>
          <w:rFonts w:ascii="Times New Roman" w:hAnsi="Times New Roman" w:eastAsia="宋体" w:cs="宋体"/>
          <w:color w:val="auto"/>
          <w:kern w:val="0"/>
          <w:sz w:val="24"/>
          <w:lang w:bidi="ar"/>
        </w:rPr>
        <w:t>t/a</w:t>
      </w:r>
      <w:r>
        <w:rPr>
          <w:rFonts w:hint="eastAsia" w:ascii="Times New Roman" w:hAnsi="Times New Roman" w:eastAsia="宋体" w:cs="宋体"/>
          <w:color w:val="auto"/>
          <w:kern w:val="0"/>
          <w:sz w:val="24"/>
          <w:lang w:bidi="ar"/>
        </w:rPr>
        <w:t>、</w:t>
      </w:r>
      <w:r>
        <w:rPr>
          <w:rFonts w:ascii="Times New Roman" w:hAnsi="Times New Roman" w:eastAsia="宋体" w:cs="宋体"/>
          <w:color w:val="auto"/>
          <w:kern w:val="0"/>
          <w:sz w:val="24"/>
          <w:lang w:bidi="ar"/>
        </w:rPr>
        <w:t>0.000</w:t>
      </w:r>
      <w:r>
        <w:rPr>
          <w:rFonts w:hint="eastAsia" w:ascii="Times New Roman" w:hAnsi="Times New Roman" w:eastAsia="宋体" w:cs="宋体"/>
          <w:color w:val="auto"/>
          <w:kern w:val="0"/>
          <w:sz w:val="24"/>
          <w:lang w:val="en-US" w:eastAsia="zh-CN" w:bidi="ar"/>
        </w:rPr>
        <w:t>0283</w:t>
      </w:r>
      <w:r>
        <w:rPr>
          <w:rFonts w:ascii="Times New Roman" w:hAnsi="Times New Roman" w:eastAsia="宋体" w:cs="宋体"/>
          <w:color w:val="auto"/>
          <w:kern w:val="0"/>
          <w:sz w:val="24"/>
          <w:lang w:bidi="ar"/>
        </w:rPr>
        <w:t>t/a</w:t>
      </w:r>
      <w:r>
        <w:rPr>
          <w:rFonts w:hint="eastAsia" w:ascii="Times New Roman" w:hAnsi="Times New Roman" w:eastAsia="宋体" w:cs="宋体"/>
          <w:color w:val="auto"/>
          <w:kern w:val="0"/>
          <w:sz w:val="24"/>
          <w:lang w:bidi="ar"/>
        </w:rPr>
        <w:t>，排放速率分别为</w:t>
      </w:r>
      <w:r>
        <w:rPr>
          <w:rFonts w:hint="eastAsia" w:ascii="Times New Roman" w:hAnsi="Times New Roman" w:eastAsia="宋体"/>
          <w:color w:val="auto"/>
          <w:kern w:val="0"/>
          <w:sz w:val="24"/>
          <w:szCs w:val="20"/>
          <w:lang w:val="en-US" w:eastAsia="zh-CN" w:bidi="ar"/>
        </w:rPr>
        <w:t>8.3</w:t>
      </w:r>
      <w:r>
        <w:rPr>
          <w:rFonts w:hint="default" w:ascii="Times New Roman" w:hAnsi="Times New Roman" w:eastAsia="宋体" w:cs="Arial"/>
          <w:color w:val="auto"/>
          <w:kern w:val="0"/>
          <w:sz w:val="24"/>
          <w:szCs w:val="20"/>
          <w:lang w:val="en-US" w:eastAsia="zh-CN" w:bidi="ar"/>
        </w:rPr>
        <w:t>×</w:t>
      </w:r>
      <w:r>
        <w:rPr>
          <w:rFonts w:hint="eastAsia" w:ascii="Times New Roman" w:hAnsi="Times New Roman" w:eastAsia="宋体"/>
          <w:color w:val="auto"/>
          <w:kern w:val="0"/>
          <w:sz w:val="24"/>
          <w:szCs w:val="20"/>
          <w:lang w:val="en-US" w:eastAsia="zh-CN" w:bidi="ar"/>
        </w:rPr>
        <w:t>10</w:t>
      </w:r>
      <w:r>
        <w:rPr>
          <w:rFonts w:hint="eastAsia" w:ascii="Times New Roman" w:hAnsi="Times New Roman" w:eastAsia="宋体"/>
          <w:color w:val="auto"/>
          <w:kern w:val="0"/>
          <w:sz w:val="24"/>
          <w:szCs w:val="20"/>
          <w:vertAlign w:val="superscript"/>
          <w:lang w:val="en-US" w:eastAsia="zh-CN" w:bidi="ar"/>
        </w:rPr>
        <w:t>-5</w:t>
      </w:r>
      <w:r>
        <w:rPr>
          <w:rFonts w:ascii="Times New Roman" w:hAnsi="Times New Roman" w:eastAsia="宋体" w:cs="宋体"/>
          <w:color w:val="auto"/>
          <w:kern w:val="0"/>
          <w:sz w:val="24"/>
          <w:lang w:bidi="ar"/>
        </w:rPr>
        <w:t>kg/h</w:t>
      </w:r>
      <w:r>
        <w:rPr>
          <w:rFonts w:hint="eastAsia" w:ascii="Times New Roman" w:hAnsi="Times New Roman" w:eastAsia="宋体" w:cs="宋体"/>
          <w:color w:val="auto"/>
          <w:kern w:val="0"/>
          <w:sz w:val="24"/>
          <w:lang w:bidi="ar"/>
        </w:rPr>
        <w:t>、</w:t>
      </w:r>
      <w:r>
        <w:rPr>
          <w:rFonts w:ascii="Times New Roman" w:hAnsi="Times New Roman" w:eastAsia="宋体" w:cs="宋体"/>
          <w:color w:val="auto"/>
          <w:kern w:val="0"/>
          <w:sz w:val="24"/>
          <w:lang w:bidi="ar"/>
        </w:rPr>
        <w:t>0.0000</w:t>
      </w:r>
      <w:r>
        <w:rPr>
          <w:rFonts w:hint="eastAsia" w:ascii="Times New Roman" w:hAnsi="Times New Roman" w:eastAsia="宋体" w:cs="宋体"/>
          <w:color w:val="auto"/>
          <w:kern w:val="0"/>
          <w:sz w:val="24"/>
          <w:lang w:val="en-US" w:eastAsia="zh-CN" w:bidi="ar"/>
        </w:rPr>
        <w:t>17</w:t>
      </w:r>
      <w:r>
        <w:rPr>
          <w:rFonts w:ascii="Times New Roman" w:hAnsi="Times New Roman" w:eastAsia="宋体" w:cs="宋体"/>
          <w:color w:val="auto"/>
          <w:kern w:val="0"/>
          <w:sz w:val="24"/>
          <w:lang w:bidi="ar"/>
        </w:rPr>
        <w:t>kg/h</w:t>
      </w:r>
      <w:r>
        <w:rPr>
          <w:rFonts w:hint="eastAsia" w:ascii="Times New Roman" w:hAnsi="Times New Roman" w:eastAsia="宋体" w:cs="宋体"/>
          <w:color w:val="auto"/>
          <w:kern w:val="0"/>
          <w:sz w:val="24"/>
          <w:lang w:bidi="ar"/>
        </w:rPr>
        <w:t>。</w:t>
      </w:r>
    </w:p>
    <w:p w14:paraId="1B9EE890">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本项目黑膜池恶臭气体产生排放情况见表</w:t>
      </w:r>
      <w:r>
        <w:rPr>
          <w:rFonts w:hint="eastAsia" w:ascii="Times New Roman" w:hAnsi="Times New Roman" w:eastAsia="宋体" w:cs="宋体"/>
          <w:color w:val="auto"/>
          <w:kern w:val="0"/>
          <w:sz w:val="24"/>
          <w:lang w:val="en-US" w:eastAsia="zh-CN" w:bidi="ar"/>
        </w:rPr>
        <w:t>3.3-6</w:t>
      </w:r>
      <w:r>
        <w:rPr>
          <w:rFonts w:hint="eastAsia" w:ascii="Times New Roman" w:hAnsi="Times New Roman" w:eastAsia="宋体" w:cs="宋体"/>
          <w:color w:val="auto"/>
          <w:kern w:val="0"/>
          <w:sz w:val="24"/>
          <w:lang w:bidi="ar"/>
        </w:rPr>
        <w:t>。</w:t>
      </w:r>
    </w:p>
    <w:p w14:paraId="40F3E1FA">
      <w:pPr>
        <w:keepNext w:val="0"/>
        <w:keepLines w:val="0"/>
        <w:pageBreakBefore w:val="0"/>
        <w:widowControl w:val="0"/>
        <w:kinsoku/>
        <w:wordWrap/>
        <w:overflowPunct/>
        <w:topLinePunct w:val="0"/>
        <w:autoSpaceDE/>
        <w:autoSpaceDN/>
        <w:bidi w:val="0"/>
        <w:adjustRightInd/>
        <w:snapToGrid/>
        <w:spacing w:line="233" w:lineRule="auto"/>
        <w:ind w:left="0" w:firstLine="0" w:firstLineChars="0"/>
        <w:jc w:val="center"/>
        <w:textAlignment w:val="auto"/>
        <w:rPr>
          <w:rFonts w:hint="eastAsia" w:ascii="Times New Roman" w:hAnsi="Times New Roman" w:eastAsia="宋体" w:cstheme="majorBidi"/>
          <w:b/>
          <w:strike w:val="0"/>
          <w:dstrike w:val="0"/>
          <w:color w:val="auto"/>
          <w:sz w:val="24"/>
          <w:szCs w:val="22"/>
          <w:highlight w:val="none"/>
          <w:lang w:val="en-US" w:eastAsia="zh-CN" w:bidi="ar-SA"/>
        </w:rPr>
      </w:pPr>
      <w:r>
        <w:rPr>
          <w:rFonts w:hint="eastAsia" w:ascii="Times New Roman" w:hAnsi="Times New Roman" w:eastAsia="宋体" w:cstheme="majorBidi"/>
          <w:b/>
          <w:strike w:val="0"/>
          <w:dstrike w:val="0"/>
          <w:color w:val="auto"/>
          <w:sz w:val="24"/>
          <w:szCs w:val="22"/>
          <w:highlight w:val="none"/>
          <w:lang w:val="en-US" w:eastAsia="zh-CN" w:bidi="ar-SA"/>
        </w:rPr>
        <w:t>表</w:t>
      </w:r>
      <w:r>
        <w:rPr>
          <w:rFonts w:hint="eastAsia" w:ascii="Times New Roman" w:hAnsi="Times New Roman" w:eastAsia="宋体" w:cstheme="majorBidi"/>
          <w:b/>
          <w:strike w:val="0"/>
          <w:dstrike w:val="0"/>
          <w:color w:val="auto"/>
          <w:sz w:val="24"/>
          <w:szCs w:val="22"/>
          <w:highlight w:val="none"/>
          <w:lang w:val="en-US" w:eastAsia="zh-CN" w:bidi="ar-SA"/>
        </w:rPr>
        <w:t>3.3-6</w:t>
      </w:r>
      <w:r>
        <w:rPr>
          <w:rFonts w:hint="eastAsia" w:ascii="Times New Roman" w:hAnsi="Times New Roman" w:eastAsia="宋体" w:cstheme="majorBidi"/>
          <w:b/>
          <w:strike w:val="0"/>
          <w:dstrike w:val="0"/>
          <w:color w:val="auto"/>
          <w:sz w:val="24"/>
          <w:szCs w:val="22"/>
          <w:highlight w:val="none"/>
          <w:lang w:val="en-US" w:eastAsia="zh-CN" w:bidi="ar-SA"/>
        </w:rPr>
        <w:t>黑膜池恶臭气体产生排放情况一览表</w:t>
      </w:r>
    </w:p>
    <w:tbl>
      <w:tblPr>
        <w:tblStyle w:val="3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727"/>
        <w:gridCol w:w="750"/>
        <w:gridCol w:w="1125"/>
        <w:gridCol w:w="2012"/>
        <w:gridCol w:w="675"/>
        <w:gridCol w:w="1056"/>
        <w:gridCol w:w="1180"/>
      </w:tblGrid>
      <w:tr w14:paraId="4A38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582" w:type="pct"/>
            <w:shd w:val="clear" w:color="auto" w:fill="auto"/>
            <w:vAlign w:val="center"/>
          </w:tcPr>
          <w:p w14:paraId="485BBC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val="en-US" w:eastAsia="zh-CN" w:bidi="ar"/>
              </w:rPr>
              <w:t>污染源</w:t>
            </w:r>
          </w:p>
        </w:tc>
        <w:tc>
          <w:tcPr>
            <w:tcW w:w="426" w:type="pct"/>
            <w:shd w:val="clear" w:color="auto" w:fill="auto"/>
            <w:vAlign w:val="center"/>
          </w:tcPr>
          <w:p w14:paraId="02F02DB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污染</w:t>
            </w:r>
            <w:r>
              <w:rPr>
                <w:rFonts w:hint="eastAsia" w:ascii="Times New Roman" w:hAnsi="Times New Roman" w:eastAsia="宋体" w:cs="宋体"/>
                <w:color w:val="auto"/>
                <w:kern w:val="0"/>
                <w:sz w:val="21"/>
                <w:szCs w:val="21"/>
                <w:lang w:val="en-US" w:eastAsia="zh-CN" w:bidi="ar"/>
              </w:rPr>
              <w:t>因子</w:t>
            </w:r>
          </w:p>
        </w:tc>
        <w:tc>
          <w:tcPr>
            <w:tcW w:w="440" w:type="pct"/>
            <w:shd w:val="clear" w:color="auto" w:fill="auto"/>
            <w:vAlign w:val="center"/>
          </w:tcPr>
          <w:p w14:paraId="21E5968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color w:val="auto"/>
                <w:kern w:val="0"/>
                <w:sz w:val="21"/>
                <w:szCs w:val="21"/>
                <w:lang w:val="en-US" w:eastAsia="zh-CN" w:bidi="ar"/>
              </w:rPr>
            </w:pPr>
            <w:r>
              <w:rPr>
                <w:rFonts w:hint="eastAsia" w:ascii="Times New Roman" w:hAnsi="Times New Roman" w:eastAsia="宋体" w:cs="宋体"/>
                <w:color w:val="auto"/>
                <w:kern w:val="0"/>
                <w:sz w:val="21"/>
                <w:szCs w:val="21"/>
                <w:lang w:val="en-US" w:eastAsia="zh-CN" w:bidi="ar"/>
              </w:rPr>
              <w:t>排放方式</w:t>
            </w:r>
          </w:p>
        </w:tc>
        <w:tc>
          <w:tcPr>
            <w:tcW w:w="660" w:type="pct"/>
            <w:shd w:val="clear" w:color="auto" w:fill="auto"/>
            <w:vAlign w:val="center"/>
          </w:tcPr>
          <w:p w14:paraId="3F5789D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产生量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1181" w:type="pct"/>
            <w:shd w:val="clear" w:color="auto" w:fill="auto"/>
            <w:vAlign w:val="center"/>
          </w:tcPr>
          <w:p w14:paraId="7BB3830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val="en-US" w:eastAsia="zh-CN" w:bidi="ar"/>
              </w:rPr>
              <w:t>治理</w:t>
            </w:r>
            <w:r>
              <w:rPr>
                <w:rFonts w:hint="eastAsia" w:ascii="Times New Roman" w:hAnsi="Times New Roman" w:eastAsia="宋体" w:cs="宋体"/>
                <w:color w:val="auto"/>
                <w:kern w:val="0"/>
                <w:sz w:val="21"/>
                <w:szCs w:val="21"/>
                <w:lang w:bidi="ar"/>
              </w:rPr>
              <w:t>措施</w:t>
            </w:r>
          </w:p>
        </w:tc>
        <w:tc>
          <w:tcPr>
            <w:tcW w:w="396" w:type="pct"/>
            <w:shd w:val="clear" w:color="auto" w:fill="auto"/>
            <w:vAlign w:val="center"/>
          </w:tcPr>
          <w:p w14:paraId="3111907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处理效率</w:t>
            </w:r>
          </w:p>
        </w:tc>
        <w:tc>
          <w:tcPr>
            <w:tcW w:w="619" w:type="pct"/>
            <w:shd w:val="clear" w:color="auto" w:fill="auto"/>
            <w:vAlign w:val="center"/>
          </w:tcPr>
          <w:p w14:paraId="057576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排放量</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val="en-US" w:eastAsia="zh-CN" w:bidi="ar"/>
              </w:rPr>
              <w:t>kg</w:t>
            </w:r>
            <w:r>
              <w:rPr>
                <w:rFonts w:hint="eastAsia" w:ascii="Times New Roman" w:hAnsi="Times New Roman" w:eastAsia="宋体" w:cs="宋体"/>
                <w:color w:val="auto"/>
                <w:kern w:val="0"/>
                <w:sz w:val="21"/>
                <w:szCs w:val="21"/>
                <w:lang w:bidi="ar"/>
              </w:rPr>
              <w:t>/a</w:t>
            </w:r>
            <w:r>
              <w:rPr>
                <w:rFonts w:hint="eastAsia" w:ascii="Times New Roman" w:hAnsi="Times New Roman" w:eastAsia="宋体" w:cs="宋体"/>
                <w:color w:val="auto"/>
                <w:kern w:val="0"/>
                <w:sz w:val="21"/>
                <w:szCs w:val="21"/>
                <w:lang w:eastAsia="zh-CN" w:bidi="ar"/>
              </w:rPr>
              <w:t>）</w:t>
            </w:r>
          </w:p>
        </w:tc>
        <w:tc>
          <w:tcPr>
            <w:tcW w:w="692" w:type="pct"/>
            <w:shd w:val="clear" w:color="auto" w:fill="auto"/>
            <w:vAlign w:val="center"/>
          </w:tcPr>
          <w:p w14:paraId="15936C6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s="宋体"/>
                <w:bCs/>
                <w:color w:val="auto"/>
                <w:spacing w:val="-10"/>
                <w:sz w:val="21"/>
                <w:szCs w:val="21"/>
                <w:lang w:eastAsia="zh-CN"/>
              </w:rPr>
            </w:pPr>
            <w:r>
              <w:rPr>
                <w:rFonts w:hint="eastAsia" w:ascii="Times New Roman" w:hAnsi="Times New Roman" w:eastAsia="宋体" w:cs="宋体"/>
                <w:color w:val="auto"/>
                <w:kern w:val="0"/>
                <w:sz w:val="21"/>
                <w:szCs w:val="21"/>
                <w:lang w:bidi="ar"/>
              </w:rPr>
              <w:t>排放速率</w:t>
            </w:r>
            <w:r>
              <w:rPr>
                <w:rFonts w:hint="eastAsia" w:ascii="Times New Roman" w:hAnsi="Times New Roman" w:eastAsia="宋体" w:cs="宋体"/>
                <w:color w:val="auto"/>
                <w:kern w:val="0"/>
                <w:sz w:val="21"/>
                <w:szCs w:val="21"/>
                <w:lang w:eastAsia="zh-CN" w:bidi="ar"/>
              </w:rPr>
              <w:t>（</w:t>
            </w:r>
            <w:r>
              <w:rPr>
                <w:rFonts w:hint="eastAsia" w:ascii="Times New Roman" w:hAnsi="Times New Roman" w:eastAsia="宋体" w:cs="宋体"/>
                <w:color w:val="auto"/>
                <w:kern w:val="0"/>
                <w:sz w:val="21"/>
                <w:szCs w:val="21"/>
                <w:lang w:bidi="ar"/>
              </w:rPr>
              <w:t>kg/h</w:t>
            </w:r>
            <w:r>
              <w:rPr>
                <w:rFonts w:hint="eastAsia" w:ascii="Times New Roman" w:hAnsi="Times New Roman" w:eastAsia="宋体" w:cs="宋体"/>
                <w:color w:val="auto"/>
                <w:kern w:val="0"/>
                <w:sz w:val="21"/>
                <w:szCs w:val="21"/>
                <w:lang w:eastAsia="zh-CN" w:bidi="ar"/>
              </w:rPr>
              <w:t>）</w:t>
            </w:r>
          </w:p>
        </w:tc>
      </w:tr>
      <w:tr w14:paraId="20B0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82" w:type="pct"/>
            <w:vMerge w:val="restart"/>
            <w:shd w:val="clear" w:color="auto" w:fill="auto"/>
            <w:vAlign w:val="center"/>
          </w:tcPr>
          <w:p w14:paraId="31C161B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黑膜池恶臭</w:t>
            </w:r>
          </w:p>
        </w:tc>
        <w:tc>
          <w:tcPr>
            <w:tcW w:w="426" w:type="pct"/>
            <w:shd w:val="clear" w:color="auto" w:fill="auto"/>
            <w:vAlign w:val="center"/>
          </w:tcPr>
          <w:p w14:paraId="1B235CE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NH</w:t>
            </w:r>
            <w:r>
              <w:rPr>
                <w:rFonts w:ascii="Times New Roman" w:hAnsi="Times New Roman" w:eastAsia="宋体"/>
                <w:color w:val="auto"/>
                <w:kern w:val="0"/>
                <w:sz w:val="21"/>
                <w:szCs w:val="21"/>
                <w:vertAlign w:val="subscript"/>
                <w:lang w:bidi="ar"/>
              </w:rPr>
              <w:t>3</w:t>
            </w:r>
          </w:p>
        </w:tc>
        <w:tc>
          <w:tcPr>
            <w:tcW w:w="440" w:type="pct"/>
            <w:vMerge w:val="restart"/>
            <w:shd w:val="clear" w:color="auto" w:fill="auto"/>
            <w:vAlign w:val="center"/>
          </w:tcPr>
          <w:p w14:paraId="786CEF0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Times New Roman" w:hAnsi="Times New Roman" w:eastAsia="宋体"/>
                <w:color w:val="auto"/>
                <w:kern w:val="0"/>
                <w:sz w:val="21"/>
                <w:szCs w:val="21"/>
                <w:lang w:val="en-US" w:eastAsia="zh-CN" w:bidi="ar"/>
              </w:rPr>
            </w:pPr>
            <w:r>
              <w:rPr>
                <w:rFonts w:hint="eastAsia" w:ascii="Times New Roman" w:hAnsi="Times New Roman" w:eastAsia="宋体"/>
                <w:color w:val="auto"/>
                <w:kern w:val="0"/>
                <w:sz w:val="21"/>
                <w:szCs w:val="21"/>
                <w:lang w:val="en-US" w:eastAsia="zh-CN" w:bidi="ar"/>
              </w:rPr>
              <w:t>无组织</w:t>
            </w:r>
          </w:p>
        </w:tc>
        <w:tc>
          <w:tcPr>
            <w:tcW w:w="660" w:type="pct"/>
            <w:shd w:val="clear" w:color="auto" w:fill="auto"/>
            <w:vAlign w:val="center"/>
          </w:tcPr>
          <w:p w14:paraId="7E5D641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4.8670</w:t>
            </w:r>
          </w:p>
        </w:tc>
        <w:tc>
          <w:tcPr>
            <w:tcW w:w="1181" w:type="pct"/>
            <w:vMerge w:val="restart"/>
            <w:shd w:val="clear" w:color="auto" w:fill="auto"/>
            <w:vAlign w:val="center"/>
          </w:tcPr>
          <w:p w14:paraId="0D9748B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hint="eastAsia" w:ascii="Times New Roman" w:hAnsi="Times New Roman" w:eastAsia="宋体" w:cs="宋体"/>
                <w:color w:val="auto"/>
                <w:kern w:val="0"/>
                <w:sz w:val="21"/>
                <w:szCs w:val="21"/>
                <w:lang w:bidi="ar"/>
              </w:rPr>
              <w:t>池体覆膜密闭，喷洒除臭剂、加强绿化</w:t>
            </w:r>
          </w:p>
        </w:tc>
        <w:tc>
          <w:tcPr>
            <w:tcW w:w="396" w:type="pct"/>
            <w:vMerge w:val="restart"/>
            <w:shd w:val="clear" w:color="auto" w:fill="auto"/>
            <w:vAlign w:val="center"/>
          </w:tcPr>
          <w:p w14:paraId="32E11F8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85%</w:t>
            </w:r>
          </w:p>
        </w:tc>
        <w:tc>
          <w:tcPr>
            <w:tcW w:w="619" w:type="pct"/>
            <w:shd w:val="clear" w:color="auto" w:fill="auto"/>
            <w:vAlign w:val="center"/>
          </w:tcPr>
          <w:p w14:paraId="201276D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0.7301</w:t>
            </w:r>
          </w:p>
        </w:tc>
        <w:tc>
          <w:tcPr>
            <w:tcW w:w="692" w:type="pct"/>
            <w:shd w:val="clear" w:color="auto" w:fill="auto"/>
            <w:vAlign w:val="center"/>
          </w:tcPr>
          <w:p w14:paraId="2FFD864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8.33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r>
      <w:tr w14:paraId="32A9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pct"/>
            <w:vMerge w:val="continue"/>
            <w:shd w:val="clear" w:color="auto" w:fill="auto"/>
            <w:vAlign w:val="center"/>
          </w:tcPr>
          <w:p w14:paraId="4C46A4F1">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center"/>
              <w:rPr>
                <w:rFonts w:ascii="Times New Roman" w:hAnsi="Times New Roman" w:eastAsia="宋体" w:cs="宋体"/>
                <w:bCs/>
                <w:color w:val="auto"/>
                <w:spacing w:val="-10"/>
                <w:sz w:val="21"/>
                <w:szCs w:val="21"/>
              </w:rPr>
            </w:pPr>
          </w:p>
        </w:tc>
        <w:tc>
          <w:tcPr>
            <w:tcW w:w="426" w:type="pct"/>
            <w:shd w:val="clear" w:color="auto" w:fill="auto"/>
            <w:vAlign w:val="center"/>
          </w:tcPr>
          <w:p w14:paraId="4CF46AA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r>
              <w:rPr>
                <w:rFonts w:ascii="Times New Roman" w:hAnsi="Times New Roman" w:eastAsia="宋体"/>
                <w:color w:val="auto"/>
                <w:kern w:val="0"/>
                <w:sz w:val="21"/>
                <w:szCs w:val="21"/>
                <w:lang w:bidi="ar"/>
              </w:rPr>
              <w:t>H</w:t>
            </w:r>
            <w:r>
              <w:rPr>
                <w:rFonts w:ascii="Times New Roman" w:hAnsi="Times New Roman" w:eastAsia="宋体"/>
                <w:color w:val="auto"/>
                <w:kern w:val="0"/>
                <w:sz w:val="21"/>
                <w:szCs w:val="21"/>
                <w:vertAlign w:val="subscript"/>
                <w:lang w:bidi="ar"/>
              </w:rPr>
              <w:t>2</w:t>
            </w:r>
            <w:r>
              <w:rPr>
                <w:rFonts w:ascii="Times New Roman" w:hAnsi="Times New Roman" w:eastAsia="宋体"/>
                <w:color w:val="auto"/>
                <w:kern w:val="0"/>
                <w:sz w:val="21"/>
                <w:szCs w:val="21"/>
                <w:lang w:bidi="ar"/>
              </w:rPr>
              <w:t>S</w:t>
            </w:r>
          </w:p>
        </w:tc>
        <w:tc>
          <w:tcPr>
            <w:tcW w:w="440" w:type="pct"/>
            <w:vMerge w:val="continue"/>
            <w:shd w:val="clear" w:color="auto" w:fill="auto"/>
            <w:vAlign w:val="center"/>
          </w:tcPr>
          <w:p w14:paraId="37A8D99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olor w:val="auto"/>
                <w:kern w:val="0"/>
                <w:sz w:val="21"/>
                <w:szCs w:val="21"/>
                <w:lang w:bidi="ar"/>
              </w:rPr>
            </w:pPr>
          </w:p>
        </w:tc>
        <w:tc>
          <w:tcPr>
            <w:tcW w:w="660" w:type="pct"/>
            <w:shd w:val="clear" w:color="auto" w:fill="auto"/>
            <w:vAlign w:val="center"/>
          </w:tcPr>
          <w:p w14:paraId="709AE87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ascii="Times New Roman" w:hAnsi="Times New Roman" w:eastAsia="宋体"/>
                <w:color w:val="auto"/>
                <w:kern w:val="0"/>
                <w:sz w:val="21"/>
                <w:szCs w:val="21"/>
                <w:lang w:bidi="ar"/>
              </w:rPr>
              <w:t>0.</w:t>
            </w:r>
            <w:r>
              <w:rPr>
                <w:rFonts w:hint="eastAsia" w:ascii="Times New Roman" w:hAnsi="Times New Roman" w:eastAsia="宋体"/>
                <w:color w:val="auto"/>
                <w:kern w:val="0"/>
                <w:sz w:val="21"/>
                <w:szCs w:val="21"/>
                <w:lang w:val="en-US" w:eastAsia="zh-CN" w:bidi="ar"/>
              </w:rPr>
              <w:t>1884</w:t>
            </w:r>
          </w:p>
        </w:tc>
        <w:tc>
          <w:tcPr>
            <w:tcW w:w="1181" w:type="pct"/>
            <w:vMerge w:val="continue"/>
            <w:shd w:val="clear" w:color="auto" w:fill="auto"/>
            <w:vAlign w:val="center"/>
          </w:tcPr>
          <w:p w14:paraId="13A95D4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396" w:type="pct"/>
            <w:vMerge w:val="continue"/>
            <w:shd w:val="clear" w:color="auto" w:fill="auto"/>
            <w:vAlign w:val="center"/>
          </w:tcPr>
          <w:p w14:paraId="1463542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ascii="Times New Roman" w:hAnsi="Times New Roman" w:eastAsia="宋体" w:cs="宋体"/>
                <w:bCs/>
                <w:color w:val="auto"/>
                <w:spacing w:val="-10"/>
                <w:sz w:val="21"/>
                <w:szCs w:val="21"/>
              </w:rPr>
            </w:pPr>
          </w:p>
        </w:tc>
        <w:tc>
          <w:tcPr>
            <w:tcW w:w="619" w:type="pct"/>
            <w:shd w:val="clear" w:color="auto" w:fill="auto"/>
            <w:vAlign w:val="center"/>
          </w:tcPr>
          <w:p w14:paraId="0C97DE3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s="宋体"/>
                <w:bCs/>
                <w:color w:val="auto"/>
                <w:spacing w:val="-10"/>
                <w:sz w:val="21"/>
                <w:szCs w:val="21"/>
                <w:lang w:val="en-US" w:eastAsia="zh-CN"/>
              </w:rPr>
              <w:t>0.0283</w:t>
            </w:r>
          </w:p>
        </w:tc>
        <w:tc>
          <w:tcPr>
            <w:tcW w:w="692" w:type="pct"/>
            <w:shd w:val="clear" w:color="auto" w:fill="auto"/>
            <w:vAlign w:val="center"/>
          </w:tcPr>
          <w:p w14:paraId="365812B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default" w:ascii="Times New Roman" w:hAnsi="Times New Roman" w:eastAsia="宋体" w:cs="宋体"/>
                <w:bCs/>
                <w:color w:val="auto"/>
                <w:spacing w:val="-10"/>
                <w:sz w:val="21"/>
                <w:szCs w:val="21"/>
                <w:lang w:val="en-US" w:eastAsia="zh-CN"/>
              </w:rPr>
            </w:pPr>
            <w:r>
              <w:rPr>
                <w:rFonts w:hint="eastAsia" w:ascii="Times New Roman" w:hAnsi="Times New Roman" w:eastAsia="宋体"/>
                <w:color w:val="auto"/>
                <w:kern w:val="0"/>
                <w:sz w:val="21"/>
                <w:szCs w:val="21"/>
                <w:lang w:val="en-US" w:eastAsia="zh-CN" w:bidi="ar"/>
              </w:rPr>
              <w:t>3.23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-6</w:t>
            </w:r>
          </w:p>
        </w:tc>
      </w:tr>
    </w:tbl>
    <w:p w14:paraId="53102358">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b/>
          <w:bCs/>
          <w:strike w:val="0"/>
          <w:dstrike w:val="0"/>
          <w:color w:val="auto"/>
          <w:sz w:val="24"/>
        </w:rPr>
      </w:pPr>
      <w:r>
        <w:rPr>
          <w:rFonts w:hint="eastAsia" w:ascii="Times New Roman" w:hAnsi="Times New Roman" w:eastAsia="宋体" w:cs="宋体"/>
          <w:b/>
          <w:bCs/>
          <w:strike w:val="0"/>
          <w:dstrike w:val="0"/>
          <w:color w:val="auto"/>
          <w:kern w:val="0"/>
          <w:sz w:val="24"/>
          <w:szCs w:val="24"/>
          <w:lang w:val="en-US" w:eastAsia="zh-CN" w:bidi="ar"/>
        </w:rPr>
        <w:t>③</w:t>
      </w:r>
      <w:r>
        <w:rPr>
          <w:rFonts w:hint="eastAsia" w:ascii="Times New Roman" w:hAnsi="Times New Roman" w:eastAsia="宋体" w:cs="宋体"/>
          <w:b/>
          <w:bCs/>
          <w:strike w:val="0"/>
          <w:dstrike w:val="0"/>
          <w:color w:val="auto"/>
          <w:kern w:val="0"/>
          <w:sz w:val="24"/>
          <w:szCs w:val="24"/>
          <w:lang w:val="en-US" w:eastAsia="zh-CN" w:bidi="ar"/>
        </w:rPr>
        <w:t>无组织排放恶臭的治理措施</w:t>
      </w:r>
    </w:p>
    <w:p w14:paraId="3F2D1F94">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此类无组织排放恶臭的治理方法主要从减少臭气产生、防止恶臭扩散等多种方法并举。建设单位拟采取如下措施：</w:t>
      </w:r>
    </w:p>
    <w:p w14:paraId="71B57BCB">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eastAsia" w:ascii="Times New Roman" w:hAnsi="Times New Roman" w:eastAsia="宋体" w:cs="宋体"/>
          <w:strike w:val="0"/>
          <w:dstrike w:val="0"/>
          <w:color w:val="auto"/>
          <w:kern w:val="0"/>
          <w:sz w:val="24"/>
          <w:szCs w:val="24"/>
          <w:lang w:val="en-US" w:eastAsia="zh-CN" w:bidi="ar"/>
        </w:rPr>
      </w:pPr>
      <w:r>
        <w:rPr>
          <w:rFonts w:hint="default" w:ascii="Times New Roman" w:hAnsi="Times New Roman" w:eastAsia="宋体" w:cs="Times New Roman"/>
          <w:strike w:val="0"/>
          <w:dstrike w:val="0"/>
          <w:color w:val="auto"/>
          <w:kern w:val="0"/>
          <w:sz w:val="24"/>
          <w:szCs w:val="24"/>
          <w:lang w:val="en-US" w:eastAsia="zh-CN" w:bidi="ar"/>
        </w:rPr>
        <w:t>a</w:t>
      </w:r>
      <w:r>
        <w:rPr>
          <w:rFonts w:hint="eastAsia" w:ascii="Times New Roman" w:hAnsi="Times New Roman" w:eastAsia="宋体" w:cs="宋体"/>
          <w:strike w:val="0"/>
          <w:dstrike w:val="0"/>
          <w:color w:val="auto"/>
          <w:kern w:val="0"/>
          <w:sz w:val="24"/>
          <w:szCs w:val="24"/>
          <w:lang w:val="en-US" w:eastAsia="zh-CN" w:bidi="ar"/>
        </w:rPr>
        <w:t>驼舍采用自然通风辅助机械通风方式加强通风，来保持驼舍空气的流通和新鲜。</w:t>
      </w:r>
    </w:p>
    <w:p w14:paraId="772E90DD">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b</w:t>
      </w:r>
      <w:r>
        <w:rPr>
          <w:rFonts w:hint="eastAsia" w:ascii="Times New Roman" w:hAnsi="Times New Roman" w:eastAsia="宋体" w:cs="宋体"/>
          <w:strike w:val="0"/>
          <w:dstrike w:val="0"/>
          <w:color w:val="auto"/>
          <w:kern w:val="0"/>
          <w:sz w:val="24"/>
          <w:szCs w:val="24"/>
          <w:lang w:val="en-US" w:eastAsia="zh-CN" w:bidi="ar"/>
        </w:rPr>
        <w:t>同时进行喷洒除臭，除臭液每</w:t>
      </w:r>
      <w:r>
        <w:rPr>
          <w:rFonts w:hint="default" w:ascii="Times New Roman" w:hAnsi="Times New Roman" w:eastAsia="宋体" w:cs="Times New Roman"/>
          <w:strike w:val="0"/>
          <w:dstrike w:val="0"/>
          <w:color w:val="auto"/>
          <w:kern w:val="0"/>
          <w:sz w:val="24"/>
          <w:szCs w:val="24"/>
          <w:lang w:val="en-US" w:eastAsia="zh-CN" w:bidi="ar"/>
        </w:rPr>
        <w:t>7</w:t>
      </w:r>
      <w:r>
        <w:rPr>
          <w:rFonts w:hint="eastAsia" w:ascii="Times New Roman" w:hAnsi="Times New Roman" w:eastAsia="宋体" w:cs="宋体"/>
          <w:strike w:val="0"/>
          <w:dstrike w:val="0"/>
          <w:color w:val="auto"/>
          <w:kern w:val="0"/>
          <w:sz w:val="24"/>
          <w:szCs w:val="24"/>
          <w:lang w:val="en-US" w:eastAsia="zh-CN" w:bidi="ar"/>
        </w:rPr>
        <w:t>天喷洒一次，除臭效率约为</w:t>
      </w:r>
      <w:r>
        <w:rPr>
          <w:rFonts w:hint="default" w:ascii="Times New Roman" w:hAnsi="Times New Roman" w:eastAsia="宋体" w:cs="Times New Roman"/>
          <w:strike w:val="0"/>
          <w:dstrike w:val="0"/>
          <w:color w:val="auto"/>
          <w:kern w:val="0"/>
          <w:sz w:val="24"/>
          <w:szCs w:val="24"/>
          <w:lang w:val="en-US" w:eastAsia="zh-CN" w:bidi="ar"/>
        </w:rPr>
        <w:t>80%</w:t>
      </w:r>
      <w:r>
        <w:rPr>
          <w:rFonts w:hint="eastAsia" w:ascii="Times New Roman" w:hAnsi="Times New Roman" w:eastAsia="宋体" w:cs="宋体"/>
          <w:strike w:val="0"/>
          <w:dstrike w:val="0"/>
          <w:color w:val="auto"/>
          <w:kern w:val="0"/>
          <w:sz w:val="24"/>
          <w:szCs w:val="24"/>
          <w:lang w:val="en-US" w:eastAsia="zh-CN" w:bidi="ar"/>
        </w:rPr>
        <w:t>。</w:t>
      </w:r>
    </w:p>
    <w:p w14:paraId="4D6162F2">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c</w:t>
      </w:r>
      <w:r>
        <w:rPr>
          <w:rFonts w:hint="eastAsia" w:ascii="Times New Roman" w:hAnsi="Times New Roman" w:eastAsia="宋体" w:cs="宋体"/>
          <w:strike w:val="0"/>
          <w:dstrike w:val="0"/>
          <w:color w:val="auto"/>
          <w:kern w:val="0"/>
          <w:sz w:val="24"/>
          <w:szCs w:val="24"/>
          <w:lang w:val="en-US" w:eastAsia="zh-CN" w:bidi="ar"/>
        </w:rPr>
        <w:t>本项目计划采用科学饲喂技术，提高饲料的利用率（尤其是氮的利用率），降低排泄物中氮的含量及恶臭气体的排放。</w:t>
      </w:r>
    </w:p>
    <w:p w14:paraId="10640505">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项目场区绿化率达到</w:t>
      </w:r>
      <w:r>
        <w:rPr>
          <w:rFonts w:hint="default" w:ascii="Times New Roman" w:hAnsi="Times New Roman" w:eastAsia="宋体" w:cs="Times New Roman"/>
          <w:strike w:val="0"/>
          <w:dstrike w:val="0"/>
          <w:color w:val="auto"/>
          <w:kern w:val="0"/>
          <w:sz w:val="24"/>
          <w:szCs w:val="24"/>
          <w:lang w:val="en-US" w:eastAsia="zh-CN" w:bidi="ar"/>
        </w:rPr>
        <w:t>10%</w:t>
      </w:r>
      <w:r>
        <w:rPr>
          <w:rFonts w:hint="eastAsia" w:ascii="Times New Roman" w:hAnsi="Times New Roman" w:eastAsia="宋体" w:cs="宋体"/>
          <w:strike w:val="0"/>
          <w:dstrike w:val="0"/>
          <w:color w:val="auto"/>
          <w:kern w:val="0"/>
          <w:sz w:val="24"/>
          <w:szCs w:val="24"/>
          <w:lang w:val="en-US" w:eastAsia="zh-CN" w:bidi="ar"/>
        </w:rPr>
        <w:t>。鉴于养殖行业特殊性，在树种选择上，不仅要考虑美化效果，还必须考虑在除臭、防火、吸尘、杀菌等方面的作用，最大限度地防止臭味对周围大气环境的影响在办公区内设置绿化，区内空地和路边尽量植树及种植花草，以最大限度地防止臭味对周围大气环境的影响。</w:t>
      </w:r>
    </w:p>
    <w:p w14:paraId="44F465D6">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本项目运营期采取上述畜禽养殖污染预防措施和养殖场臭气污染控制措施后，可以大大减少恶臭气体的产生。</w:t>
      </w:r>
    </w:p>
    <w:p w14:paraId="0F5D61FB">
      <w:pPr>
        <w:pStyle w:val="4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b/>
          <w:bCs/>
          <w:strike w:val="0"/>
          <w:dstrike w:val="0"/>
          <w:color w:val="auto"/>
          <w:spacing w:val="0"/>
          <w:sz w:val="24"/>
          <w:highlight w:val="none"/>
          <w:lang w:val="en-US" w:eastAsia="zh-CN"/>
        </w:rPr>
      </w:pPr>
      <w:r>
        <w:rPr>
          <w:rFonts w:hint="eastAsia" w:ascii="Times New Roman" w:hAnsi="Times New Roman" w:eastAsia="宋体"/>
          <w:b/>
          <w:bCs/>
          <w:strike w:val="0"/>
          <w:dstrike w:val="0"/>
          <w:color w:val="auto"/>
          <w:spacing w:val="0"/>
          <w:sz w:val="24"/>
          <w:highlight w:val="none"/>
          <w:lang w:val="en-US" w:eastAsia="zh-CN"/>
        </w:rPr>
        <w:t>（2）饲料加工粉尘</w:t>
      </w:r>
    </w:p>
    <w:p w14:paraId="504FA3E6">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ascii="Times New Roman" w:hAnsi="Times New Roman" w:eastAsia="宋体"/>
          <w:strike w:val="0"/>
          <w:dstrike w:val="0"/>
          <w:color w:val="auto"/>
          <w:sz w:val="24"/>
        </w:rPr>
      </w:pPr>
      <w:r>
        <w:rPr>
          <w:rFonts w:hint="eastAsia" w:ascii="Times New Roman" w:hAnsi="Times New Roman" w:eastAsia="宋体" w:cs="宋体"/>
          <w:strike w:val="0"/>
          <w:dstrike w:val="0"/>
          <w:color w:val="auto"/>
          <w:kern w:val="0"/>
          <w:sz w:val="24"/>
          <w:szCs w:val="24"/>
          <w:lang w:val="en-US" w:eastAsia="zh-CN" w:bidi="ar"/>
        </w:rPr>
        <w:t>骆驼喂养采用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加料法喂养，将干草（以苜蓿、玉米秸秆为主）、精料和青贮料在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饲料喂养车内充分混合得到</w:t>
      </w:r>
      <w:r>
        <w:rPr>
          <w:rFonts w:hint="default" w:ascii="Times New Roman" w:hAnsi="Times New Roman" w:eastAsia="宋体" w:cs="Times New Roman"/>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全价日粮</w:t>
      </w:r>
      <w:r>
        <w:rPr>
          <w:rFonts w:hint="default" w:ascii="Times New Roman" w:hAnsi="Times New Roman" w:eastAsia="宋体" w:cs="Times New Roman"/>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，运到驼舍分发。在</w:t>
      </w:r>
      <w:r>
        <w:rPr>
          <w:rFonts w:hint="default" w:ascii="Times New Roman" w:hAnsi="Times New Roman" w:eastAsia="宋体" w:cs="Times New Roman"/>
          <w:strike w:val="0"/>
          <w:dstrike w:val="0"/>
          <w:color w:val="auto"/>
          <w:kern w:val="0"/>
          <w:sz w:val="24"/>
          <w:szCs w:val="24"/>
          <w:lang w:val="en-US" w:eastAsia="zh-CN" w:bidi="ar"/>
        </w:rPr>
        <w:t>TMR</w:t>
      </w:r>
      <w:r>
        <w:rPr>
          <w:rFonts w:hint="eastAsia" w:ascii="Times New Roman" w:hAnsi="Times New Roman" w:eastAsia="宋体" w:cs="宋体"/>
          <w:strike w:val="0"/>
          <w:dstrike w:val="0"/>
          <w:color w:val="auto"/>
          <w:kern w:val="0"/>
          <w:sz w:val="24"/>
          <w:szCs w:val="24"/>
          <w:lang w:val="en-US" w:eastAsia="zh-CN" w:bidi="ar"/>
        </w:rPr>
        <w:t>饲料制取设备混料箱内，通过绞龙和刀片的作用对饲料切碎、揉搓、软化及搓细，实现饲料的搅拌与混合，此过程中会产生少量粉尘。</w:t>
      </w:r>
    </w:p>
    <w:p w14:paraId="61BC2093">
      <w:pPr>
        <w:keepNext w:val="0"/>
        <w:keepLines w:val="0"/>
        <w:pageBreakBefore w:val="0"/>
        <w:widowControl w:val="0"/>
        <w:suppressLineNumbers w:val="0"/>
        <w:kinsoku/>
        <w:wordWrap/>
        <w:overflowPunct/>
        <w:topLinePunct w:val="0"/>
        <w:autoSpaceDE/>
        <w:autoSpaceDN/>
        <w:bidi w:val="0"/>
        <w:adjustRightInd/>
        <w:snapToGrid/>
        <w:jc w:val="both"/>
        <w:textAlignment w:val="auto"/>
        <w:rPr>
          <w:rFonts w:hint="eastAsia" w:ascii="Times New Roman" w:hAnsi="Times New Roman" w:eastAsia="宋体" w:cs="宋体"/>
          <w:b/>
          <w:bCs/>
          <w:strike w:val="0"/>
          <w:dstrike w:val="0"/>
          <w:color w:val="auto"/>
          <w:kern w:val="0"/>
          <w:sz w:val="24"/>
          <w:szCs w:val="24"/>
          <w:highlight w:val="none"/>
          <w:lang w:val="en-US" w:eastAsia="zh-CN" w:bidi="ar"/>
        </w:rPr>
      </w:pPr>
      <w:r>
        <w:rPr>
          <w:rFonts w:hint="eastAsia" w:ascii="Times New Roman" w:hAnsi="Times New Roman" w:eastAsia="宋体" w:cs="宋体"/>
          <w:b/>
          <w:bCs/>
          <w:strike w:val="0"/>
          <w:dstrike w:val="0"/>
          <w:color w:val="auto"/>
          <w:kern w:val="0"/>
          <w:sz w:val="24"/>
          <w:szCs w:val="24"/>
          <w:highlight w:val="none"/>
          <w:lang w:val="en-US" w:eastAsia="zh-CN" w:bidi="ar"/>
        </w:rPr>
        <w:t>防治措施</w:t>
      </w:r>
    </w:p>
    <w:p w14:paraId="46EE8215">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宋体"/>
          <w:strike w:val="0"/>
          <w:dstrike w:val="0"/>
          <w:color w:val="auto"/>
          <w:kern w:val="0"/>
          <w:sz w:val="24"/>
          <w:szCs w:val="24"/>
          <w:highlight w:val="none"/>
          <w:lang w:val="en-US" w:eastAsia="zh-CN" w:bidi="ar"/>
        </w:rPr>
      </w:pPr>
      <w:r>
        <w:rPr>
          <w:rFonts w:hint="eastAsia" w:ascii="Times New Roman" w:hAnsi="Times New Roman" w:eastAsia="宋体" w:cs="宋体"/>
          <w:strike w:val="0"/>
          <w:dstrike w:val="0"/>
          <w:color w:val="auto"/>
          <w:kern w:val="0"/>
          <w:sz w:val="24"/>
          <w:szCs w:val="24"/>
          <w:highlight w:val="none"/>
          <w:lang w:val="en-US" w:eastAsia="zh-CN" w:bidi="ar"/>
        </w:rPr>
        <w:t>源头抑尘：项目采用TMR混合搅拌工艺，配料中添加青贮湿料，提高饲料整体含水率，从源头有效抑制干草切碎、搅拌过程产生粉尘。</w:t>
      </w:r>
    </w:p>
    <w:p w14:paraId="378977E2">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宋体"/>
          <w:strike w:val="0"/>
          <w:dstrike w:val="0"/>
          <w:color w:val="auto"/>
          <w:kern w:val="0"/>
          <w:sz w:val="24"/>
          <w:szCs w:val="24"/>
          <w:highlight w:val="none"/>
          <w:lang w:val="en-US" w:eastAsia="zh-CN" w:bidi="ar"/>
        </w:rPr>
      </w:pPr>
      <w:r>
        <w:rPr>
          <w:rFonts w:hint="eastAsia" w:ascii="Times New Roman" w:hAnsi="Times New Roman" w:eastAsia="宋体" w:cs="宋体"/>
          <w:strike w:val="0"/>
          <w:dstrike w:val="0"/>
          <w:color w:val="auto"/>
          <w:kern w:val="0"/>
          <w:sz w:val="24"/>
          <w:szCs w:val="24"/>
          <w:highlight w:val="none"/>
          <w:lang w:val="en-US" w:eastAsia="zh-CN" w:bidi="ar"/>
        </w:rPr>
        <w:t>设备抑尘：饲料搅拌混料箱为半封闭结构，切碎、揉搓、搅拌工序均在箱体内完成，大幅减少粉尘无组织逸散。</w:t>
      </w:r>
    </w:p>
    <w:p w14:paraId="2DDA1490">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宋体"/>
          <w:strike w:val="0"/>
          <w:dstrike w:val="0"/>
          <w:color w:val="auto"/>
          <w:kern w:val="0"/>
          <w:sz w:val="24"/>
          <w:szCs w:val="24"/>
          <w:highlight w:val="none"/>
          <w:lang w:val="en-US" w:eastAsia="zh-CN" w:bidi="ar"/>
        </w:rPr>
      </w:pPr>
      <w:r>
        <w:rPr>
          <w:rFonts w:hint="eastAsia" w:ascii="Times New Roman" w:hAnsi="Times New Roman" w:eastAsia="宋体" w:cs="宋体"/>
          <w:strike w:val="0"/>
          <w:dstrike w:val="0"/>
          <w:color w:val="auto"/>
          <w:kern w:val="0"/>
          <w:sz w:val="24"/>
          <w:szCs w:val="24"/>
          <w:highlight w:val="none"/>
          <w:lang w:val="en-US" w:eastAsia="zh-CN" w:bidi="ar"/>
        </w:rPr>
        <w:t>作业管控抑尘：饲料装卸、搅拌低速平稳作业，减少扬尘扰动；避免干料单独高速粉碎，降低颗粒物产生量</w:t>
      </w:r>
      <w:r>
        <w:rPr>
          <w:rFonts w:hint="eastAsia" w:ascii="Times New Roman" w:hAnsi="Times New Roman" w:eastAsia="宋体" w:cs="宋体"/>
          <w:strike w:val="0"/>
          <w:dstrike w:val="0"/>
          <w:color w:val="auto"/>
          <w:kern w:val="0"/>
          <w:sz w:val="24"/>
          <w:szCs w:val="24"/>
          <w:highlight w:val="none"/>
          <w:lang w:val="en-US" w:eastAsia="zh-CN" w:bidi="ar"/>
        </w:rPr>
        <w:t>；加工过程中洒水，增加空气湿度</w:t>
      </w:r>
      <w:r>
        <w:rPr>
          <w:rFonts w:hint="eastAsia" w:ascii="Times New Roman" w:hAnsi="Times New Roman" w:eastAsia="宋体" w:cs="宋体"/>
          <w:strike w:val="0"/>
          <w:dstrike w:val="0"/>
          <w:color w:val="auto"/>
          <w:kern w:val="0"/>
          <w:sz w:val="24"/>
          <w:szCs w:val="24"/>
          <w:highlight w:val="none"/>
          <w:lang w:val="en-US" w:eastAsia="zh-CN" w:bidi="ar"/>
        </w:rPr>
        <w:t>。</w:t>
      </w:r>
    </w:p>
    <w:p w14:paraId="7C82287D">
      <w:pPr>
        <w:keepNext w:val="0"/>
        <w:keepLines w:val="0"/>
        <w:pageBreakBefore w:val="0"/>
        <w:widowControl w:val="0"/>
        <w:suppressLineNumbers w:val="0"/>
        <w:kinsoku/>
        <w:wordWrap/>
        <w:overflowPunct/>
        <w:topLinePunct w:val="0"/>
        <w:autoSpaceDE/>
        <w:autoSpaceDN/>
        <w:bidi w:val="0"/>
        <w:adjustRightInd/>
        <w:snapToGrid/>
        <w:spacing w:line="360" w:lineRule="auto"/>
        <w:jc w:val="left"/>
        <w:textAlignment w:val="auto"/>
        <w:rPr>
          <w:rFonts w:ascii="Times New Roman" w:hAnsi="Times New Roman" w:eastAsia="宋体"/>
          <w:strike w:val="0"/>
          <w:dstrike w:val="0"/>
          <w:color w:val="auto"/>
          <w:sz w:val="24"/>
          <w:highlight w:val="none"/>
        </w:rPr>
      </w:pPr>
      <w:r>
        <w:rPr>
          <w:rFonts w:hint="eastAsia" w:ascii="Times New Roman" w:hAnsi="Times New Roman" w:eastAsia="宋体" w:cs="宋体"/>
          <w:strike w:val="0"/>
          <w:dstrike w:val="0"/>
          <w:color w:val="auto"/>
          <w:kern w:val="0"/>
          <w:sz w:val="24"/>
          <w:szCs w:val="24"/>
          <w:highlight w:val="none"/>
          <w:lang w:val="en-US" w:eastAsia="zh-CN" w:bidi="ar"/>
        </w:rPr>
        <w:t>采取上述综合措施后，饲料加工过程中</w:t>
      </w:r>
      <w:r>
        <w:rPr>
          <w:rFonts w:hint="eastAsia" w:ascii="Times New Roman" w:hAnsi="Times New Roman" w:eastAsia="宋体" w:cs="宋体"/>
          <w:strike w:val="0"/>
          <w:dstrike w:val="0"/>
          <w:color w:val="auto"/>
          <w:kern w:val="0"/>
          <w:sz w:val="24"/>
          <w:szCs w:val="24"/>
          <w:highlight w:val="none"/>
          <w:lang w:val="en-US" w:eastAsia="zh-CN" w:bidi="ar"/>
        </w:rPr>
        <w:t>粉尘排放能够满足《大气污染物综合排放标准》（</w:t>
      </w:r>
      <w:r>
        <w:rPr>
          <w:rFonts w:hint="default" w:ascii="Times New Roman" w:hAnsi="Times New Roman" w:eastAsia="宋体" w:cs="Times New Roman"/>
          <w:strike w:val="0"/>
          <w:dstrike w:val="0"/>
          <w:color w:val="auto"/>
          <w:kern w:val="0"/>
          <w:sz w:val="24"/>
          <w:szCs w:val="24"/>
          <w:highlight w:val="none"/>
          <w:lang w:val="en-US" w:eastAsia="zh-CN" w:bidi="ar"/>
        </w:rPr>
        <w:t>GB16297-1996</w:t>
      </w:r>
      <w:r>
        <w:rPr>
          <w:rFonts w:hint="eastAsia" w:ascii="Times New Roman" w:hAnsi="Times New Roman" w:eastAsia="宋体" w:cs="宋体"/>
          <w:strike w:val="0"/>
          <w:dstrike w:val="0"/>
          <w:color w:val="auto"/>
          <w:kern w:val="0"/>
          <w:sz w:val="24"/>
          <w:szCs w:val="24"/>
          <w:highlight w:val="none"/>
          <w:lang w:val="en-US" w:eastAsia="zh-CN" w:bidi="ar"/>
        </w:rPr>
        <w:t>）中表</w:t>
      </w:r>
      <w:r>
        <w:rPr>
          <w:rFonts w:hint="default" w:ascii="Times New Roman" w:hAnsi="Times New Roman" w:eastAsia="宋体" w:cs="Times New Roman"/>
          <w:strike w:val="0"/>
          <w:dstrike w:val="0"/>
          <w:color w:val="auto"/>
          <w:kern w:val="0"/>
          <w:sz w:val="24"/>
          <w:szCs w:val="24"/>
          <w:highlight w:val="none"/>
          <w:lang w:val="en-US" w:eastAsia="zh-CN" w:bidi="ar"/>
        </w:rPr>
        <w:t>2</w:t>
      </w:r>
      <w:r>
        <w:rPr>
          <w:rFonts w:hint="eastAsia" w:ascii="Times New Roman" w:hAnsi="Times New Roman" w:eastAsia="宋体" w:cs="宋体"/>
          <w:strike w:val="0"/>
          <w:dstrike w:val="0"/>
          <w:color w:val="auto"/>
          <w:kern w:val="0"/>
          <w:sz w:val="24"/>
          <w:szCs w:val="24"/>
          <w:highlight w:val="none"/>
          <w:lang w:val="en-US" w:eastAsia="zh-CN" w:bidi="ar"/>
        </w:rPr>
        <w:t>的无组织排放限值要求（排放浓度</w:t>
      </w:r>
      <w:r>
        <w:rPr>
          <w:rFonts w:hint="default" w:ascii="Times New Roman" w:hAnsi="Times New Roman" w:eastAsia="宋体" w:cs="Times New Roman"/>
          <w:strike w:val="0"/>
          <w:dstrike w:val="0"/>
          <w:color w:val="auto"/>
          <w:kern w:val="0"/>
          <w:sz w:val="24"/>
          <w:szCs w:val="24"/>
          <w:highlight w:val="none"/>
          <w:lang w:val="en-US" w:eastAsia="zh-CN" w:bidi="ar"/>
        </w:rPr>
        <w:t>1.0mg/m</w:t>
      </w:r>
      <w:r>
        <w:rPr>
          <w:rFonts w:hint="default" w:ascii="Times New Roman" w:hAnsi="Times New Roman" w:eastAsia="宋体" w:cs="Times New Roman"/>
          <w:strike w:val="0"/>
          <w:dstrike w:val="0"/>
          <w:color w:val="auto"/>
          <w:kern w:val="0"/>
          <w:sz w:val="24"/>
          <w:szCs w:val="15"/>
          <w:highlight w:val="none"/>
          <w:vertAlign w:val="superscript"/>
          <w:lang w:val="en-US" w:eastAsia="zh-CN" w:bidi="ar"/>
        </w:rPr>
        <w:t>3</w:t>
      </w:r>
      <w:r>
        <w:rPr>
          <w:rFonts w:hint="eastAsia" w:ascii="Times New Roman" w:hAnsi="Times New Roman" w:eastAsia="宋体" w:cs="宋体"/>
          <w:strike w:val="0"/>
          <w:dstrike w:val="0"/>
          <w:color w:val="auto"/>
          <w:kern w:val="0"/>
          <w:sz w:val="24"/>
          <w:szCs w:val="24"/>
          <w:highlight w:val="none"/>
          <w:lang w:val="en-US" w:eastAsia="zh-CN" w:bidi="ar"/>
        </w:rPr>
        <w:t>）。</w:t>
      </w:r>
    </w:p>
    <w:p w14:paraId="570358D6">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.2.2</w:t>
      </w:r>
      <w:r>
        <w:rPr>
          <w:rFonts w:hint="eastAsia" w:ascii="Times New Roman" w:hAnsi="Times New Roman" w:eastAsia="宋体"/>
          <w:strike w:val="0"/>
          <w:dstrike w:val="0"/>
          <w:color w:val="auto"/>
          <w:highlight w:val="none"/>
        </w:rPr>
        <w:t>运营期水污染源</w:t>
      </w:r>
    </w:p>
    <w:p w14:paraId="347FF85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本项目废水主要有</w:t>
      </w:r>
      <w:r>
        <w:rPr>
          <w:rFonts w:hint="eastAsia" w:ascii="Times New Roman" w:hAnsi="Times New Roman" w:eastAsia="宋体"/>
          <w:strike w:val="0"/>
          <w:dstrike w:val="0"/>
          <w:color w:val="auto"/>
          <w:highlight w:val="none"/>
          <w:lang w:eastAsia="zh-CN"/>
        </w:rPr>
        <w:t>生活污水和生产废水。</w:t>
      </w:r>
    </w:p>
    <w:p w14:paraId="753ABFCF">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生活污水</w:t>
      </w:r>
    </w:p>
    <w:p w14:paraId="3A716DE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根据《新疆维吾尔自治区工业和生活用水定额》中相关数据，工作人员用水约80L/人·d，本项目劳动定员</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0人，则工作人员的生活用水量为</w:t>
      </w:r>
      <w:r>
        <w:rPr>
          <w:rFonts w:hint="eastAsia" w:ascii="Times New Roman" w:hAnsi="Times New Roman" w:eastAsia="宋体"/>
          <w:strike w:val="0"/>
          <w:dstrike w:val="0"/>
          <w:color w:val="auto"/>
          <w:highlight w:val="none"/>
          <w:lang w:val="en-US" w:eastAsia="zh-CN"/>
        </w:rPr>
        <w:t>1460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按365天计</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生活污水按照用水量的80%计算，则生活污水排放量约为</w:t>
      </w:r>
      <w:r>
        <w:rPr>
          <w:rFonts w:hint="eastAsia" w:ascii="Times New Roman" w:hAnsi="Times New Roman" w:eastAsia="宋体"/>
          <w:strike w:val="0"/>
          <w:dstrike w:val="0"/>
          <w:color w:val="auto"/>
          <w:highlight w:val="none"/>
          <w:lang w:val="en-US" w:eastAsia="zh-CN"/>
        </w:rPr>
        <w:t>1168</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生活污水中污染物浓度约为COD</w:t>
      </w:r>
      <w:r>
        <w:rPr>
          <w:rFonts w:hint="eastAsia" w:ascii="Times New Roman" w:hAnsi="Times New Roman" w:eastAsia="宋体"/>
          <w:strike w:val="0"/>
          <w:dstrike w:val="0"/>
          <w:color w:val="auto"/>
          <w:highlight w:val="none"/>
          <w:vertAlign w:val="subscript"/>
        </w:rPr>
        <w:t>Cr</w:t>
      </w:r>
      <w:r>
        <w:rPr>
          <w:rFonts w:hint="eastAsia" w:ascii="Times New Roman" w:hAnsi="Times New Roman" w:eastAsia="宋体"/>
          <w:strike w:val="0"/>
          <w:dstrike w:val="0"/>
          <w:color w:val="auto"/>
          <w:highlight w:val="none"/>
        </w:rPr>
        <w:t>：400mg/L，BOD</w:t>
      </w:r>
      <w:r>
        <w:rPr>
          <w:rFonts w:hint="eastAsia" w:ascii="Times New Roman" w:hAnsi="Times New Roman" w:eastAsia="宋体"/>
          <w:strike w:val="0"/>
          <w:dstrike w:val="0"/>
          <w:color w:val="auto"/>
          <w:highlight w:val="none"/>
          <w:vertAlign w:val="subscript"/>
        </w:rPr>
        <w:t>5</w:t>
      </w:r>
      <w:r>
        <w:rPr>
          <w:rFonts w:hint="eastAsia" w:ascii="Times New Roman" w:hAnsi="Times New Roman" w:eastAsia="宋体"/>
          <w:strike w:val="0"/>
          <w:dstrike w:val="0"/>
          <w:color w:val="auto"/>
          <w:highlight w:val="none"/>
        </w:rPr>
        <w:t>：250mg/L，SS：150mg/L，NH</w:t>
      </w:r>
      <w:r>
        <w:rPr>
          <w:rFonts w:hint="eastAsia"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rPr>
        <w:t>-N：50mg/L</w:t>
      </w:r>
      <w:r>
        <w:rPr>
          <w:rFonts w:hint="eastAsia" w:ascii="Times New Roman" w:hAnsi="Times New Roman" w:eastAsia="宋体"/>
          <w:strike w:val="0"/>
          <w:dstrike w:val="0"/>
          <w:color w:val="auto"/>
          <w:highlight w:val="none"/>
          <w:lang w:eastAsia="zh-CN"/>
        </w:rPr>
        <w:t>。</w:t>
      </w:r>
    </w:p>
    <w:p w14:paraId="452336F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本项目生活污水产生量见表</w:t>
      </w:r>
      <w:r>
        <w:rPr>
          <w:rFonts w:hint="eastAsia" w:ascii="Times New Roman" w:hAnsi="Times New Roman" w:eastAsia="宋体"/>
          <w:strike w:val="0"/>
          <w:dstrike w:val="0"/>
          <w:color w:val="auto"/>
          <w:highlight w:val="none"/>
          <w:lang w:val="en-US" w:eastAsia="zh-CN"/>
        </w:rPr>
        <w:t>3.3-</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55EA55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表3.3-7生活污水产生量</w:t>
      </w:r>
    </w:p>
    <w:p w14:paraId="6A5E00F0">
      <w:pPr>
        <w:spacing w:line="20" w:lineRule="exact"/>
        <w:rPr>
          <w:rFonts w:ascii="Times New Roman" w:hAnsi="Times New Roman" w:eastAsia="宋体"/>
          <w:strike w:val="0"/>
          <w:dstrike w:val="0"/>
          <w:color w:val="auto"/>
          <w:highlight w:val="none"/>
        </w:rPr>
      </w:pPr>
    </w:p>
    <w:tbl>
      <w:tblPr>
        <w:tblStyle w:val="183"/>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09"/>
        <w:gridCol w:w="1501"/>
        <w:gridCol w:w="1504"/>
        <w:gridCol w:w="1810"/>
        <w:gridCol w:w="1983"/>
      </w:tblGrid>
      <w:tr w14:paraId="7A6C6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jc w:val="center"/>
        </w:trPr>
        <w:tc>
          <w:tcPr>
            <w:tcW w:w="908" w:type="pct"/>
            <w:vAlign w:val="center"/>
          </w:tcPr>
          <w:p w14:paraId="3CD5E6F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废水来源</w:t>
            </w:r>
          </w:p>
        </w:tc>
        <w:tc>
          <w:tcPr>
            <w:tcW w:w="903" w:type="pct"/>
            <w:vAlign w:val="center"/>
          </w:tcPr>
          <w:p w14:paraId="3789051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废水量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905" w:type="pct"/>
            <w:vAlign w:val="center"/>
          </w:tcPr>
          <w:p w14:paraId="029601F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w:t>
            </w:r>
          </w:p>
        </w:tc>
        <w:tc>
          <w:tcPr>
            <w:tcW w:w="1089" w:type="pct"/>
            <w:vAlign w:val="center"/>
          </w:tcPr>
          <w:p w14:paraId="299FF68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产生浓度</w:t>
            </w:r>
          </w:p>
          <w:p w14:paraId="7A2FD3C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mg/L</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192" w:type="pct"/>
            <w:vAlign w:val="center"/>
          </w:tcPr>
          <w:p w14:paraId="69964DD4">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产生量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254E7C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08" w:type="pct"/>
            <w:vMerge w:val="restart"/>
            <w:tcBorders>
              <w:bottom w:val="nil"/>
            </w:tcBorders>
            <w:vAlign w:val="center"/>
          </w:tcPr>
          <w:p w14:paraId="528B784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生活污水</w:t>
            </w:r>
          </w:p>
        </w:tc>
        <w:tc>
          <w:tcPr>
            <w:tcW w:w="903" w:type="pct"/>
            <w:vMerge w:val="restart"/>
            <w:tcBorders>
              <w:bottom w:val="nil"/>
            </w:tcBorders>
            <w:vAlign w:val="center"/>
          </w:tcPr>
          <w:p w14:paraId="4D8030E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1168</w:t>
            </w:r>
          </w:p>
        </w:tc>
        <w:tc>
          <w:tcPr>
            <w:tcW w:w="905" w:type="pct"/>
            <w:vAlign w:val="center"/>
          </w:tcPr>
          <w:p w14:paraId="7DEBCA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CODcr</w:t>
            </w:r>
          </w:p>
        </w:tc>
        <w:tc>
          <w:tcPr>
            <w:tcW w:w="1089" w:type="pct"/>
            <w:vAlign w:val="center"/>
          </w:tcPr>
          <w:p w14:paraId="60CE686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400</w:t>
            </w:r>
          </w:p>
        </w:tc>
        <w:tc>
          <w:tcPr>
            <w:tcW w:w="1983" w:type="dxa"/>
            <w:vAlign w:val="center"/>
          </w:tcPr>
          <w:p w14:paraId="2970403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0.4672 </w:t>
            </w:r>
          </w:p>
        </w:tc>
      </w:tr>
      <w:tr w14:paraId="557D7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08" w:type="pct"/>
            <w:vMerge w:val="continue"/>
            <w:tcBorders>
              <w:top w:val="nil"/>
              <w:bottom w:val="nil"/>
            </w:tcBorders>
            <w:vAlign w:val="center"/>
          </w:tcPr>
          <w:p w14:paraId="30871A6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3" w:type="pct"/>
            <w:vMerge w:val="continue"/>
            <w:tcBorders>
              <w:top w:val="nil"/>
              <w:bottom w:val="nil"/>
            </w:tcBorders>
            <w:vAlign w:val="center"/>
          </w:tcPr>
          <w:p w14:paraId="181DC59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5" w:type="pct"/>
            <w:vAlign w:val="center"/>
          </w:tcPr>
          <w:p w14:paraId="0D86ACA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Times New Roman"/>
                <w:strike w:val="0"/>
                <w:dstrike w:val="0"/>
                <w:color w:val="auto"/>
                <w:spacing w:val="0"/>
                <w:position w:val="0"/>
                <w:sz w:val="21"/>
                <w:szCs w:val="21"/>
                <w:highlight w:val="none"/>
              </w:rPr>
              <w:t>BOD</w:t>
            </w:r>
            <w:r>
              <w:rPr>
                <w:rFonts w:ascii="Times New Roman" w:hAnsi="Times New Roman" w:eastAsia="宋体" w:cs="Times New Roman"/>
                <w:strike w:val="0"/>
                <w:dstrike w:val="0"/>
                <w:color w:val="auto"/>
                <w:spacing w:val="0"/>
                <w:position w:val="0"/>
                <w:sz w:val="21"/>
                <w:szCs w:val="14"/>
                <w:highlight w:val="none"/>
                <w:vertAlign w:val="subscript"/>
              </w:rPr>
              <w:t>5</w:t>
            </w:r>
          </w:p>
        </w:tc>
        <w:tc>
          <w:tcPr>
            <w:tcW w:w="1089" w:type="pct"/>
            <w:vAlign w:val="center"/>
          </w:tcPr>
          <w:p w14:paraId="638E10B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250</w:t>
            </w:r>
          </w:p>
        </w:tc>
        <w:tc>
          <w:tcPr>
            <w:tcW w:w="1983" w:type="dxa"/>
            <w:vAlign w:val="center"/>
          </w:tcPr>
          <w:p w14:paraId="0A98522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0.2920 </w:t>
            </w:r>
          </w:p>
        </w:tc>
      </w:tr>
      <w:tr w14:paraId="08026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jc w:val="center"/>
        </w:trPr>
        <w:tc>
          <w:tcPr>
            <w:tcW w:w="908" w:type="pct"/>
            <w:vMerge w:val="continue"/>
            <w:tcBorders>
              <w:top w:val="nil"/>
              <w:bottom w:val="nil"/>
            </w:tcBorders>
            <w:vAlign w:val="center"/>
          </w:tcPr>
          <w:p w14:paraId="1BFA159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3" w:type="pct"/>
            <w:vMerge w:val="continue"/>
            <w:tcBorders>
              <w:top w:val="nil"/>
              <w:bottom w:val="nil"/>
            </w:tcBorders>
            <w:vAlign w:val="center"/>
          </w:tcPr>
          <w:p w14:paraId="7836DFE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5" w:type="pct"/>
            <w:vAlign w:val="center"/>
          </w:tcPr>
          <w:p w14:paraId="7B5C1A7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SS</w:t>
            </w:r>
          </w:p>
        </w:tc>
        <w:tc>
          <w:tcPr>
            <w:tcW w:w="1089" w:type="pct"/>
            <w:vAlign w:val="center"/>
          </w:tcPr>
          <w:p w14:paraId="13935CE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150</w:t>
            </w:r>
          </w:p>
        </w:tc>
        <w:tc>
          <w:tcPr>
            <w:tcW w:w="1983" w:type="dxa"/>
            <w:vAlign w:val="center"/>
          </w:tcPr>
          <w:p w14:paraId="010C0C6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0.1752 </w:t>
            </w:r>
          </w:p>
        </w:tc>
      </w:tr>
      <w:tr w14:paraId="3F7F8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908" w:type="pct"/>
            <w:vMerge w:val="continue"/>
            <w:tcBorders>
              <w:top w:val="nil"/>
            </w:tcBorders>
            <w:vAlign w:val="center"/>
          </w:tcPr>
          <w:p w14:paraId="68E08F3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3" w:type="pct"/>
            <w:vMerge w:val="continue"/>
            <w:tcBorders>
              <w:top w:val="nil"/>
            </w:tcBorders>
            <w:vAlign w:val="center"/>
          </w:tcPr>
          <w:p w14:paraId="5385540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05" w:type="pct"/>
            <w:vAlign w:val="center"/>
          </w:tcPr>
          <w:p w14:paraId="558AD09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r>
              <w:rPr>
                <w:rFonts w:ascii="Times New Roman" w:hAnsi="Times New Roman" w:eastAsia="宋体" w:cs="Times New Roman"/>
                <w:strike w:val="0"/>
                <w:dstrike w:val="0"/>
                <w:color w:val="auto"/>
                <w:spacing w:val="0"/>
                <w:position w:val="0"/>
                <w:sz w:val="21"/>
                <w:szCs w:val="21"/>
                <w:highlight w:val="none"/>
              </w:rPr>
              <w:t>-N</w:t>
            </w:r>
          </w:p>
        </w:tc>
        <w:tc>
          <w:tcPr>
            <w:tcW w:w="1089" w:type="pct"/>
            <w:vAlign w:val="center"/>
          </w:tcPr>
          <w:p w14:paraId="6BC8C0C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50</w:t>
            </w:r>
          </w:p>
        </w:tc>
        <w:tc>
          <w:tcPr>
            <w:tcW w:w="1983" w:type="dxa"/>
            <w:vAlign w:val="center"/>
          </w:tcPr>
          <w:p w14:paraId="2724568E">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 xml:space="preserve"> 0.0584 </w:t>
            </w:r>
          </w:p>
        </w:tc>
      </w:tr>
    </w:tbl>
    <w:p w14:paraId="01981855">
      <w:pPr>
        <w:ind w:firstLine="480"/>
        <w:rPr>
          <w:rFonts w:hint="eastAsia" w:ascii="Times New Roman" w:hAnsi="Times New Roman" w:eastAsia="宋体" w:cs="宋体"/>
          <w:strike w:val="0"/>
          <w:dstrike w:val="0"/>
          <w:color w:val="auto"/>
          <w:spacing w:val="-6"/>
          <w:sz w:val="24"/>
          <w:szCs w:val="24"/>
          <w:highlight w:val="none"/>
          <w:lang w:eastAsia="zh-CN"/>
        </w:rPr>
      </w:pPr>
      <w:r>
        <w:rPr>
          <w:rFonts w:hint="eastAsia" w:ascii="Times New Roman" w:hAnsi="Times New Roman" w:eastAsia="宋体" w:cs="宋体"/>
          <w:strike w:val="0"/>
          <w:dstrike w:val="0"/>
          <w:color w:val="auto"/>
          <w:spacing w:val="-12"/>
          <w:sz w:val="24"/>
          <w:szCs w:val="24"/>
          <w:highlight w:val="none"/>
        </w:rPr>
        <w:t>生活污水经地下排污管道自流至舍外</w:t>
      </w:r>
      <w:r>
        <w:rPr>
          <w:rFonts w:hint="eastAsia" w:ascii="Times New Roman" w:hAnsi="Times New Roman" w:eastAsia="宋体" w:cs="宋体"/>
          <w:strike w:val="0"/>
          <w:dstrike w:val="0"/>
          <w:color w:val="auto"/>
          <w:spacing w:val="-12"/>
          <w:sz w:val="24"/>
          <w:szCs w:val="24"/>
          <w:highlight w:val="none"/>
          <w:lang w:val="en-US" w:eastAsia="zh-CN"/>
        </w:rPr>
        <w:t>黑膜池</w:t>
      </w:r>
      <w:r>
        <w:rPr>
          <w:rFonts w:hint="eastAsia" w:ascii="Times New Roman" w:hAnsi="Times New Roman" w:eastAsia="宋体" w:cs="宋体"/>
          <w:strike w:val="0"/>
          <w:dstrike w:val="0"/>
          <w:color w:val="auto"/>
          <w:spacing w:val="-12"/>
          <w:sz w:val="24"/>
          <w:szCs w:val="24"/>
          <w:highlight w:val="none"/>
        </w:rPr>
        <w:t>，</w:t>
      </w:r>
      <w:r>
        <w:rPr>
          <w:rFonts w:hint="eastAsia" w:ascii="Times New Roman" w:hAnsi="Times New Roman" w:eastAsia="宋体" w:cs="Times New Roman"/>
          <w:strike w:val="0"/>
          <w:dstrike w:val="0"/>
          <w:color w:val="auto"/>
          <w:kern w:val="0"/>
          <w:sz w:val="24"/>
          <w:szCs w:val="20"/>
          <w:lang w:val="en-US" w:eastAsia="zh-CN" w:bidi="ar-SA"/>
        </w:rPr>
        <w:t>发酵处理后用于项目区周边林带施肥</w:t>
      </w:r>
      <w:r>
        <w:rPr>
          <w:rFonts w:hint="eastAsia" w:ascii="Times New Roman" w:hAnsi="Times New Roman" w:eastAsia="宋体" w:cs="宋体"/>
          <w:strike w:val="0"/>
          <w:dstrike w:val="0"/>
          <w:color w:val="auto"/>
          <w:spacing w:val="-6"/>
          <w:sz w:val="24"/>
          <w:szCs w:val="24"/>
          <w:highlight w:val="none"/>
          <w:lang w:eastAsia="zh-CN"/>
        </w:rPr>
        <w:t>。</w:t>
      </w:r>
    </w:p>
    <w:p w14:paraId="636B0F10">
      <w:pPr>
        <w:ind w:firstLine="480"/>
        <w:rPr>
          <w:rFonts w:hint="eastAsia" w:ascii="Times New Roman" w:hAnsi="Times New Roman" w:eastAsia="宋体" w:cs="宋体"/>
          <w:strike w:val="0"/>
          <w:dstrike w:val="0"/>
          <w:color w:val="auto"/>
          <w:spacing w:val="-12"/>
          <w:sz w:val="24"/>
          <w:szCs w:val="24"/>
          <w:highlight w:val="none"/>
          <w:lang w:val="en-US" w:eastAsia="zh-CN"/>
        </w:rPr>
      </w:pPr>
      <w:r>
        <w:rPr>
          <w:rFonts w:hint="eastAsia" w:ascii="Times New Roman" w:hAnsi="Times New Roman" w:eastAsia="宋体" w:cs="宋体"/>
          <w:strike w:val="0"/>
          <w:dstrike w:val="0"/>
          <w:color w:val="auto"/>
          <w:spacing w:val="-12"/>
          <w:sz w:val="24"/>
          <w:szCs w:val="24"/>
          <w:highlight w:val="none"/>
          <w:lang w:val="en-US" w:eastAsia="zh-CN"/>
        </w:rPr>
        <w:t>（2）</w:t>
      </w:r>
      <w:r>
        <w:rPr>
          <w:rFonts w:hint="eastAsia" w:ascii="Times New Roman" w:hAnsi="Times New Roman" w:eastAsia="宋体" w:cs="宋体"/>
          <w:strike w:val="0"/>
          <w:dstrike w:val="0"/>
          <w:color w:val="auto"/>
          <w:spacing w:val="-12"/>
          <w:sz w:val="24"/>
          <w:szCs w:val="24"/>
          <w:highlight w:val="none"/>
          <w:lang w:val="en-US" w:eastAsia="zh-CN"/>
        </w:rPr>
        <w:t>挤奶厅</w:t>
      </w:r>
      <w:r>
        <w:rPr>
          <w:rFonts w:hint="eastAsia" w:ascii="Times New Roman" w:hAnsi="Times New Roman" w:eastAsia="宋体" w:cs="宋体"/>
          <w:strike w:val="0"/>
          <w:dstrike w:val="0"/>
          <w:color w:val="auto"/>
          <w:spacing w:val="-12"/>
          <w:sz w:val="24"/>
          <w:szCs w:val="24"/>
          <w:highlight w:val="none"/>
          <w:lang w:val="en-US" w:eastAsia="zh-CN"/>
        </w:rPr>
        <w:t>（待挤区）</w:t>
      </w:r>
      <w:r>
        <w:rPr>
          <w:rFonts w:hint="eastAsia" w:ascii="Times New Roman" w:hAnsi="Times New Roman" w:eastAsia="宋体" w:cs="宋体"/>
          <w:strike w:val="0"/>
          <w:dstrike w:val="0"/>
          <w:color w:val="auto"/>
          <w:spacing w:val="-12"/>
          <w:sz w:val="24"/>
          <w:szCs w:val="24"/>
          <w:highlight w:val="none"/>
          <w:lang w:val="en-US" w:eastAsia="zh-CN"/>
        </w:rPr>
        <w:t>清洗废水</w:t>
      </w:r>
    </w:p>
    <w:p w14:paraId="17CCB33D">
      <w:pPr>
        <w:ind w:firstLine="480"/>
        <w:rPr>
          <w:rFonts w:hint="eastAsia" w:ascii="Times New Roman" w:hAnsi="Times New Roman" w:eastAsia="宋体" w:cs="宋体"/>
          <w:strike w:val="0"/>
          <w:dstrike w:val="0"/>
          <w:color w:val="auto"/>
          <w:spacing w:val="-12"/>
          <w:sz w:val="24"/>
          <w:szCs w:val="24"/>
          <w:highlight w:val="none"/>
          <w:lang w:eastAsia="zh-CN"/>
        </w:rPr>
      </w:pPr>
      <w:r>
        <w:rPr>
          <w:rFonts w:hint="default" w:ascii="Times New Roman" w:hAnsi="Times New Roman" w:eastAsia="宋体" w:cs="宋体"/>
          <w:strike w:val="0"/>
          <w:dstrike w:val="0"/>
          <w:color w:val="auto"/>
          <w:spacing w:val="-12"/>
          <w:sz w:val="24"/>
          <w:szCs w:val="24"/>
          <w:highlight w:val="none"/>
          <w:lang w:val="en-US" w:eastAsia="zh-CN"/>
        </w:rPr>
        <w:t>挤奶厅清洗废水按照用水量的80%计算，则挤奶厅清洗废水排放量约为</w:t>
      </w:r>
      <w:r>
        <w:rPr>
          <w:rFonts w:hint="eastAsia" w:ascii="Times New Roman" w:hAnsi="Times New Roman" w:eastAsia="宋体" w:cs="宋体"/>
          <w:strike w:val="0"/>
          <w:dstrike w:val="0"/>
          <w:color w:val="auto"/>
          <w:spacing w:val="-12"/>
          <w:sz w:val="24"/>
          <w:szCs w:val="24"/>
          <w:highlight w:val="none"/>
          <w:lang w:val="en-US" w:eastAsia="zh-CN"/>
        </w:rPr>
        <w:t>1226.4</w:t>
      </w:r>
      <w:r>
        <w:rPr>
          <w:rFonts w:hint="default" w:ascii="Times New Roman" w:hAnsi="Times New Roman" w:eastAsia="宋体" w:cs="宋体"/>
          <w:strike w:val="0"/>
          <w:dstrike w:val="0"/>
          <w:color w:val="auto"/>
          <w:spacing w:val="-12"/>
          <w:sz w:val="24"/>
          <w:szCs w:val="24"/>
          <w:highlight w:val="none"/>
          <w:lang w:val="en-US" w:eastAsia="zh-CN"/>
        </w:rPr>
        <w:t>m</w:t>
      </w:r>
      <w:r>
        <w:rPr>
          <w:rFonts w:hint="default" w:ascii="Times New Roman" w:hAnsi="Times New Roman" w:eastAsia="宋体" w:cs="宋体"/>
          <w:strike w:val="0"/>
          <w:dstrike w:val="0"/>
          <w:color w:val="auto"/>
          <w:spacing w:val="-12"/>
          <w:sz w:val="24"/>
          <w:szCs w:val="24"/>
          <w:highlight w:val="none"/>
          <w:vertAlign w:val="superscript"/>
          <w:lang w:val="en-US" w:eastAsia="zh-CN"/>
        </w:rPr>
        <w:t>3</w:t>
      </w:r>
      <w:r>
        <w:rPr>
          <w:rFonts w:hint="default" w:ascii="Times New Roman" w:hAnsi="Times New Roman" w:eastAsia="宋体" w:cs="宋体"/>
          <w:strike w:val="0"/>
          <w:dstrike w:val="0"/>
          <w:color w:val="auto"/>
          <w:spacing w:val="-12"/>
          <w:sz w:val="24"/>
          <w:szCs w:val="24"/>
          <w:highlight w:val="none"/>
          <w:lang w:val="en-US" w:eastAsia="zh-CN"/>
        </w:rPr>
        <w:t>/a</w:t>
      </w:r>
      <w:r>
        <w:rPr>
          <w:rFonts w:hint="eastAsia" w:ascii="Times New Roman" w:hAnsi="Times New Roman" w:eastAsia="宋体" w:cs="宋体"/>
          <w:strike w:val="0"/>
          <w:dstrike w:val="0"/>
          <w:color w:val="auto"/>
          <w:spacing w:val="-12"/>
          <w:sz w:val="24"/>
          <w:szCs w:val="24"/>
          <w:highlight w:val="none"/>
          <w:lang w:val="en-US" w:eastAsia="zh-CN"/>
        </w:rPr>
        <w:t>，主要污染物为</w:t>
      </w:r>
      <w:r>
        <w:rPr>
          <w:rFonts w:hint="eastAsia" w:ascii="Times New Roman" w:hAnsi="Times New Roman" w:eastAsia="宋体"/>
          <w:strike w:val="0"/>
          <w:dstrike w:val="0"/>
          <w:color w:val="auto"/>
          <w:highlight w:val="none"/>
        </w:rPr>
        <w:t>COD</w:t>
      </w:r>
      <w:r>
        <w:rPr>
          <w:rFonts w:hint="eastAsia" w:ascii="Times New Roman" w:hAnsi="Times New Roman" w:eastAsia="宋体"/>
          <w:strike w:val="0"/>
          <w:dstrike w:val="0"/>
          <w:color w:val="auto"/>
          <w:highlight w:val="none"/>
          <w:vertAlign w:val="baseline"/>
          <w:lang w:eastAsia="zh-CN"/>
        </w:rPr>
        <w:t>、</w:t>
      </w:r>
      <w:r>
        <w:rPr>
          <w:rFonts w:hint="eastAsia" w:ascii="Times New Roman" w:hAnsi="Times New Roman" w:eastAsia="宋体"/>
          <w:strike w:val="0"/>
          <w:dstrike w:val="0"/>
          <w:color w:val="auto"/>
          <w:highlight w:val="none"/>
        </w:rPr>
        <w:t>BOD</w:t>
      </w:r>
      <w:r>
        <w:rPr>
          <w:rFonts w:hint="eastAsia" w:ascii="Times New Roman" w:hAnsi="Times New Roman" w:eastAsia="宋体"/>
          <w:strike w:val="0"/>
          <w:dstrike w:val="0"/>
          <w:color w:val="auto"/>
          <w:highlight w:val="none"/>
          <w:vertAlign w:val="subscript"/>
        </w:rPr>
        <w:t>5</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rPr>
        <w:t>SS</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氨氮等，</w:t>
      </w:r>
      <w:r>
        <w:rPr>
          <w:rFonts w:hint="eastAsia" w:ascii="Times New Roman" w:hAnsi="Times New Roman" w:eastAsia="宋体" w:cs="宋体"/>
          <w:strike w:val="0"/>
          <w:dstrike w:val="0"/>
          <w:color w:val="auto"/>
          <w:spacing w:val="-12"/>
          <w:sz w:val="24"/>
          <w:szCs w:val="24"/>
          <w:highlight w:val="none"/>
        </w:rPr>
        <w:t>经地下排污管道自流至舍外黑膜池，发酵处理后用于项目区周边林带施肥</w:t>
      </w:r>
      <w:r>
        <w:rPr>
          <w:rFonts w:hint="eastAsia" w:ascii="Times New Roman" w:hAnsi="Times New Roman" w:eastAsia="宋体" w:cs="宋体"/>
          <w:strike w:val="0"/>
          <w:dstrike w:val="0"/>
          <w:color w:val="auto"/>
          <w:spacing w:val="-12"/>
          <w:sz w:val="24"/>
          <w:szCs w:val="24"/>
          <w:highlight w:val="none"/>
          <w:lang w:eastAsia="zh-CN"/>
        </w:rPr>
        <w:t>。</w:t>
      </w:r>
    </w:p>
    <w:p w14:paraId="646905A9">
      <w:pPr>
        <w:ind w:firstLine="480"/>
        <w:rPr>
          <w:rFonts w:hint="default" w:ascii="Times New Roman" w:hAnsi="Times New Roman" w:eastAsia="宋体" w:cs="宋体"/>
          <w:strike w:val="0"/>
          <w:dstrike w:val="0"/>
          <w:color w:val="auto"/>
          <w:spacing w:val="-12"/>
          <w:sz w:val="24"/>
          <w:szCs w:val="24"/>
          <w:highlight w:val="none"/>
          <w:lang w:val="en-US" w:eastAsia="zh-CN"/>
        </w:rPr>
      </w:pPr>
      <w:r>
        <w:rPr>
          <w:rFonts w:hint="eastAsia" w:ascii="Times New Roman" w:hAnsi="Times New Roman" w:eastAsia="宋体" w:cs="宋体"/>
          <w:strike w:val="0"/>
          <w:dstrike w:val="0"/>
          <w:color w:val="auto"/>
          <w:spacing w:val="-12"/>
          <w:sz w:val="24"/>
          <w:szCs w:val="24"/>
          <w:highlight w:val="none"/>
          <w:lang w:eastAsia="zh-CN"/>
        </w:rPr>
        <w:t>（</w:t>
      </w:r>
      <w:r>
        <w:rPr>
          <w:rFonts w:hint="eastAsia" w:ascii="Times New Roman" w:hAnsi="Times New Roman" w:eastAsia="宋体" w:cs="宋体"/>
          <w:strike w:val="0"/>
          <w:dstrike w:val="0"/>
          <w:color w:val="auto"/>
          <w:spacing w:val="-12"/>
          <w:sz w:val="24"/>
          <w:szCs w:val="24"/>
          <w:highlight w:val="none"/>
          <w:lang w:val="en-US" w:eastAsia="zh-CN"/>
        </w:rPr>
        <w:t>3</w:t>
      </w:r>
      <w:r>
        <w:rPr>
          <w:rFonts w:hint="eastAsia" w:ascii="Times New Roman" w:hAnsi="Times New Roman" w:eastAsia="宋体" w:cs="宋体"/>
          <w:strike w:val="0"/>
          <w:dstrike w:val="0"/>
          <w:color w:val="auto"/>
          <w:spacing w:val="-12"/>
          <w:sz w:val="24"/>
          <w:szCs w:val="24"/>
          <w:highlight w:val="none"/>
          <w:lang w:eastAsia="zh-CN"/>
        </w:rPr>
        <w:t>）</w:t>
      </w:r>
      <w:r>
        <w:rPr>
          <w:rFonts w:hint="eastAsia" w:ascii="Times New Roman" w:hAnsi="Times New Roman" w:eastAsia="宋体" w:cs="宋体"/>
          <w:strike w:val="0"/>
          <w:dstrike w:val="0"/>
          <w:color w:val="auto"/>
          <w:spacing w:val="-12"/>
          <w:sz w:val="24"/>
          <w:szCs w:val="24"/>
          <w:highlight w:val="none"/>
          <w:lang w:val="en-US" w:eastAsia="zh-CN"/>
        </w:rPr>
        <w:t>挤奶设备清洗用水</w:t>
      </w:r>
    </w:p>
    <w:p w14:paraId="1867495D">
      <w:pPr>
        <w:ind w:firstLine="480"/>
        <w:rPr>
          <w:rFonts w:hint="eastAsia" w:ascii="Times New Roman" w:hAnsi="Times New Roman" w:eastAsia="宋体" w:cs="宋体"/>
          <w:strike w:val="0"/>
          <w:dstrike w:val="0"/>
          <w:color w:val="auto"/>
          <w:spacing w:val="-12"/>
          <w:sz w:val="24"/>
          <w:szCs w:val="24"/>
          <w:highlight w:val="none"/>
          <w:lang w:eastAsia="zh-CN"/>
        </w:rPr>
      </w:pPr>
      <w:r>
        <w:rPr>
          <w:rFonts w:hint="default" w:ascii="Times New Roman" w:hAnsi="Times New Roman" w:eastAsia="宋体" w:cs="宋体"/>
          <w:strike w:val="0"/>
          <w:dstrike w:val="0"/>
          <w:color w:val="auto"/>
          <w:spacing w:val="-12"/>
          <w:sz w:val="24"/>
          <w:szCs w:val="24"/>
          <w:highlight w:val="none"/>
          <w:lang w:val="en-US" w:eastAsia="zh-CN"/>
        </w:rPr>
        <w:t>挤奶</w:t>
      </w:r>
      <w:r>
        <w:rPr>
          <w:rFonts w:hint="eastAsia" w:ascii="Times New Roman" w:hAnsi="Times New Roman" w:eastAsia="宋体" w:cs="宋体"/>
          <w:strike w:val="0"/>
          <w:dstrike w:val="0"/>
          <w:color w:val="auto"/>
          <w:spacing w:val="-12"/>
          <w:sz w:val="24"/>
          <w:szCs w:val="24"/>
          <w:highlight w:val="none"/>
          <w:lang w:val="en-US" w:eastAsia="zh-CN"/>
        </w:rPr>
        <w:t>设备</w:t>
      </w:r>
      <w:r>
        <w:rPr>
          <w:rFonts w:hint="default" w:ascii="Times New Roman" w:hAnsi="Times New Roman" w:eastAsia="宋体" w:cs="宋体"/>
          <w:strike w:val="0"/>
          <w:dstrike w:val="0"/>
          <w:color w:val="auto"/>
          <w:spacing w:val="-12"/>
          <w:sz w:val="24"/>
          <w:szCs w:val="24"/>
          <w:highlight w:val="none"/>
          <w:lang w:val="en-US" w:eastAsia="zh-CN"/>
        </w:rPr>
        <w:t>洗废水按照用水量的80%计算，则</w:t>
      </w:r>
      <w:r>
        <w:rPr>
          <w:rFonts w:hint="eastAsia" w:ascii="Times New Roman" w:hAnsi="Times New Roman" w:eastAsia="宋体" w:cs="宋体"/>
          <w:strike w:val="0"/>
          <w:dstrike w:val="0"/>
          <w:color w:val="auto"/>
          <w:spacing w:val="-12"/>
          <w:sz w:val="24"/>
          <w:szCs w:val="24"/>
          <w:highlight w:val="none"/>
          <w:lang w:val="en-US" w:eastAsia="zh-CN"/>
        </w:rPr>
        <w:t>设备</w:t>
      </w:r>
      <w:r>
        <w:rPr>
          <w:rFonts w:hint="default" w:ascii="Times New Roman" w:hAnsi="Times New Roman" w:eastAsia="宋体" w:cs="宋体"/>
          <w:strike w:val="0"/>
          <w:dstrike w:val="0"/>
          <w:color w:val="auto"/>
          <w:spacing w:val="-12"/>
          <w:sz w:val="24"/>
          <w:szCs w:val="24"/>
          <w:highlight w:val="none"/>
          <w:lang w:val="en-US" w:eastAsia="zh-CN"/>
        </w:rPr>
        <w:t>清洗废水排放量约为</w:t>
      </w:r>
      <w:r>
        <w:rPr>
          <w:rFonts w:hint="eastAsia" w:ascii="Times New Roman" w:hAnsi="Times New Roman" w:eastAsia="宋体" w:cs="宋体"/>
          <w:strike w:val="0"/>
          <w:dstrike w:val="0"/>
          <w:color w:val="auto"/>
          <w:spacing w:val="-12"/>
          <w:sz w:val="24"/>
          <w:szCs w:val="24"/>
          <w:highlight w:val="none"/>
          <w:lang w:val="en-US" w:eastAsia="zh-CN"/>
        </w:rPr>
        <w:t>116.8</w:t>
      </w:r>
      <w:r>
        <w:rPr>
          <w:rFonts w:hint="default" w:ascii="Times New Roman" w:hAnsi="Times New Roman" w:eastAsia="宋体" w:cs="宋体"/>
          <w:strike w:val="0"/>
          <w:dstrike w:val="0"/>
          <w:color w:val="auto"/>
          <w:spacing w:val="-12"/>
          <w:sz w:val="24"/>
          <w:szCs w:val="24"/>
          <w:highlight w:val="none"/>
          <w:lang w:val="en-US" w:eastAsia="zh-CN"/>
        </w:rPr>
        <w:t>m</w:t>
      </w:r>
      <w:r>
        <w:rPr>
          <w:rFonts w:hint="default" w:ascii="Times New Roman" w:hAnsi="Times New Roman" w:eastAsia="宋体" w:cs="宋体"/>
          <w:strike w:val="0"/>
          <w:dstrike w:val="0"/>
          <w:color w:val="auto"/>
          <w:spacing w:val="-12"/>
          <w:sz w:val="24"/>
          <w:szCs w:val="24"/>
          <w:highlight w:val="none"/>
          <w:vertAlign w:val="superscript"/>
          <w:lang w:val="en-US" w:eastAsia="zh-CN"/>
        </w:rPr>
        <w:t>3</w:t>
      </w:r>
      <w:r>
        <w:rPr>
          <w:rFonts w:hint="default" w:ascii="Times New Roman" w:hAnsi="Times New Roman" w:eastAsia="宋体" w:cs="宋体"/>
          <w:strike w:val="0"/>
          <w:dstrike w:val="0"/>
          <w:color w:val="auto"/>
          <w:spacing w:val="-12"/>
          <w:sz w:val="24"/>
          <w:szCs w:val="24"/>
          <w:highlight w:val="none"/>
          <w:lang w:val="en-US" w:eastAsia="zh-CN"/>
        </w:rPr>
        <w:t>/a</w:t>
      </w:r>
      <w:r>
        <w:rPr>
          <w:rFonts w:hint="eastAsia" w:ascii="Times New Roman" w:hAnsi="Times New Roman" w:eastAsia="宋体" w:cs="宋体"/>
          <w:strike w:val="0"/>
          <w:dstrike w:val="0"/>
          <w:color w:val="auto"/>
          <w:spacing w:val="-12"/>
          <w:sz w:val="24"/>
          <w:szCs w:val="24"/>
          <w:highlight w:val="none"/>
          <w:lang w:val="en-US" w:eastAsia="zh-CN"/>
        </w:rPr>
        <w:t>，主要污染物为</w:t>
      </w:r>
      <w:r>
        <w:rPr>
          <w:rFonts w:hint="eastAsia" w:ascii="Times New Roman" w:hAnsi="Times New Roman" w:eastAsia="宋体"/>
          <w:strike w:val="0"/>
          <w:dstrike w:val="0"/>
          <w:color w:val="auto"/>
          <w:highlight w:val="none"/>
        </w:rPr>
        <w:t>COD</w:t>
      </w:r>
      <w:r>
        <w:rPr>
          <w:rFonts w:hint="eastAsia" w:ascii="Times New Roman" w:hAnsi="Times New Roman" w:eastAsia="宋体"/>
          <w:strike w:val="0"/>
          <w:dstrike w:val="0"/>
          <w:color w:val="auto"/>
          <w:highlight w:val="none"/>
          <w:vertAlign w:val="baseline"/>
          <w:lang w:eastAsia="zh-CN"/>
        </w:rPr>
        <w:t>、</w:t>
      </w:r>
      <w:r>
        <w:rPr>
          <w:rFonts w:hint="eastAsia" w:ascii="Times New Roman" w:hAnsi="Times New Roman" w:eastAsia="宋体"/>
          <w:strike w:val="0"/>
          <w:dstrike w:val="0"/>
          <w:color w:val="auto"/>
          <w:highlight w:val="none"/>
        </w:rPr>
        <w:t>BOD</w:t>
      </w:r>
      <w:r>
        <w:rPr>
          <w:rFonts w:hint="eastAsia" w:ascii="Times New Roman" w:hAnsi="Times New Roman" w:eastAsia="宋体"/>
          <w:strike w:val="0"/>
          <w:dstrike w:val="0"/>
          <w:color w:val="auto"/>
          <w:highlight w:val="none"/>
          <w:vertAlign w:val="subscript"/>
        </w:rPr>
        <w:t>5</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rPr>
        <w:t>SS</w:t>
      </w:r>
      <w:r>
        <w:rPr>
          <w:rFonts w:hint="eastAsia" w:ascii="Times New Roman" w:hAnsi="Times New Roman" w:eastAsia="宋体"/>
          <w:strike w:val="0"/>
          <w:dstrike w:val="0"/>
          <w:color w:val="auto"/>
          <w:highlight w:val="none"/>
          <w:lang w:val="en-US" w:eastAsia="zh-CN"/>
        </w:rPr>
        <w:t>和动植物油等，</w:t>
      </w:r>
      <w:r>
        <w:rPr>
          <w:rFonts w:hint="eastAsia" w:ascii="Times New Roman" w:hAnsi="Times New Roman" w:eastAsia="宋体" w:cs="宋体"/>
          <w:strike w:val="0"/>
          <w:dstrike w:val="0"/>
          <w:color w:val="auto"/>
          <w:spacing w:val="-12"/>
          <w:sz w:val="24"/>
          <w:szCs w:val="24"/>
          <w:highlight w:val="none"/>
        </w:rPr>
        <w:t>经地下排污管道自流至舍外黑膜池，发酵处理后用于项目区周边林带施肥</w:t>
      </w:r>
      <w:r>
        <w:rPr>
          <w:rFonts w:hint="eastAsia" w:ascii="Times New Roman" w:hAnsi="Times New Roman" w:eastAsia="宋体" w:cs="宋体"/>
          <w:strike w:val="0"/>
          <w:dstrike w:val="0"/>
          <w:color w:val="auto"/>
          <w:spacing w:val="-12"/>
          <w:sz w:val="24"/>
          <w:szCs w:val="24"/>
          <w:highlight w:val="none"/>
          <w:lang w:eastAsia="zh-CN"/>
        </w:rPr>
        <w:t>。</w:t>
      </w:r>
    </w:p>
    <w:p w14:paraId="33EBD93C">
      <w:pPr>
        <w:widowControl/>
        <w:spacing w:line="440" w:lineRule="exact"/>
        <w:ind w:firstLine="480" w:firstLineChars="200"/>
        <w:jc w:val="left"/>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本项目生产废水及生活污水经黑膜池厌氧发酵处理后</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用于周边林带及厂区绿化</w:t>
      </w:r>
      <w:r>
        <w:rPr>
          <w:rFonts w:hint="eastAsia" w:ascii="Times New Roman" w:hAnsi="Times New Roman" w:eastAsia="宋体" w:cs="宋体"/>
          <w:color w:val="auto"/>
          <w:kern w:val="0"/>
          <w:sz w:val="24"/>
          <w:lang w:val="en-US" w:eastAsia="zh-CN" w:bidi="ar"/>
        </w:rPr>
        <w:t>施肥</w:t>
      </w:r>
      <w:r>
        <w:rPr>
          <w:rFonts w:hint="eastAsia" w:ascii="Times New Roman" w:hAnsi="Times New Roman" w:eastAsia="宋体" w:cs="宋体"/>
          <w:color w:val="auto"/>
          <w:kern w:val="0"/>
          <w:sz w:val="24"/>
          <w:lang w:val="en-US" w:eastAsia="zh-CN" w:bidi="ar"/>
        </w:rPr>
        <w:t>。</w:t>
      </w:r>
    </w:p>
    <w:p w14:paraId="6FB6CE85">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.2.3固废</w:t>
      </w:r>
    </w:p>
    <w:p w14:paraId="5F313065">
      <w:pPr>
        <w:keepNext w:val="0"/>
        <w:keepLines w:val="0"/>
        <w:pageBreakBefore w:val="0"/>
        <w:widowControl w:val="0"/>
        <w:kinsoku/>
        <w:wordWrap/>
        <w:overflowPunct/>
        <w:topLinePunct w:val="0"/>
        <w:autoSpaceDE/>
        <w:autoSpaceDN/>
        <w:bidi w:val="0"/>
        <w:adjustRightInd/>
        <w:snapToGrid/>
        <w:spacing w:line="480" w:lineRule="exact"/>
        <w:ind w:left="0" w:right="0" w:firstLine="477"/>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本项目产生的固体废物主要为</w:t>
      </w:r>
      <w:r>
        <w:rPr>
          <w:rFonts w:hint="eastAsia" w:ascii="Times New Roman" w:hAnsi="Times New Roman" w:eastAsia="宋体" w:cs="宋体"/>
          <w:strike w:val="0"/>
          <w:dstrike w:val="0"/>
          <w:color w:val="auto"/>
          <w:spacing w:val="0"/>
          <w:sz w:val="24"/>
          <w:szCs w:val="24"/>
          <w:highlight w:val="none"/>
          <w:lang w:eastAsia="zh-CN"/>
        </w:rPr>
        <w:t>骆驼粪便、病死骆驼、分娩废弃物（胎衣、死胎、胎盘附属物）、挤奶大厅废弃的一次性挤奶耗材、塑料奶管、废弃包装物、生活垃圾、医疗废物、黑膜池污泥。</w:t>
      </w:r>
    </w:p>
    <w:p w14:paraId="4A98EA81">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1</w:t>
      </w:r>
      <w:r>
        <w:rPr>
          <w:rFonts w:hint="eastAsia" w:ascii="Times New Roman" w:hAnsi="Times New Roman" w:eastAsia="宋体" w:cs="宋体"/>
          <w:strike w:val="0"/>
          <w:dstrike w:val="0"/>
          <w:color w:val="auto"/>
          <w:spacing w:val="0"/>
          <w:sz w:val="24"/>
          <w:szCs w:val="24"/>
          <w:highlight w:val="none"/>
          <w:lang w:eastAsia="zh-CN"/>
        </w:rPr>
        <w:t>）骆驼粪便</w:t>
      </w:r>
    </w:p>
    <w:p w14:paraId="49637F02">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default" w:ascii="Times New Roman" w:hAnsi="Times New Roman" w:eastAsia="宋体" w:cs="宋体"/>
          <w:strike w:val="0"/>
          <w:dstrike w:val="0"/>
          <w:color w:val="auto"/>
          <w:spacing w:val="0"/>
          <w:sz w:val="24"/>
          <w:szCs w:val="24"/>
          <w:highlight w:val="none"/>
          <w:lang w:val="en-US" w:eastAsia="zh-CN"/>
        </w:rPr>
      </w:pPr>
      <w:r>
        <w:rPr>
          <w:rFonts w:ascii="Times New Roman" w:hAnsi="Times New Roman" w:eastAsia="宋体" w:cs="宋体"/>
          <w:strike w:val="0"/>
          <w:dstrike w:val="0"/>
          <w:color w:val="auto"/>
          <w:spacing w:val="0"/>
          <w:sz w:val="24"/>
          <w:szCs w:val="24"/>
          <w:highlight w:val="none"/>
        </w:rPr>
        <w:t>根据《</w:t>
      </w:r>
      <w:r>
        <w:rPr>
          <w:rFonts w:ascii="Times New Roman" w:hAnsi="Times New Roman" w:eastAsia="宋体"/>
          <w:strike w:val="0"/>
          <w:dstrike w:val="0"/>
          <w:color w:val="auto"/>
          <w:spacing w:val="0"/>
          <w:sz w:val="24"/>
          <w:highlight w:val="none"/>
        </w:rPr>
        <w:fldChar w:fldCharType="begin"/>
      </w:r>
      <w:r>
        <w:rPr>
          <w:rFonts w:ascii="Times New Roman" w:hAnsi="Times New Roman" w:eastAsia="宋体"/>
          <w:strike w:val="0"/>
          <w:dstrike w:val="0"/>
          <w:color w:val="auto"/>
          <w:spacing w:val="0"/>
          <w:sz w:val="24"/>
          <w:highlight w:val="none"/>
        </w:rPr>
        <w:instrText xml:space="preserve"> HYPERLINK "http://www.mee.gov.cn/ywgz/fgbz/bz/bzwb/pwxk/201906/W020190620431392417623.pdf" </w:instrText>
      </w:r>
      <w:r>
        <w:rPr>
          <w:rFonts w:ascii="Times New Roman" w:hAnsi="Times New Roman" w:eastAsia="宋体"/>
          <w:strike w:val="0"/>
          <w:dstrike w:val="0"/>
          <w:color w:val="auto"/>
          <w:spacing w:val="0"/>
          <w:sz w:val="24"/>
          <w:highlight w:val="none"/>
        </w:rPr>
        <w:fldChar w:fldCharType="separate"/>
      </w:r>
      <w:r>
        <w:rPr>
          <w:rFonts w:ascii="Times New Roman" w:hAnsi="Times New Roman" w:eastAsia="宋体" w:cs="宋体"/>
          <w:strike w:val="0"/>
          <w:dstrike w:val="0"/>
          <w:color w:val="auto"/>
          <w:spacing w:val="0"/>
          <w:sz w:val="24"/>
          <w:szCs w:val="24"/>
          <w:highlight w:val="none"/>
        </w:rPr>
        <w:t>排污许可证申请与核发技术规范畜禽养殖行业</w:t>
      </w:r>
      <w:r>
        <w:rPr>
          <w:rFonts w:ascii="Times New Roman" w:hAnsi="Times New Roman" w:eastAsia="宋体" w:cs="宋体"/>
          <w:strike w:val="0"/>
          <w:dstrike w:val="0"/>
          <w:color w:val="auto"/>
          <w:spacing w:val="0"/>
          <w:sz w:val="24"/>
          <w:szCs w:val="24"/>
          <w:highlight w:val="none"/>
        </w:rPr>
        <w:fldChar w:fldCharType="end"/>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HJ1029-2019</w:t>
      </w: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sz w:val="24"/>
          <w:szCs w:val="24"/>
          <w:highlight w:val="none"/>
          <w:lang w:val="en-US" w:eastAsia="zh-CN"/>
        </w:rPr>
        <w:t>每头生猪每天产生粪便1.24kg。根据《畜禽养殖业污染物排放标准》（GB1859-2001）的规定，将骆驼的养殖量换算成猪的养殖量，换算比例为：1峰骆驼换算成9头猪，本项目骆驼存栏量1015峰，骆驼换算后的量为9135头猪，则本项目骆驼粪便产生量约为11.3274t/d，4134.501t/a。骆驼粪便定期清运至堆肥场，经过处理后作为有机肥外售。</w:t>
      </w:r>
    </w:p>
    <w:p w14:paraId="597A395C">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2</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病死</w:t>
      </w:r>
      <w:r>
        <w:rPr>
          <w:rFonts w:hint="eastAsia" w:ascii="Times New Roman" w:hAnsi="Times New Roman" w:eastAsia="宋体" w:cs="宋体"/>
          <w:strike w:val="0"/>
          <w:dstrike w:val="0"/>
          <w:color w:val="auto"/>
          <w:spacing w:val="0"/>
          <w:sz w:val="24"/>
          <w:szCs w:val="24"/>
          <w:highlight w:val="none"/>
          <w:lang w:eastAsia="zh-CN"/>
        </w:rPr>
        <w:t>骆驼、分娩废弃物（胎衣、死胎、胎盘附属物）</w:t>
      </w:r>
    </w:p>
    <w:p w14:paraId="65A6908A">
      <w:pPr>
        <w:keepNext w:val="0"/>
        <w:keepLines w:val="0"/>
        <w:widowControl/>
        <w:suppressLineNumbers w:val="0"/>
        <w:jc w:val="left"/>
        <w:rPr>
          <w:rFonts w:hint="eastAsia" w:ascii="Times New Roman" w:hAnsi="Times New Roman" w:eastAsia="宋体" w:cs="宋体"/>
          <w:strike w:val="0"/>
          <w:dstrike w:val="0"/>
          <w:color w:val="auto"/>
          <w:spacing w:val="0"/>
          <w:sz w:val="24"/>
          <w:szCs w:val="24"/>
          <w:highlight w:val="none"/>
          <w:lang w:val="en-US" w:eastAsia="zh-CN"/>
        </w:rPr>
      </w:pPr>
      <w:r>
        <w:rPr>
          <w:rFonts w:hint="eastAsia" w:ascii="Times New Roman" w:hAnsi="Times New Roman" w:eastAsia="宋体" w:cs="宋体"/>
          <w:strike w:val="0"/>
          <w:dstrike w:val="0"/>
          <w:color w:val="auto"/>
          <w:spacing w:val="0"/>
          <w:sz w:val="24"/>
          <w:szCs w:val="24"/>
          <w:highlight w:val="none"/>
          <w:lang w:val="en-US" w:eastAsia="zh-CN"/>
        </w:rPr>
        <w:t>根据环办函〔2014〕789号文《关于病害动物无害化处理有关意见的复函》：“病害动物无害化处理项目由农业部门按照有关法律法规和技术规范进行监管，可以实现病害动物无害化处理和环境污染防控的目的，不宜再认定为危险废物集中处置项目。病害动物的无害化处理应执行《</w:t>
      </w:r>
      <w:r>
        <w:rPr>
          <w:rFonts w:hint="default" w:ascii="Times New Roman" w:hAnsi="Times New Roman" w:eastAsia="宋体" w:cs="Times New Roman"/>
          <w:strike w:val="0"/>
          <w:dstrike w:val="0"/>
          <w:color w:val="auto"/>
          <w:kern w:val="0"/>
          <w:sz w:val="24"/>
          <w:szCs w:val="20"/>
          <w:lang w:val="en-US" w:eastAsia="zh-CN" w:bidi="ar-SA"/>
        </w:rPr>
        <w:t>中华人民共和国动物防疫法</w:t>
      </w:r>
      <w:r>
        <w:rPr>
          <w:rFonts w:hint="eastAsia" w:ascii="Times New Roman" w:hAnsi="Times New Roman" w:eastAsia="宋体" w:cs="宋体"/>
          <w:strike w:val="0"/>
          <w:dstrike w:val="0"/>
          <w:color w:val="auto"/>
          <w:spacing w:val="0"/>
          <w:sz w:val="24"/>
          <w:szCs w:val="24"/>
          <w:highlight w:val="none"/>
          <w:lang w:val="en-US" w:eastAsia="zh-CN"/>
        </w:rPr>
        <w:t>》。”</w:t>
      </w:r>
    </w:p>
    <w:p w14:paraId="27A6BDC9">
      <w:pPr>
        <w:pStyle w:val="45"/>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cs="宋体"/>
          <w:strike w:val="0"/>
          <w:dstrike w:val="0"/>
          <w:color w:val="auto"/>
          <w:spacing w:val="0"/>
          <w:sz w:val="24"/>
          <w:szCs w:val="24"/>
          <w:highlight w:val="none"/>
          <w:lang w:val="en-US" w:eastAsia="zh-CN"/>
        </w:rPr>
      </w:pPr>
      <w:r>
        <w:rPr>
          <w:rFonts w:hint="eastAsia" w:ascii="Times New Roman" w:hAnsi="Times New Roman" w:eastAsia="宋体" w:cs="宋体"/>
          <w:strike w:val="0"/>
          <w:dstrike w:val="0"/>
          <w:color w:val="auto"/>
          <w:spacing w:val="0"/>
          <w:sz w:val="24"/>
          <w:szCs w:val="24"/>
          <w:highlight w:val="none"/>
          <w:lang w:val="en-US" w:eastAsia="zh-CN"/>
        </w:rPr>
        <w:t>根据建设方提供的资料和以往养殖经验可知，骆驼繁殖成活率为99%，骆驼存栏量1015峰，则年死亡骆驼约11峰，每峰成年骆驼重约500kg，合计5.5t，根据建设单位提供资料本项目分娩废弃物（胎衣、死胎、胎盘附属物）年产生量合计0.5t。</w:t>
      </w:r>
    </w:p>
    <w:p w14:paraId="4EE99CB2">
      <w:pPr>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strike w:val="0"/>
          <w:dstrike w:val="0"/>
          <w:color w:val="auto"/>
          <w:sz w:val="24"/>
          <w:lang w:val="en-US" w:eastAsia="zh-CN"/>
        </w:rPr>
      </w:pPr>
      <w:r>
        <w:rPr>
          <w:rFonts w:hint="eastAsia" w:ascii="Times New Roman" w:hAnsi="Times New Roman" w:eastAsia="宋体" w:cs="宋体"/>
          <w:strike w:val="0"/>
          <w:dstrike w:val="0"/>
          <w:color w:val="auto"/>
          <w:spacing w:val="0"/>
          <w:sz w:val="24"/>
          <w:szCs w:val="24"/>
          <w:highlight w:val="none"/>
          <w:lang w:val="en-US" w:eastAsia="zh-CN"/>
        </w:rPr>
        <w:t>本项目场区内病死骆驼</w:t>
      </w:r>
      <w:r>
        <w:rPr>
          <w:rFonts w:hint="eastAsia" w:ascii="Times New Roman" w:hAnsi="Times New Roman" w:eastAsia="宋体" w:cs="宋体"/>
          <w:strike w:val="0"/>
          <w:dstrike w:val="0"/>
          <w:color w:val="auto"/>
          <w:spacing w:val="0"/>
          <w:sz w:val="24"/>
          <w:szCs w:val="24"/>
          <w:highlight w:val="none"/>
          <w:lang w:val="en-US" w:eastAsia="zh-CN"/>
        </w:rPr>
        <w:t>、分娩废弃物（胎衣、死胎、胎盘附属物）</w:t>
      </w:r>
      <w:r>
        <w:rPr>
          <w:rFonts w:hint="eastAsia" w:ascii="Times New Roman" w:hAnsi="Times New Roman" w:eastAsia="宋体" w:cs="宋体"/>
          <w:strike w:val="0"/>
          <w:dstrike w:val="0"/>
          <w:color w:val="auto"/>
          <w:spacing w:val="0"/>
          <w:sz w:val="24"/>
          <w:szCs w:val="24"/>
          <w:highlight w:val="none"/>
          <w:lang w:val="en-US" w:eastAsia="zh-CN"/>
        </w:rPr>
        <w:t>委托具有合法资质的无害化处理单位进行无害化处理</w:t>
      </w:r>
      <w:r>
        <w:rPr>
          <w:rFonts w:hint="eastAsia" w:ascii="Times New Roman" w:hAnsi="Times New Roman" w:eastAsia="宋体" w:cs="宋体"/>
          <w:strike w:val="0"/>
          <w:dstrike w:val="0"/>
          <w:color w:val="auto"/>
          <w:spacing w:val="0"/>
          <w:sz w:val="24"/>
          <w:szCs w:val="24"/>
          <w:highlight w:val="none"/>
          <w:lang w:val="en-US" w:eastAsia="zh-CN"/>
        </w:rPr>
        <w:t>。</w:t>
      </w:r>
    </w:p>
    <w:p w14:paraId="0C984A1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3</w:t>
      </w: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eastAsia="zh-CN"/>
        </w:rPr>
        <w:t>挤奶大厅废弃的一次性挤奶耗材、塑料奶管、</w:t>
      </w:r>
      <w:r>
        <w:rPr>
          <w:rFonts w:ascii="Times New Roman" w:hAnsi="Times New Roman" w:eastAsia="宋体" w:cs="宋体"/>
          <w:strike w:val="0"/>
          <w:dstrike w:val="0"/>
          <w:color w:val="auto"/>
          <w:spacing w:val="0"/>
          <w:kern w:val="0"/>
          <w:sz w:val="24"/>
          <w:szCs w:val="24"/>
          <w:highlight w:val="none"/>
        </w:rPr>
        <w:t>废弃包装物</w:t>
      </w:r>
    </w:p>
    <w:p w14:paraId="09A45FD4">
      <w:pPr>
        <w:keepNext w:val="0"/>
        <w:keepLines w:val="0"/>
        <w:pageBreakBefore w:val="0"/>
        <w:widowControl w:val="0"/>
        <w:kinsoku/>
        <w:wordWrap/>
        <w:overflowPunct/>
        <w:topLinePunct w:val="0"/>
        <w:autoSpaceDE/>
        <w:autoSpaceDN/>
        <w:bidi w:val="0"/>
        <w:adjustRightInd/>
        <w:snapToGrid/>
        <w:spacing w:line="480" w:lineRule="exact"/>
        <w:ind w:left="0" w:right="0" w:firstLine="478"/>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kern w:val="0"/>
          <w:sz w:val="24"/>
          <w:szCs w:val="24"/>
          <w:highlight w:val="none"/>
          <w:lang w:val="en-US" w:eastAsia="zh-CN"/>
        </w:rPr>
        <w:t>本项目挤奶过程中会产生</w:t>
      </w:r>
      <w:r>
        <w:rPr>
          <w:rFonts w:hint="eastAsia" w:ascii="Times New Roman" w:hAnsi="Times New Roman" w:eastAsia="宋体" w:cs="宋体"/>
          <w:strike w:val="0"/>
          <w:dstrike w:val="0"/>
          <w:color w:val="auto"/>
          <w:spacing w:val="0"/>
          <w:kern w:val="0"/>
          <w:sz w:val="24"/>
          <w:szCs w:val="24"/>
          <w:highlight w:val="none"/>
          <w:lang w:eastAsia="zh-CN"/>
        </w:rPr>
        <w:t>一次性挤奶耗材、塑料奶管，</w:t>
      </w:r>
      <w:r>
        <w:rPr>
          <w:rFonts w:ascii="Times New Roman" w:hAnsi="Times New Roman" w:eastAsia="宋体" w:cs="宋体"/>
          <w:strike w:val="0"/>
          <w:dstrike w:val="0"/>
          <w:color w:val="auto"/>
          <w:spacing w:val="0"/>
          <w:kern w:val="0"/>
          <w:sz w:val="24"/>
          <w:szCs w:val="24"/>
          <w:highlight w:val="none"/>
        </w:rPr>
        <w:t>外购饲料会产生废包装袋，</w:t>
      </w:r>
      <w:r>
        <w:rPr>
          <w:rFonts w:ascii="Times New Roman" w:hAnsi="Times New Roman" w:eastAsia="宋体" w:cs="宋体"/>
          <w:strike w:val="0"/>
          <w:dstrike w:val="0"/>
          <w:color w:val="auto"/>
          <w:spacing w:val="0"/>
          <w:sz w:val="24"/>
          <w:szCs w:val="24"/>
          <w:highlight w:val="none"/>
        </w:rPr>
        <w:t>根据类比同类企业，废弃包装物产生量约为</w:t>
      </w:r>
      <w:r>
        <w:rPr>
          <w:rFonts w:ascii="Times New Roman" w:hAnsi="Times New Roman" w:eastAsia="宋体" w:cs="Times New Roman"/>
          <w:strike w:val="0"/>
          <w:dstrike w:val="0"/>
          <w:color w:val="auto"/>
          <w:spacing w:val="0"/>
          <w:sz w:val="24"/>
          <w:szCs w:val="24"/>
          <w:highlight w:val="none"/>
        </w:rPr>
        <w:t>1.2t/a</w:t>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val="en-US" w:eastAsia="zh-CN"/>
        </w:rPr>
        <w:t>全部</w:t>
      </w:r>
      <w:r>
        <w:rPr>
          <w:rFonts w:ascii="Times New Roman" w:hAnsi="Times New Roman" w:eastAsia="宋体" w:cs="宋体"/>
          <w:strike w:val="0"/>
          <w:dstrike w:val="0"/>
          <w:color w:val="auto"/>
          <w:spacing w:val="0"/>
          <w:sz w:val="24"/>
          <w:szCs w:val="24"/>
          <w:highlight w:val="none"/>
        </w:rPr>
        <w:t>外售</w:t>
      </w:r>
      <w:r>
        <w:rPr>
          <w:rFonts w:hint="eastAsia" w:ascii="Times New Roman" w:hAnsi="Times New Roman" w:eastAsia="宋体" w:cs="宋体"/>
          <w:strike w:val="0"/>
          <w:dstrike w:val="0"/>
          <w:color w:val="auto"/>
          <w:spacing w:val="0"/>
          <w:sz w:val="24"/>
          <w:szCs w:val="24"/>
          <w:highlight w:val="none"/>
          <w:lang w:eastAsia="zh-CN"/>
        </w:rPr>
        <w:t>。</w:t>
      </w:r>
    </w:p>
    <w:p w14:paraId="735827AE">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4</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生活垃圾</w:t>
      </w:r>
    </w:p>
    <w:p w14:paraId="7DAF2977">
      <w:pPr>
        <w:keepNext w:val="0"/>
        <w:keepLines w:val="0"/>
        <w:pageBreakBefore w:val="0"/>
        <w:widowControl w:val="0"/>
        <w:kinsoku/>
        <w:wordWrap/>
        <w:overflowPunct/>
        <w:topLinePunct w:val="0"/>
        <w:autoSpaceDE/>
        <w:autoSpaceDN/>
        <w:bidi w:val="0"/>
        <w:adjustRightInd/>
        <w:snapToGrid/>
        <w:spacing w:line="480" w:lineRule="exact"/>
        <w:ind w:left="0" w:right="0" w:firstLine="479"/>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本项目职工人数为</w:t>
      </w:r>
      <w:r>
        <w:rPr>
          <w:rFonts w:hint="eastAsia" w:ascii="Times New Roman" w:hAnsi="Times New Roman" w:eastAsia="宋体" w:cs="Times New Roman"/>
          <w:strike w:val="0"/>
          <w:dstrike w:val="0"/>
          <w:color w:val="auto"/>
          <w:spacing w:val="0"/>
          <w:sz w:val="24"/>
          <w:szCs w:val="24"/>
          <w:highlight w:val="none"/>
          <w:lang w:val="en-US" w:eastAsia="zh-CN"/>
        </w:rPr>
        <w:t>50</w:t>
      </w:r>
      <w:r>
        <w:rPr>
          <w:rFonts w:ascii="Times New Roman" w:hAnsi="Times New Roman" w:eastAsia="宋体" w:cs="宋体"/>
          <w:strike w:val="0"/>
          <w:dstrike w:val="0"/>
          <w:color w:val="auto"/>
          <w:spacing w:val="0"/>
          <w:sz w:val="24"/>
          <w:szCs w:val="24"/>
          <w:highlight w:val="none"/>
        </w:rPr>
        <w:t>人，年工作</w:t>
      </w:r>
      <w:r>
        <w:rPr>
          <w:rFonts w:ascii="Times New Roman" w:hAnsi="Times New Roman" w:eastAsia="宋体" w:cs="Times New Roman"/>
          <w:strike w:val="0"/>
          <w:dstrike w:val="0"/>
          <w:color w:val="auto"/>
          <w:spacing w:val="0"/>
          <w:sz w:val="24"/>
          <w:szCs w:val="24"/>
          <w:highlight w:val="none"/>
        </w:rPr>
        <w:t>365</w:t>
      </w:r>
      <w:r>
        <w:rPr>
          <w:rFonts w:ascii="Times New Roman" w:hAnsi="Times New Roman" w:eastAsia="宋体" w:cs="宋体"/>
          <w:strike w:val="0"/>
          <w:dstrike w:val="0"/>
          <w:color w:val="auto"/>
          <w:spacing w:val="0"/>
          <w:sz w:val="24"/>
          <w:szCs w:val="24"/>
          <w:highlight w:val="none"/>
        </w:rPr>
        <w:t>天，生活垃圾按</w:t>
      </w:r>
      <w:r>
        <w:rPr>
          <w:rFonts w:ascii="Times New Roman" w:hAnsi="Times New Roman" w:eastAsia="宋体" w:cs="Times New Roman"/>
          <w:strike w:val="0"/>
          <w:dstrike w:val="0"/>
          <w:color w:val="auto"/>
          <w:spacing w:val="0"/>
          <w:sz w:val="24"/>
          <w:szCs w:val="24"/>
          <w:highlight w:val="none"/>
        </w:rPr>
        <w:t>0.5kg/</w:t>
      </w:r>
      <w:r>
        <w:rPr>
          <w:rFonts w:ascii="Times New Roman" w:hAnsi="Times New Roman" w:eastAsia="宋体" w:cs="宋体"/>
          <w:strike w:val="0"/>
          <w:dstrike w:val="0"/>
          <w:color w:val="auto"/>
          <w:spacing w:val="0"/>
          <w:sz w:val="24"/>
          <w:szCs w:val="24"/>
          <w:highlight w:val="none"/>
        </w:rPr>
        <w:t>人</w:t>
      </w:r>
      <w:r>
        <w:rPr>
          <w:rFonts w:ascii="Times New Roman" w:hAnsi="Times New Roman" w:eastAsia="宋体" w:cs="Times New Roman"/>
          <w:strike w:val="0"/>
          <w:dstrike w:val="0"/>
          <w:color w:val="auto"/>
          <w:spacing w:val="0"/>
          <w:sz w:val="24"/>
          <w:szCs w:val="24"/>
          <w:highlight w:val="none"/>
        </w:rPr>
        <w:t>·d</w:t>
      </w:r>
      <w:r>
        <w:rPr>
          <w:rFonts w:ascii="Times New Roman" w:hAnsi="Times New Roman" w:eastAsia="宋体" w:cs="宋体"/>
          <w:strike w:val="0"/>
          <w:dstrike w:val="0"/>
          <w:color w:val="auto"/>
          <w:spacing w:val="0"/>
          <w:sz w:val="24"/>
          <w:szCs w:val="24"/>
          <w:highlight w:val="none"/>
        </w:rPr>
        <w:t>计，生活垃圾产生量为</w:t>
      </w:r>
      <w:r>
        <w:rPr>
          <w:rFonts w:hint="eastAsia" w:ascii="Times New Roman" w:hAnsi="Times New Roman" w:eastAsia="宋体" w:cs="Times New Roman"/>
          <w:strike w:val="0"/>
          <w:dstrike w:val="0"/>
          <w:color w:val="auto"/>
          <w:spacing w:val="0"/>
          <w:sz w:val="24"/>
          <w:szCs w:val="24"/>
          <w:highlight w:val="none"/>
          <w:lang w:val="en-US" w:eastAsia="zh-CN"/>
        </w:rPr>
        <w:t>25</w:t>
      </w:r>
      <w:r>
        <w:rPr>
          <w:rFonts w:ascii="Times New Roman" w:hAnsi="Times New Roman" w:eastAsia="宋体" w:cs="Times New Roman"/>
          <w:strike w:val="0"/>
          <w:dstrike w:val="0"/>
          <w:color w:val="auto"/>
          <w:spacing w:val="0"/>
          <w:sz w:val="24"/>
          <w:szCs w:val="24"/>
          <w:highlight w:val="none"/>
        </w:rPr>
        <w:t>kg/d</w:t>
      </w:r>
      <w:r>
        <w:rPr>
          <w:rFonts w:ascii="Times New Roman" w:hAnsi="Times New Roman" w:eastAsia="宋体" w:cs="宋体"/>
          <w:strike w:val="0"/>
          <w:dstrike w:val="0"/>
          <w:color w:val="auto"/>
          <w:spacing w:val="0"/>
          <w:sz w:val="24"/>
          <w:szCs w:val="24"/>
          <w:highlight w:val="none"/>
        </w:rPr>
        <w:t>，即</w:t>
      </w:r>
      <w:r>
        <w:rPr>
          <w:rFonts w:hint="eastAsia" w:ascii="Times New Roman" w:hAnsi="Times New Roman" w:eastAsia="宋体" w:cs="Times New Roman"/>
          <w:strike w:val="0"/>
          <w:dstrike w:val="0"/>
          <w:color w:val="auto"/>
          <w:spacing w:val="0"/>
          <w:sz w:val="24"/>
          <w:szCs w:val="24"/>
          <w:highlight w:val="none"/>
          <w:lang w:val="en-US" w:eastAsia="zh-CN"/>
        </w:rPr>
        <w:t>9.125</w:t>
      </w:r>
      <w:r>
        <w:rPr>
          <w:rFonts w:ascii="Times New Roman" w:hAnsi="Times New Roman" w:eastAsia="宋体" w:cs="Times New Roman"/>
          <w:strike w:val="0"/>
          <w:dstrike w:val="0"/>
          <w:color w:val="auto"/>
          <w:spacing w:val="0"/>
          <w:sz w:val="24"/>
          <w:szCs w:val="24"/>
          <w:highlight w:val="none"/>
        </w:rPr>
        <w:t>t/a</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生活垃圾集中收集由当地环卫部门处置</w:t>
      </w:r>
      <w:r>
        <w:rPr>
          <w:rFonts w:hint="eastAsia" w:ascii="Times New Roman" w:hAnsi="Times New Roman" w:eastAsia="宋体" w:cs="宋体"/>
          <w:strike w:val="0"/>
          <w:dstrike w:val="0"/>
          <w:color w:val="auto"/>
          <w:spacing w:val="0"/>
          <w:sz w:val="24"/>
          <w:szCs w:val="24"/>
          <w:highlight w:val="none"/>
          <w:lang w:eastAsia="zh-CN"/>
        </w:rPr>
        <w:t>。</w:t>
      </w:r>
    </w:p>
    <w:p w14:paraId="532CDA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5</w:t>
      </w: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val="en-US" w:eastAsia="zh-CN"/>
        </w:rPr>
        <w:t>黑膜池污泥</w:t>
      </w:r>
    </w:p>
    <w:p w14:paraId="5CD2A8F8">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olor w:val="auto"/>
          <w:sz w:val="24"/>
        </w:rPr>
      </w:pPr>
      <w:r>
        <w:rPr>
          <w:rFonts w:hint="eastAsia" w:ascii="Times New Roman" w:hAnsi="Times New Roman" w:eastAsia="宋体" w:cs="宋体"/>
          <w:color w:val="auto"/>
          <w:kern w:val="0"/>
          <w:sz w:val="24"/>
          <w:highlight w:val="none"/>
          <w:lang w:val="en-US" w:eastAsia="zh-CN" w:bidi="ar"/>
        </w:rPr>
        <w:t>本</w:t>
      </w:r>
      <w:r>
        <w:rPr>
          <w:rFonts w:hint="eastAsia" w:ascii="Times New Roman" w:hAnsi="Times New Roman" w:eastAsia="宋体" w:cs="宋体"/>
          <w:color w:val="auto"/>
          <w:kern w:val="0"/>
          <w:sz w:val="24"/>
          <w:highlight w:val="none"/>
          <w:lang w:bidi="ar"/>
        </w:rPr>
        <w:t>项目拟自建</w:t>
      </w:r>
      <w:r>
        <w:rPr>
          <w:rFonts w:hint="eastAsia" w:ascii="Times New Roman" w:hAnsi="Times New Roman" w:eastAsia="宋体"/>
          <w:color w:val="auto"/>
          <w:kern w:val="0"/>
          <w:sz w:val="24"/>
          <w:highlight w:val="none"/>
          <w:lang w:bidi="ar"/>
        </w:rPr>
        <w:t>1</w:t>
      </w:r>
      <w:r>
        <w:rPr>
          <w:rFonts w:hint="eastAsia" w:ascii="Times New Roman" w:hAnsi="Times New Roman" w:eastAsia="宋体" w:cs="宋体"/>
          <w:color w:val="auto"/>
          <w:kern w:val="0"/>
          <w:sz w:val="24"/>
          <w:highlight w:val="none"/>
          <w:lang w:bidi="ar"/>
        </w:rPr>
        <w:t>座黑膜池用于处理生产废水，正常工况下污水处理量为</w:t>
      </w:r>
      <w:r>
        <w:rPr>
          <w:rFonts w:hint="eastAsia" w:ascii="Times New Roman" w:hAnsi="Times New Roman" w:eastAsia="宋体"/>
          <w:color w:val="auto"/>
          <w:kern w:val="0"/>
          <w:sz w:val="24"/>
          <w:highlight w:val="none"/>
          <w:lang w:val="en-US" w:eastAsia="zh-CN" w:bidi="ar"/>
        </w:rPr>
        <w:t>2511.2</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bidi="ar"/>
        </w:rPr>
        <w:t>，污泥产生量按污水量的</w:t>
      </w:r>
      <w:r>
        <w:rPr>
          <w:rFonts w:ascii="Times New Roman" w:hAnsi="Times New Roman" w:eastAsia="宋体"/>
          <w:color w:val="auto"/>
          <w:kern w:val="0"/>
          <w:sz w:val="24"/>
          <w:highlight w:val="none"/>
          <w:lang w:bidi="ar"/>
        </w:rPr>
        <w:t>0.3‰</w:t>
      </w:r>
      <w:r>
        <w:rPr>
          <w:rFonts w:hint="eastAsia" w:ascii="Times New Roman" w:hAnsi="Times New Roman" w:eastAsia="宋体" w:cs="宋体"/>
          <w:color w:val="auto"/>
          <w:kern w:val="0"/>
          <w:sz w:val="24"/>
          <w:highlight w:val="none"/>
          <w:lang w:bidi="ar"/>
        </w:rPr>
        <w:t>核算（污水停留时间很长，大部分污泥已消化分解）</w:t>
      </w:r>
      <w:r>
        <w:rPr>
          <w:rFonts w:hint="eastAsia" w:ascii="Times New Roman" w:hAnsi="Times New Roman" w:eastAsia="宋体"/>
          <w:color w:val="auto"/>
          <w:kern w:val="0"/>
          <w:sz w:val="24"/>
          <w:highlight w:val="none"/>
          <w:lang w:eastAsia="zh-CN" w:bidi="ar"/>
        </w:rPr>
        <w:t>，污泥</w:t>
      </w:r>
      <w:r>
        <w:rPr>
          <w:rFonts w:hint="eastAsia" w:ascii="Times New Roman" w:hAnsi="Times New Roman" w:eastAsia="宋体"/>
          <w:color w:val="auto"/>
          <w:kern w:val="0"/>
          <w:sz w:val="24"/>
          <w:highlight w:val="none"/>
          <w:lang w:val="en-US" w:eastAsia="zh-CN" w:bidi="ar"/>
        </w:rPr>
        <w:t>产生量7.53</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eastAsia="zh-CN" w:bidi="ar"/>
        </w:rPr>
        <w:t>，</w:t>
      </w:r>
      <w:r>
        <w:rPr>
          <w:rFonts w:hint="eastAsia" w:ascii="Times New Roman" w:hAnsi="Times New Roman" w:eastAsia="宋体" w:cs="宋体"/>
          <w:color w:val="auto"/>
          <w:kern w:val="0"/>
          <w:sz w:val="24"/>
          <w:highlight w:val="none"/>
          <w:lang w:val="en-US" w:eastAsia="zh-CN" w:bidi="ar"/>
        </w:rPr>
        <w:t>定期</w:t>
      </w:r>
      <w:r>
        <w:rPr>
          <w:rFonts w:hint="eastAsia" w:ascii="Times New Roman" w:hAnsi="Times New Roman" w:eastAsia="宋体" w:cs="宋体"/>
          <w:strike w:val="0"/>
          <w:dstrike w:val="0"/>
          <w:color w:val="auto"/>
          <w:spacing w:val="0"/>
          <w:kern w:val="0"/>
          <w:sz w:val="24"/>
          <w:szCs w:val="24"/>
          <w:highlight w:val="none"/>
          <w:lang w:val="en-US" w:eastAsia="zh-CN"/>
        </w:rPr>
        <w:t>运至堆肥场，经过处理后作为同骆驼粪便一同作为有机肥外售</w:t>
      </w:r>
      <w:r>
        <w:rPr>
          <w:rFonts w:hint="eastAsia" w:ascii="Times New Roman" w:hAnsi="Times New Roman" w:eastAsia="宋体" w:cs="宋体"/>
          <w:color w:val="auto"/>
          <w:kern w:val="0"/>
          <w:sz w:val="24"/>
          <w:lang w:bidi="ar"/>
        </w:rPr>
        <w:t>。</w:t>
      </w:r>
    </w:p>
    <w:p w14:paraId="18A20D25">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sz w:val="24"/>
          <w:szCs w:val="24"/>
          <w:highlight w:val="none"/>
          <w:lang w:val="en-US" w:eastAsia="zh-CN"/>
        </w:rPr>
        <w:t>6</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医疗废物</w:t>
      </w:r>
    </w:p>
    <w:p w14:paraId="38E8514A">
      <w:pPr>
        <w:keepNext w:val="0"/>
        <w:keepLines w:val="0"/>
        <w:pageBreakBefore w:val="0"/>
        <w:widowControl w:val="0"/>
        <w:kinsoku/>
        <w:wordWrap/>
        <w:overflowPunct/>
        <w:topLinePunct w:val="0"/>
        <w:autoSpaceDE/>
        <w:autoSpaceDN/>
        <w:bidi w:val="0"/>
        <w:adjustRightInd/>
        <w:snapToGrid/>
        <w:spacing w:line="480" w:lineRule="exact"/>
        <w:ind w:left="0" w:right="0" w:firstLine="24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本项目对</w:t>
      </w:r>
      <w:r>
        <w:rPr>
          <w:rFonts w:hint="eastAsia" w:ascii="Times New Roman" w:hAnsi="Times New Roman" w:eastAsia="宋体" w:cs="宋体"/>
          <w:strike w:val="0"/>
          <w:dstrike w:val="0"/>
          <w:color w:val="auto"/>
          <w:spacing w:val="0"/>
          <w:sz w:val="24"/>
          <w:szCs w:val="24"/>
          <w:highlight w:val="none"/>
          <w:lang w:val="en-US" w:eastAsia="zh-CN"/>
        </w:rPr>
        <w:t>骆驼</w:t>
      </w:r>
      <w:r>
        <w:rPr>
          <w:rFonts w:ascii="Times New Roman" w:hAnsi="Times New Roman" w:eastAsia="宋体" w:cs="宋体"/>
          <w:strike w:val="0"/>
          <w:dstrike w:val="0"/>
          <w:color w:val="auto"/>
          <w:spacing w:val="0"/>
          <w:sz w:val="24"/>
          <w:szCs w:val="24"/>
          <w:highlight w:val="none"/>
        </w:rPr>
        <w:t>进行防疫、治疗过程中产生少量废弃药品、废针管等，产生量约为</w:t>
      </w:r>
      <w:r>
        <w:rPr>
          <w:rFonts w:ascii="Times New Roman" w:hAnsi="Times New Roman" w:eastAsia="宋体" w:cs="Times New Roman"/>
          <w:strike w:val="0"/>
          <w:dstrike w:val="0"/>
          <w:color w:val="auto"/>
          <w:spacing w:val="0"/>
          <w:sz w:val="24"/>
          <w:szCs w:val="24"/>
          <w:highlight w:val="none"/>
        </w:rPr>
        <w:t>0.03t/a</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医疗垃圾属于</w:t>
      </w:r>
      <w:r>
        <w:rPr>
          <w:rFonts w:ascii="Times New Roman" w:hAnsi="Times New Roman" w:eastAsia="宋体" w:cs="Times New Roman"/>
          <w:strike w:val="0"/>
          <w:dstrike w:val="0"/>
          <w:color w:val="auto"/>
          <w:spacing w:val="0"/>
          <w:sz w:val="24"/>
          <w:szCs w:val="24"/>
          <w:highlight w:val="none"/>
        </w:rPr>
        <w:t>HW01</w:t>
      </w:r>
      <w:r>
        <w:rPr>
          <w:rFonts w:ascii="Times New Roman" w:hAnsi="Times New Roman" w:eastAsia="宋体" w:cs="宋体"/>
          <w:strike w:val="0"/>
          <w:dstrike w:val="0"/>
          <w:color w:val="auto"/>
          <w:spacing w:val="0"/>
          <w:sz w:val="24"/>
          <w:szCs w:val="24"/>
          <w:highlight w:val="none"/>
        </w:rPr>
        <w:t>类危险废物，储存于</w:t>
      </w:r>
      <w:r>
        <w:rPr>
          <w:rFonts w:hint="eastAsia" w:ascii="Times New Roman" w:hAnsi="Times New Roman" w:eastAsia="宋体" w:cs="宋体"/>
          <w:strike w:val="0"/>
          <w:dstrike w:val="0"/>
          <w:color w:val="auto"/>
          <w:spacing w:val="0"/>
          <w:sz w:val="24"/>
          <w:szCs w:val="24"/>
          <w:highlight w:val="none"/>
          <w:lang w:eastAsia="zh-CN"/>
        </w:rPr>
        <w:t>医疗废物暂存间</w:t>
      </w:r>
      <w:r>
        <w:rPr>
          <w:rFonts w:ascii="Times New Roman" w:hAnsi="Times New Roman" w:eastAsia="宋体" w:cs="宋体"/>
          <w:strike w:val="0"/>
          <w:dstrike w:val="0"/>
          <w:color w:val="auto"/>
          <w:spacing w:val="0"/>
          <w:sz w:val="24"/>
          <w:szCs w:val="24"/>
          <w:highlight w:val="none"/>
        </w:rPr>
        <w:t>，交由有资质的单位进行处理</w:t>
      </w:r>
      <w:r>
        <w:rPr>
          <w:rFonts w:hint="eastAsia" w:ascii="Times New Roman" w:hAnsi="Times New Roman" w:eastAsia="宋体" w:cs="宋体"/>
          <w:strike w:val="0"/>
          <w:dstrike w:val="0"/>
          <w:color w:val="auto"/>
          <w:spacing w:val="0"/>
          <w:sz w:val="24"/>
          <w:szCs w:val="24"/>
          <w:highlight w:val="none"/>
          <w:lang w:eastAsia="zh-CN"/>
        </w:rPr>
        <w:t>。</w:t>
      </w:r>
    </w:p>
    <w:p w14:paraId="7FD7C2AB">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本项目医疗废物分类见表</w:t>
      </w:r>
      <w:r>
        <w:rPr>
          <w:rFonts w:hint="eastAsia" w:ascii="Times New Roman" w:hAnsi="Times New Roman" w:eastAsia="宋体" w:cs="宋体"/>
          <w:strike w:val="0"/>
          <w:dstrike w:val="0"/>
          <w:color w:val="auto"/>
          <w:spacing w:val="0"/>
          <w:sz w:val="24"/>
          <w:szCs w:val="24"/>
          <w:highlight w:val="none"/>
          <w:lang w:val="en-US" w:eastAsia="zh-CN"/>
        </w:rPr>
        <w:t>3.3-8</w:t>
      </w:r>
      <w:r>
        <w:rPr>
          <w:rFonts w:hint="eastAsia" w:ascii="Times New Roman" w:hAnsi="Times New Roman" w:eastAsia="宋体" w:cs="宋体"/>
          <w:strike w:val="0"/>
          <w:dstrike w:val="0"/>
          <w:color w:val="auto"/>
          <w:spacing w:val="0"/>
          <w:sz w:val="24"/>
          <w:szCs w:val="24"/>
          <w:highlight w:val="none"/>
          <w:lang w:eastAsia="zh-CN"/>
        </w:rPr>
        <w:t>。</w:t>
      </w:r>
    </w:p>
    <w:p w14:paraId="331E1E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表3.3-8本项目医疗废物分类表</w:t>
      </w:r>
    </w:p>
    <w:p w14:paraId="6E204B59">
      <w:pPr>
        <w:spacing w:line="21" w:lineRule="exact"/>
        <w:rPr>
          <w:rFonts w:ascii="Times New Roman" w:hAnsi="Times New Roman" w:eastAsia="宋体"/>
          <w:strike w:val="0"/>
          <w:dstrike w:val="0"/>
          <w:color w:val="auto"/>
          <w:highlight w:val="none"/>
        </w:rPr>
      </w:pPr>
    </w:p>
    <w:tbl>
      <w:tblPr>
        <w:tblStyle w:val="183"/>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48"/>
        <w:gridCol w:w="1197"/>
        <w:gridCol w:w="1032"/>
        <w:gridCol w:w="2273"/>
        <w:gridCol w:w="2213"/>
        <w:gridCol w:w="856"/>
      </w:tblGrid>
      <w:tr w14:paraId="28B9B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jc w:val="center"/>
        </w:trPr>
        <w:tc>
          <w:tcPr>
            <w:tcW w:w="449" w:type="pct"/>
            <w:tcBorders>
              <w:top w:val="single" w:color="000000" w:sz="2" w:space="0"/>
              <w:bottom w:val="single" w:color="000000" w:sz="2" w:space="0"/>
            </w:tcBorders>
            <w:vAlign w:val="center"/>
          </w:tcPr>
          <w:p w14:paraId="73026EC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序号</w:t>
            </w:r>
          </w:p>
        </w:tc>
        <w:tc>
          <w:tcPr>
            <w:tcW w:w="719" w:type="pct"/>
            <w:tcBorders>
              <w:top w:val="single" w:color="000000" w:sz="2" w:space="0"/>
              <w:bottom w:val="single" w:color="000000" w:sz="2" w:space="0"/>
            </w:tcBorders>
            <w:vAlign w:val="center"/>
          </w:tcPr>
          <w:p w14:paraId="3AAFF83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废物代码</w:t>
            </w:r>
          </w:p>
        </w:tc>
        <w:tc>
          <w:tcPr>
            <w:tcW w:w="620" w:type="pct"/>
            <w:tcBorders>
              <w:top w:val="single" w:color="000000" w:sz="2" w:space="0"/>
              <w:bottom w:val="single" w:color="000000" w:sz="2" w:space="0"/>
            </w:tcBorders>
            <w:vAlign w:val="center"/>
          </w:tcPr>
          <w:p w14:paraId="79DC88B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危险废物</w:t>
            </w:r>
          </w:p>
        </w:tc>
        <w:tc>
          <w:tcPr>
            <w:tcW w:w="1365" w:type="pct"/>
            <w:tcBorders>
              <w:top w:val="single" w:color="000000" w:sz="2" w:space="0"/>
              <w:bottom w:val="single" w:color="000000" w:sz="2" w:space="0"/>
            </w:tcBorders>
            <w:vAlign w:val="center"/>
          </w:tcPr>
          <w:p w14:paraId="0FC5E67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特征</w:t>
            </w:r>
          </w:p>
        </w:tc>
        <w:tc>
          <w:tcPr>
            <w:tcW w:w="1329" w:type="pct"/>
            <w:tcBorders>
              <w:top w:val="single" w:color="000000" w:sz="2" w:space="0"/>
              <w:bottom w:val="single" w:color="000000" w:sz="2" w:space="0"/>
            </w:tcBorders>
            <w:vAlign w:val="center"/>
          </w:tcPr>
          <w:p w14:paraId="49F28F0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废物名称</w:t>
            </w:r>
          </w:p>
        </w:tc>
        <w:tc>
          <w:tcPr>
            <w:tcW w:w="514" w:type="pct"/>
            <w:tcBorders>
              <w:top w:val="single" w:color="000000" w:sz="2" w:space="0"/>
              <w:bottom w:val="single" w:color="000000" w:sz="2" w:space="0"/>
            </w:tcBorders>
            <w:vAlign w:val="center"/>
          </w:tcPr>
          <w:p w14:paraId="3E2EF4C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产生量</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2F42E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jc w:val="center"/>
        </w:trPr>
        <w:tc>
          <w:tcPr>
            <w:tcW w:w="449" w:type="pct"/>
            <w:tcBorders>
              <w:top w:val="single" w:color="000000" w:sz="2" w:space="0"/>
              <w:bottom w:val="single" w:color="000000" w:sz="2" w:space="0"/>
            </w:tcBorders>
            <w:vAlign w:val="center"/>
          </w:tcPr>
          <w:p w14:paraId="22CC508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w:t>
            </w:r>
          </w:p>
        </w:tc>
        <w:tc>
          <w:tcPr>
            <w:tcW w:w="719" w:type="pct"/>
            <w:vMerge w:val="restart"/>
            <w:tcBorders>
              <w:top w:val="single" w:color="000000" w:sz="2" w:space="0"/>
              <w:bottom w:val="nil"/>
            </w:tcBorders>
            <w:vAlign w:val="center"/>
          </w:tcPr>
          <w:p w14:paraId="6B63DC1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900-001-01</w:t>
            </w:r>
          </w:p>
        </w:tc>
        <w:tc>
          <w:tcPr>
            <w:tcW w:w="620" w:type="pct"/>
            <w:tcBorders>
              <w:top w:val="single" w:color="000000" w:sz="2" w:space="0"/>
              <w:bottom w:val="single" w:color="000000" w:sz="2" w:space="0"/>
            </w:tcBorders>
            <w:vAlign w:val="center"/>
          </w:tcPr>
          <w:p w14:paraId="40CB8A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感染性废物</w:t>
            </w:r>
          </w:p>
        </w:tc>
        <w:tc>
          <w:tcPr>
            <w:tcW w:w="1365" w:type="pct"/>
            <w:tcBorders>
              <w:top w:val="single" w:color="000000" w:sz="2" w:space="0"/>
              <w:bottom w:val="single" w:color="000000" w:sz="2" w:space="0"/>
            </w:tcBorders>
            <w:vAlign w:val="center"/>
          </w:tcPr>
          <w:p w14:paraId="0E6F2C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携带病原微生物具有引发感染性疾病传播危险的医疗废物</w:t>
            </w:r>
          </w:p>
        </w:tc>
        <w:tc>
          <w:tcPr>
            <w:tcW w:w="1329" w:type="pct"/>
            <w:tcBorders>
              <w:top w:val="single" w:color="000000" w:sz="2" w:space="0"/>
              <w:bottom w:val="single" w:color="000000" w:sz="2" w:space="0"/>
            </w:tcBorders>
            <w:vAlign w:val="center"/>
          </w:tcPr>
          <w:p w14:paraId="18776E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主要是废弃的或一次性的注射器</w:t>
            </w:r>
          </w:p>
        </w:tc>
        <w:tc>
          <w:tcPr>
            <w:tcW w:w="514" w:type="pct"/>
            <w:tcBorders>
              <w:top w:val="single" w:color="000000" w:sz="2" w:space="0"/>
              <w:bottom w:val="single" w:color="000000" w:sz="2" w:space="0"/>
            </w:tcBorders>
            <w:vAlign w:val="center"/>
          </w:tcPr>
          <w:p w14:paraId="5B41ACD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0.01</w:t>
            </w:r>
          </w:p>
        </w:tc>
      </w:tr>
      <w:tr w14:paraId="18507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3" w:hRule="atLeast"/>
          <w:jc w:val="center"/>
        </w:trPr>
        <w:tc>
          <w:tcPr>
            <w:tcW w:w="449" w:type="pct"/>
            <w:tcBorders>
              <w:top w:val="single" w:color="000000" w:sz="2" w:space="0"/>
              <w:bottom w:val="single" w:color="000000" w:sz="2" w:space="0"/>
            </w:tcBorders>
            <w:vAlign w:val="center"/>
          </w:tcPr>
          <w:p w14:paraId="76B6AB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2</w:t>
            </w:r>
          </w:p>
        </w:tc>
        <w:tc>
          <w:tcPr>
            <w:tcW w:w="719" w:type="pct"/>
            <w:vMerge w:val="continue"/>
            <w:tcBorders>
              <w:top w:val="nil"/>
              <w:bottom w:val="single" w:color="000000" w:sz="2" w:space="0"/>
            </w:tcBorders>
            <w:vAlign w:val="center"/>
          </w:tcPr>
          <w:p w14:paraId="182D87D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20" w:type="pct"/>
            <w:tcBorders>
              <w:top w:val="single" w:color="000000" w:sz="2" w:space="0"/>
              <w:bottom w:val="single" w:color="000000" w:sz="2" w:space="0"/>
            </w:tcBorders>
            <w:vAlign w:val="center"/>
          </w:tcPr>
          <w:p w14:paraId="32027D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药物性废物</w:t>
            </w:r>
          </w:p>
        </w:tc>
        <w:tc>
          <w:tcPr>
            <w:tcW w:w="1365" w:type="pct"/>
            <w:tcBorders>
              <w:top w:val="single" w:color="000000" w:sz="2" w:space="0"/>
              <w:bottom w:val="single" w:color="000000" w:sz="2" w:space="0"/>
            </w:tcBorders>
            <w:vAlign w:val="center"/>
          </w:tcPr>
          <w:p w14:paraId="7112BA9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过期、淘汰、变质或者被污染的废弃药品</w:t>
            </w:r>
          </w:p>
        </w:tc>
        <w:tc>
          <w:tcPr>
            <w:tcW w:w="1329" w:type="pct"/>
            <w:tcBorders>
              <w:top w:val="single" w:color="000000" w:sz="2" w:space="0"/>
              <w:bottom w:val="single" w:color="000000" w:sz="2" w:space="0"/>
            </w:tcBorders>
            <w:vAlign w:val="center"/>
          </w:tcPr>
          <w:p w14:paraId="7BE8E2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主要是过期的药品、废弃疫苗和血液制品等</w:t>
            </w:r>
          </w:p>
        </w:tc>
        <w:tc>
          <w:tcPr>
            <w:tcW w:w="514" w:type="pct"/>
            <w:tcBorders>
              <w:top w:val="single" w:color="000000" w:sz="2" w:space="0"/>
              <w:bottom w:val="single" w:color="000000" w:sz="2" w:space="0"/>
            </w:tcBorders>
            <w:vAlign w:val="center"/>
          </w:tcPr>
          <w:p w14:paraId="5A84984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0.02</w:t>
            </w:r>
          </w:p>
        </w:tc>
      </w:tr>
    </w:tbl>
    <w:p w14:paraId="46C0F681">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本项目固废产生量见表</w:t>
      </w:r>
      <w:r>
        <w:rPr>
          <w:rFonts w:hint="eastAsia" w:ascii="Times New Roman" w:hAnsi="Times New Roman" w:eastAsia="宋体" w:cs="宋体"/>
          <w:strike w:val="0"/>
          <w:dstrike w:val="0"/>
          <w:color w:val="auto"/>
          <w:spacing w:val="0"/>
          <w:sz w:val="24"/>
          <w:szCs w:val="24"/>
          <w:highlight w:val="none"/>
          <w:lang w:val="en-US" w:eastAsia="zh-CN"/>
        </w:rPr>
        <w:t>3.3-9</w:t>
      </w:r>
      <w:r>
        <w:rPr>
          <w:rFonts w:hint="eastAsia" w:ascii="Times New Roman" w:hAnsi="Times New Roman" w:eastAsia="宋体" w:cs="宋体"/>
          <w:strike w:val="0"/>
          <w:dstrike w:val="0"/>
          <w:color w:val="auto"/>
          <w:spacing w:val="0"/>
          <w:sz w:val="24"/>
          <w:szCs w:val="24"/>
          <w:highlight w:val="none"/>
          <w:lang w:eastAsia="zh-CN"/>
        </w:rPr>
        <w:t>。</w:t>
      </w:r>
    </w:p>
    <w:p w14:paraId="6C50CA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表3.3-9项目固体废弃物产生量</w:t>
      </w:r>
    </w:p>
    <w:p w14:paraId="7FA85A70">
      <w:pPr>
        <w:spacing w:line="19" w:lineRule="exact"/>
        <w:rPr>
          <w:rFonts w:ascii="Times New Roman" w:hAnsi="Times New Roman" w:eastAsia="宋体"/>
          <w:strike w:val="0"/>
          <w:dstrike w:val="0"/>
          <w:color w:val="auto"/>
          <w:highlight w:val="none"/>
        </w:rPr>
      </w:pPr>
    </w:p>
    <w:tbl>
      <w:tblPr>
        <w:tblStyle w:val="183"/>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05"/>
        <w:gridCol w:w="2473"/>
        <w:gridCol w:w="839"/>
        <w:gridCol w:w="933"/>
        <w:gridCol w:w="2829"/>
        <w:gridCol w:w="933"/>
      </w:tblGrid>
      <w:tr w14:paraId="1FB28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0" w:type="auto"/>
            <w:tcBorders>
              <w:tl2br w:val="nil"/>
              <w:tr2bl w:val="nil"/>
            </w:tcBorders>
            <w:vAlign w:val="center"/>
          </w:tcPr>
          <w:p w14:paraId="712237C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序号</w:t>
            </w:r>
          </w:p>
        </w:tc>
        <w:tc>
          <w:tcPr>
            <w:tcW w:w="0" w:type="auto"/>
            <w:tcBorders>
              <w:tl2br w:val="nil"/>
              <w:tr2bl w:val="nil"/>
            </w:tcBorders>
            <w:vAlign w:val="center"/>
          </w:tcPr>
          <w:p w14:paraId="486956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名称</w:t>
            </w:r>
          </w:p>
        </w:tc>
        <w:tc>
          <w:tcPr>
            <w:tcW w:w="0" w:type="auto"/>
            <w:tcBorders>
              <w:tl2br w:val="nil"/>
              <w:tr2bl w:val="nil"/>
            </w:tcBorders>
            <w:vAlign w:val="center"/>
          </w:tcPr>
          <w:p w14:paraId="69B5D9F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属性</w:t>
            </w:r>
          </w:p>
        </w:tc>
        <w:tc>
          <w:tcPr>
            <w:tcW w:w="0" w:type="auto"/>
            <w:tcBorders>
              <w:tl2br w:val="nil"/>
              <w:tr2bl w:val="nil"/>
            </w:tcBorders>
            <w:vAlign w:val="center"/>
          </w:tcPr>
          <w:p w14:paraId="4E7BF68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产生量</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t/a</w:t>
            </w:r>
            <w:r>
              <w:rPr>
                <w:rFonts w:hint="eastAsia" w:ascii="Times New Roman" w:hAnsi="Times New Roman" w:eastAsia="宋体" w:cs="宋体"/>
                <w:strike w:val="0"/>
                <w:dstrike w:val="0"/>
                <w:color w:val="auto"/>
                <w:spacing w:val="0"/>
                <w:sz w:val="21"/>
                <w:szCs w:val="21"/>
                <w:highlight w:val="none"/>
                <w:lang w:eastAsia="zh-CN"/>
              </w:rPr>
              <w:t>）</w:t>
            </w:r>
          </w:p>
        </w:tc>
        <w:tc>
          <w:tcPr>
            <w:tcW w:w="0" w:type="auto"/>
            <w:tcBorders>
              <w:tl2br w:val="nil"/>
              <w:tr2bl w:val="nil"/>
            </w:tcBorders>
            <w:vAlign w:val="center"/>
          </w:tcPr>
          <w:p w14:paraId="12B1D79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拟采取的处置方式</w:t>
            </w:r>
          </w:p>
        </w:tc>
        <w:tc>
          <w:tcPr>
            <w:tcW w:w="0" w:type="auto"/>
            <w:tcBorders>
              <w:tl2br w:val="nil"/>
              <w:tr2bl w:val="nil"/>
            </w:tcBorders>
            <w:vAlign w:val="center"/>
          </w:tcPr>
          <w:p w14:paraId="7747ED4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排放量</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t/a</w:t>
            </w:r>
            <w:r>
              <w:rPr>
                <w:rFonts w:hint="eastAsia" w:ascii="Times New Roman" w:hAnsi="Times New Roman" w:eastAsia="宋体" w:cs="宋体"/>
                <w:strike w:val="0"/>
                <w:dstrike w:val="0"/>
                <w:color w:val="auto"/>
                <w:spacing w:val="0"/>
                <w:sz w:val="21"/>
                <w:szCs w:val="21"/>
                <w:highlight w:val="none"/>
                <w:lang w:eastAsia="zh-CN"/>
              </w:rPr>
              <w:t>）</w:t>
            </w:r>
          </w:p>
        </w:tc>
      </w:tr>
      <w:tr w14:paraId="6A430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6D78A06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w:t>
            </w:r>
          </w:p>
        </w:tc>
        <w:tc>
          <w:tcPr>
            <w:tcW w:w="0" w:type="auto"/>
            <w:tcBorders>
              <w:tl2br w:val="nil"/>
              <w:tr2bl w:val="nil"/>
            </w:tcBorders>
            <w:vAlign w:val="center"/>
          </w:tcPr>
          <w:p w14:paraId="5E860BC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骆驼粪便</w:t>
            </w:r>
          </w:p>
        </w:tc>
        <w:tc>
          <w:tcPr>
            <w:tcW w:w="0" w:type="auto"/>
            <w:tcBorders>
              <w:tl2br w:val="nil"/>
              <w:tr2bl w:val="nil"/>
            </w:tcBorders>
            <w:vAlign w:val="center"/>
          </w:tcPr>
          <w:p w14:paraId="312BFF0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5FFD731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4134.50</w:t>
            </w:r>
          </w:p>
        </w:tc>
        <w:tc>
          <w:tcPr>
            <w:tcW w:w="0" w:type="auto"/>
            <w:tcBorders>
              <w:tl2br w:val="nil"/>
              <w:tr2bl w:val="nil"/>
            </w:tcBorders>
            <w:vAlign w:val="center"/>
          </w:tcPr>
          <w:p w14:paraId="0460689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rPr>
            </w:pPr>
            <w:r>
              <w:rPr>
                <w:rFonts w:hint="eastAsia" w:ascii="Times New Roman" w:hAnsi="Times New Roman" w:eastAsia="宋体" w:cs="宋体"/>
                <w:strike w:val="0"/>
                <w:dstrike w:val="0"/>
                <w:color w:val="auto"/>
                <w:spacing w:val="0"/>
                <w:sz w:val="21"/>
                <w:szCs w:val="21"/>
                <w:highlight w:val="none"/>
                <w:lang w:eastAsia="zh-CN"/>
              </w:rPr>
              <w:t>骆驼粪便</w:t>
            </w:r>
            <w:r>
              <w:rPr>
                <w:rFonts w:hint="eastAsia" w:ascii="Times New Roman" w:hAnsi="Times New Roman" w:eastAsia="宋体" w:cs="宋体"/>
                <w:strike w:val="0"/>
                <w:dstrike w:val="0"/>
                <w:color w:val="auto"/>
                <w:spacing w:val="0"/>
                <w:sz w:val="21"/>
                <w:szCs w:val="21"/>
                <w:highlight w:val="none"/>
                <w:lang w:val="en-US" w:eastAsia="zh-CN"/>
              </w:rPr>
              <w:t>清运至堆肥场，经处理后外售有机肥厂</w:t>
            </w:r>
          </w:p>
        </w:tc>
        <w:tc>
          <w:tcPr>
            <w:tcW w:w="0" w:type="auto"/>
            <w:tcBorders>
              <w:tl2br w:val="nil"/>
              <w:tr2bl w:val="nil"/>
            </w:tcBorders>
            <w:vAlign w:val="center"/>
          </w:tcPr>
          <w:p w14:paraId="287E46B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4134.50</w:t>
            </w:r>
          </w:p>
        </w:tc>
      </w:tr>
      <w:tr w14:paraId="483FB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14137A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w:t>
            </w:r>
          </w:p>
        </w:tc>
        <w:tc>
          <w:tcPr>
            <w:tcW w:w="0" w:type="auto"/>
            <w:tcBorders>
              <w:tl2br w:val="nil"/>
              <w:tr2bl w:val="nil"/>
            </w:tcBorders>
            <w:vAlign w:val="center"/>
          </w:tcPr>
          <w:p w14:paraId="4CE82F3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ascii="Times New Roman" w:hAnsi="Times New Roman" w:eastAsia="宋体" w:cs="宋体"/>
                <w:strike w:val="0"/>
                <w:dstrike w:val="0"/>
                <w:color w:val="auto"/>
                <w:spacing w:val="0"/>
                <w:sz w:val="21"/>
                <w:szCs w:val="21"/>
                <w:highlight w:val="none"/>
              </w:rPr>
              <w:t>病死</w:t>
            </w:r>
            <w:r>
              <w:rPr>
                <w:rFonts w:hint="eastAsia" w:ascii="Times New Roman" w:hAnsi="Times New Roman" w:eastAsia="宋体" w:cs="宋体"/>
                <w:strike w:val="0"/>
                <w:dstrike w:val="0"/>
                <w:color w:val="auto"/>
                <w:spacing w:val="0"/>
                <w:sz w:val="21"/>
                <w:szCs w:val="21"/>
                <w:highlight w:val="none"/>
                <w:lang w:eastAsia="zh-CN"/>
              </w:rPr>
              <w:t>骆驼</w:t>
            </w:r>
          </w:p>
        </w:tc>
        <w:tc>
          <w:tcPr>
            <w:tcW w:w="0" w:type="auto"/>
            <w:tcBorders>
              <w:tl2br w:val="nil"/>
              <w:tr2bl w:val="nil"/>
            </w:tcBorders>
            <w:vAlign w:val="center"/>
          </w:tcPr>
          <w:p w14:paraId="6932D03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17264A7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p>
        </w:tc>
        <w:tc>
          <w:tcPr>
            <w:tcW w:w="0" w:type="auto"/>
            <w:vMerge w:val="restart"/>
            <w:tcBorders>
              <w:tl2br w:val="nil"/>
              <w:tr2bl w:val="nil"/>
            </w:tcBorders>
            <w:vAlign w:val="center"/>
          </w:tcPr>
          <w:p w14:paraId="2F34DA7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委托具有合法资质的无害化处理单位进行无害化处理</w:t>
            </w:r>
          </w:p>
        </w:tc>
        <w:tc>
          <w:tcPr>
            <w:tcW w:w="0" w:type="auto"/>
            <w:tcBorders>
              <w:tl2br w:val="nil"/>
              <w:tr2bl w:val="nil"/>
            </w:tcBorders>
            <w:vAlign w:val="center"/>
          </w:tcPr>
          <w:p w14:paraId="623A8CA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p>
        </w:tc>
      </w:tr>
      <w:tr w14:paraId="5155E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0C62D06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3</w:t>
            </w:r>
          </w:p>
        </w:tc>
        <w:tc>
          <w:tcPr>
            <w:tcW w:w="0" w:type="auto"/>
            <w:tcBorders>
              <w:tl2br w:val="nil"/>
              <w:tr2bl w:val="nil"/>
            </w:tcBorders>
            <w:vAlign w:val="center"/>
          </w:tcPr>
          <w:p w14:paraId="0E9CC17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eastAsia="zh-CN"/>
              </w:rPr>
              <w:t>分娩废弃物（胎衣、死胎、胎盘附属物）</w:t>
            </w:r>
          </w:p>
        </w:tc>
        <w:tc>
          <w:tcPr>
            <w:tcW w:w="0" w:type="auto"/>
            <w:tcBorders>
              <w:tl2br w:val="nil"/>
              <w:tr2bl w:val="nil"/>
            </w:tcBorders>
            <w:vAlign w:val="center"/>
          </w:tcPr>
          <w:p w14:paraId="1167C7E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08D2CBD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w:t>
            </w:r>
          </w:p>
        </w:tc>
        <w:tc>
          <w:tcPr>
            <w:tcW w:w="0" w:type="auto"/>
            <w:vMerge w:val="continue"/>
            <w:tcBorders>
              <w:tl2br w:val="nil"/>
              <w:tr2bl w:val="nil"/>
            </w:tcBorders>
            <w:vAlign w:val="center"/>
          </w:tcPr>
          <w:p w14:paraId="5C62B7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p>
        </w:tc>
        <w:tc>
          <w:tcPr>
            <w:tcW w:w="0" w:type="auto"/>
            <w:tcBorders>
              <w:tl2br w:val="nil"/>
              <w:tr2bl w:val="nil"/>
            </w:tcBorders>
            <w:vAlign w:val="center"/>
          </w:tcPr>
          <w:p w14:paraId="38F8ED1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w:t>
            </w:r>
          </w:p>
        </w:tc>
      </w:tr>
      <w:tr w14:paraId="33F8E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7FEBAAA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w:t>
            </w:r>
          </w:p>
        </w:tc>
        <w:tc>
          <w:tcPr>
            <w:tcW w:w="0" w:type="auto"/>
            <w:tcBorders>
              <w:tl2br w:val="nil"/>
              <w:tr2bl w:val="nil"/>
            </w:tcBorders>
            <w:vAlign w:val="center"/>
          </w:tcPr>
          <w:p w14:paraId="095026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rPr>
              <w:t>挤奶大厅废弃的一次性挤奶耗材、塑料奶管、废弃包装物</w:t>
            </w:r>
          </w:p>
        </w:tc>
        <w:tc>
          <w:tcPr>
            <w:tcW w:w="0" w:type="auto"/>
            <w:tcBorders>
              <w:tl2br w:val="nil"/>
              <w:tr2bl w:val="nil"/>
            </w:tcBorders>
            <w:vAlign w:val="center"/>
          </w:tcPr>
          <w:p w14:paraId="7A2884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2068958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w:t>
            </w:r>
          </w:p>
        </w:tc>
        <w:tc>
          <w:tcPr>
            <w:tcW w:w="0" w:type="auto"/>
            <w:tcBorders>
              <w:tl2br w:val="nil"/>
              <w:tr2bl w:val="nil"/>
            </w:tcBorders>
            <w:vAlign w:val="center"/>
          </w:tcPr>
          <w:p w14:paraId="5DA2CBA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外售</w:t>
            </w:r>
          </w:p>
        </w:tc>
        <w:tc>
          <w:tcPr>
            <w:tcW w:w="0" w:type="auto"/>
            <w:tcBorders>
              <w:tl2br w:val="nil"/>
              <w:tr2bl w:val="nil"/>
            </w:tcBorders>
            <w:vAlign w:val="center"/>
          </w:tcPr>
          <w:p w14:paraId="25F3693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w:t>
            </w:r>
          </w:p>
        </w:tc>
      </w:tr>
      <w:tr w14:paraId="7375C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41AB16E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w:t>
            </w:r>
          </w:p>
        </w:tc>
        <w:tc>
          <w:tcPr>
            <w:tcW w:w="0" w:type="auto"/>
            <w:tcBorders>
              <w:tl2br w:val="nil"/>
              <w:tr2bl w:val="nil"/>
            </w:tcBorders>
            <w:vAlign w:val="center"/>
          </w:tcPr>
          <w:p w14:paraId="5D33193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生活垃圾</w:t>
            </w:r>
          </w:p>
        </w:tc>
        <w:tc>
          <w:tcPr>
            <w:tcW w:w="0" w:type="auto"/>
            <w:tcBorders>
              <w:tl2br w:val="nil"/>
              <w:tr2bl w:val="nil"/>
            </w:tcBorders>
            <w:vAlign w:val="center"/>
          </w:tcPr>
          <w:p w14:paraId="7D3787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2C3963B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9.125</w:t>
            </w:r>
          </w:p>
        </w:tc>
        <w:tc>
          <w:tcPr>
            <w:tcW w:w="0" w:type="auto"/>
            <w:tcBorders>
              <w:tl2br w:val="nil"/>
              <w:tr2bl w:val="nil"/>
            </w:tcBorders>
            <w:vAlign w:val="center"/>
          </w:tcPr>
          <w:p w14:paraId="301EF5B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经集中收集后当地环卫部门处置</w:t>
            </w:r>
          </w:p>
        </w:tc>
        <w:tc>
          <w:tcPr>
            <w:tcW w:w="0" w:type="auto"/>
            <w:tcBorders>
              <w:tl2br w:val="nil"/>
              <w:tr2bl w:val="nil"/>
            </w:tcBorders>
            <w:vAlign w:val="center"/>
          </w:tcPr>
          <w:p w14:paraId="567B9F7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9.125</w:t>
            </w:r>
          </w:p>
        </w:tc>
      </w:tr>
      <w:tr w14:paraId="0EC15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0" w:type="auto"/>
            <w:tcBorders>
              <w:tl2br w:val="nil"/>
              <w:tr2bl w:val="nil"/>
            </w:tcBorders>
            <w:vAlign w:val="center"/>
          </w:tcPr>
          <w:p w14:paraId="772E326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6</w:t>
            </w:r>
          </w:p>
        </w:tc>
        <w:tc>
          <w:tcPr>
            <w:tcW w:w="0" w:type="auto"/>
            <w:tcBorders>
              <w:tl2br w:val="nil"/>
              <w:tr2bl w:val="nil"/>
            </w:tcBorders>
            <w:vAlign w:val="center"/>
          </w:tcPr>
          <w:p w14:paraId="4C5923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黑膜池污泥</w:t>
            </w:r>
          </w:p>
        </w:tc>
        <w:tc>
          <w:tcPr>
            <w:tcW w:w="0" w:type="auto"/>
            <w:tcBorders>
              <w:tl2br w:val="nil"/>
              <w:tr2bl w:val="nil"/>
            </w:tcBorders>
            <w:vAlign w:val="center"/>
          </w:tcPr>
          <w:p w14:paraId="1DE4D74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color w:val="auto"/>
                <w:sz w:val="21"/>
                <w:szCs w:val="21"/>
              </w:rPr>
              <w:t>一般工业固体废物</w:t>
            </w:r>
          </w:p>
        </w:tc>
        <w:tc>
          <w:tcPr>
            <w:tcW w:w="0" w:type="auto"/>
            <w:tcBorders>
              <w:tl2br w:val="nil"/>
              <w:tr2bl w:val="nil"/>
            </w:tcBorders>
            <w:vAlign w:val="center"/>
          </w:tcPr>
          <w:p w14:paraId="1ED6C9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7.53</w:t>
            </w:r>
          </w:p>
        </w:tc>
        <w:tc>
          <w:tcPr>
            <w:tcW w:w="0" w:type="auto"/>
            <w:tcBorders>
              <w:tl2br w:val="nil"/>
              <w:tr2bl w:val="nil"/>
            </w:tcBorders>
            <w:vAlign w:val="center"/>
          </w:tcPr>
          <w:p w14:paraId="4B9C5CB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定期运至堆肥场，经过处理后作为同骆驼粪便一同作为有机肥外售</w:t>
            </w:r>
          </w:p>
        </w:tc>
        <w:tc>
          <w:tcPr>
            <w:tcW w:w="0" w:type="auto"/>
            <w:tcBorders>
              <w:tl2br w:val="nil"/>
              <w:tr2bl w:val="nil"/>
            </w:tcBorders>
            <w:vAlign w:val="center"/>
          </w:tcPr>
          <w:p w14:paraId="3758835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7.53</w:t>
            </w:r>
          </w:p>
        </w:tc>
      </w:tr>
      <w:tr w14:paraId="0E355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0" w:type="auto"/>
            <w:tcBorders>
              <w:tl2br w:val="nil"/>
              <w:tr2bl w:val="nil"/>
            </w:tcBorders>
            <w:vAlign w:val="center"/>
          </w:tcPr>
          <w:p w14:paraId="08EB9D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eastAsia="zh-CN"/>
              </w:rPr>
            </w:pPr>
            <w:r>
              <w:rPr>
                <w:rFonts w:hint="eastAsia" w:ascii="Times New Roman" w:hAnsi="Times New Roman" w:eastAsia="宋体" w:cs="Times New Roman"/>
                <w:strike w:val="0"/>
                <w:dstrike w:val="0"/>
                <w:color w:val="auto"/>
                <w:spacing w:val="0"/>
                <w:sz w:val="21"/>
                <w:szCs w:val="21"/>
                <w:highlight w:val="none"/>
                <w:lang w:val="en-US" w:eastAsia="zh-CN"/>
              </w:rPr>
              <w:t>7</w:t>
            </w:r>
          </w:p>
        </w:tc>
        <w:tc>
          <w:tcPr>
            <w:tcW w:w="0" w:type="auto"/>
            <w:tcBorders>
              <w:tl2br w:val="nil"/>
              <w:tr2bl w:val="nil"/>
            </w:tcBorders>
            <w:vAlign w:val="center"/>
          </w:tcPr>
          <w:p w14:paraId="5F285DA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医疗垃圾</w:t>
            </w:r>
          </w:p>
        </w:tc>
        <w:tc>
          <w:tcPr>
            <w:tcW w:w="0" w:type="auto"/>
            <w:tcBorders>
              <w:tl2br w:val="nil"/>
              <w:tr2bl w:val="nil"/>
            </w:tcBorders>
            <w:vAlign w:val="center"/>
          </w:tcPr>
          <w:p w14:paraId="7209A1D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r>
              <w:rPr>
                <w:rFonts w:ascii="Times New Roman" w:hAnsi="Times New Roman" w:eastAsia="宋体" w:cs="宋体"/>
                <w:color w:val="auto"/>
                <w:sz w:val="21"/>
                <w:szCs w:val="21"/>
              </w:rPr>
              <w:t>危险废物</w:t>
            </w:r>
          </w:p>
        </w:tc>
        <w:tc>
          <w:tcPr>
            <w:tcW w:w="0" w:type="auto"/>
            <w:tcBorders>
              <w:tl2br w:val="nil"/>
              <w:tr2bl w:val="nil"/>
            </w:tcBorders>
            <w:vAlign w:val="center"/>
          </w:tcPr>
          <w:p w14:paraId="3C25A06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w:t>
            </w:r>
          </w:p>
        </w:tc>
        <w:tc>
          <w:tcPr>
            <w:tcW w:w="0" w:type="auto"/>
            <w:tcBorders>
              <w:tl2br w:val="nil"/>
              <w:tr2bl w:val="nil"/>
            </w:tcBorders>
            <w:vAlign w:val="center"/>
          </w:tcPr>
          <w:p w14:paraId="736AC5E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有医疗垃圾处理资质的单位进行处置</w:t>
            </w:r>
          </w:p>
        </w:tc>
        <w:tc>
          <w:tcPr>
            <w:tcW w:w="0" w:type="auto"/>
            <w:tcBorders>
              <w:tl2br w:val="nil"/>
              <w:tr2bl w:val="nil"/>
            </w:tcBorders>
            <w:vAlign w:val="center"/>
          </w:tcPr>
          <w:p w14:paraId="03564C5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w:t>
            </w:r>
          </w:p>
        </w:tc>
      </w:tr>
    </w:tbl>
    <w:p w14:paraId="665ECA53">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.2.4噪声</w:t>
      </w:r>
    </w:p>
    <w:p w14:paraId="0982C3A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本项目在运营期间噪声主要来源于</w:t>
      </w:r>
      <w:r>
        <w:rPr>
          <w:rFonts w:hint="eastAsia" w:ascii="Times New Roman" w:hAnsi="Times New Roman" w:eastAsia="宋体"/>
          <w:strike w:val="0"/>
          <w:dstrike w:val="0"/>
          <w:color w:val="auto"/>
          <w:highlight w:val="none"/>
        </w:rPr>
        <w:t>排气扇</w:t>
      </w:r>
      <w:r>
        <w:rPr>
          <w:rFonts w:ascii="Times New Roman" w:hAnsi="Times New Roman" w:eastAsia="宋体"/>
          <w:strike w:val="0"/>
          <w:dstrike w:val="0"/>
          <w:color w:val="auto"/>
          <w:highlight w:val="none"/>
        </w:rPr>
        <w:t>等设备</w:t>
      </w:r>
      <w:r>
        <w:rPr>
          <w:rFonts w:hint="eastAsia" w:ascii="Times New Roman" w:hAnsi="Times New Roman" w:eastAsia="宋体"/>
          <w:strike w:val="0"/>
          <w:dstrike w:val="0"/>
          <w:color w:val="auto"/>
          <w:highlight w:val="none"/>
        </w:rPr>
        <w:t>产生的噪声，经过类比调查，</w:t>
      </w:r>
      <w:r>
        <w:rPr>
          <w:rFonts w:ascii="Times New Roman" w:hAnsi="Times New Roman" w:eastAsia="宋体"/>
          <w:strike w:val="0"/>
          <w:dstrike w:val="0"/>
          <w:color w:val="auto"/>
          <w:highlight w:val="none"/>
        </w:rPr>
        <w:t>本项目主要噪声源强见表3.</w:t>
      </w: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val="en-US" w:eastAsia="zh-CN"/>
        </w:rPr>
        <w:t>0</w:t>
      </w:r>
      <w:r>
        <w:rPr>
          <w:rFonts w:hint="eastAsia" w:ascii="Times New Roman" w:hAnsi="Times New Roman" w:eastAsia="宋体"/>
          <w:strike w:val="0"/>
          <w:dstrike w:val="0"/>
          <w:color w:val="auto"/>
          <w:highlight w:val="none"/>
          <w:lang w:eastAsia="zh-CN"/>
        </w:rPr>
        <w:t>。</w:t>
      </w:r>
    </w:p>
    <w:p w14:paraId="37BD43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表3.3-10项目主要噪声源强表单位：dB（A）</w:t>
      </w:r>
    </w:p>
    <w:tbl>
      <w:tblPr>
        <w:tblStyle w:val="183"/>
        <w:tblW w:w="500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81"/>
        <w:gridCol w:w="2076"/>
        <w:gridCol w:w="2076"/>
        <w:gridCol w:w="2081"/>
      </w:tblGrid>
      <w:tr w14:paraId="6244A9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1251" w:type="pct"/>
            <w:vAlign w:val="center"/>
          </w:tcPr>
          <w:p w14:paraId="7CE641C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生产单元</w:t>
            </w:r>
          </w:p>
        </w:tc>
        <w:tc>
          <w:tcPr>
            <w:tcW w:w="1248" w:type="pct"/>
            <w:vAlign w:val="center"/>
          </w:tcPr>
          <w:p w14:paraId="2C40D2E1">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设备名称</w:t>
            </w:r>
          </w:p>
        </w:tc>
        <w:tc>
          <w:tcPr>
            <w:tcW w:w="1248" w:type="pct"/>
            <w:vAlign w:val="center"/>
          </w:tcPr>
          <w:p w14:paraId="540D9E2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噪声值</w:t>
            </w:r>
          </w:p>
          <w:p w14:paraId="001BCB0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Times New Roman"/>
                <w:strike w:val="0"/>
                <w:dstrike w:val="0"/>
                <w:color w:val="auto"/>
                <w:spacing w:val="0"/>
                <w:position w:val="0"/>
                <w:sz w:val="21"/>
                <w:szCs w:val="21"/>
                <w:highlight w:val="none"/>
              </w:rPr>
              <w:t>dB</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Times New Roman"/>
                <w:strike w:val="0"/>
                <w:dstrike w:val="0"/>
                <w:color w:val="auto"/>
                <w:spacing w:val="0"/>
                <w:position w:val="0"/>
                <w:sz w:val="21"/>
                <w:szCs w:val="21"/>
                <w:highlight w:val="none"/>
                <w:lang w:eastAsia="zh-CN"/>
              </w:rPr>
              <w:t>)</w:t>
            </w:r>
          </w:p>
        </w:tc>
        <w:tc>
          <w:tcPr>
            <w:tcW w:w="1251" w:type="pct"/>
            <w:vAlign w:val="center"/>
          </w:tcPr>
          <w:p w14:paraId="1256760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所在位置</w:t>
            </w:r>
          </w:p>
        </w:tc>
      </w:tr>
      <w:tr w14:paraId="1EB5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1251" w:type="pct"/>
            <w:vAlign w:val="center"/>
          </w:tcPr>
          <w:p w14:paraId="53398D5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w:t>
            </w:r>
          </w:p>
        </w:tc>
        <w:tc>
          <w:tcPr>
            <w:tcW w:w="1248" w:type="pct"/>
            <w:vAlign w:val="center"/>
          </w:tcPr>
          <w:p w14:paraId="2DFFDF63">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排风扇</w:t>
            </w:r>
          </w:p>
        </w:tc>
        <w:tc>
          <w:tcPr>
            <w:tcW w:w="1248" w:type="pct"/>
            <w:vAlign w:val="center"/>
          </w:tcPr>
          <w:p w14:paraId="64E1950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70~80</w:t>
            </w:r>
          </w:p>
        </w:tc>
        <w:tc>
          <w:tcPr>
            <w:tcW w:w="1251" w:type="pct"/>
            <w:vAlign w:val="center"/>
          </w:tcPr>
          <w:p w14:paraId="766E0FE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r>
      <w:tr w14:paraId="6390E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46F2AE6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2</w:t>
            </w:r>
          </w:p>
        </w:tc>
        <w:tc>
          <w:tcPr>
            <w:tcW w:w="1248" w:type="pct"/>
            <w:vAlign w:val="center"/>
          </w:tcPr>
          <w:p w14:paraId="6D60AD4B">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挤奶真空泵</w:t>
            </w:r>
          </w:p>
        </w:tc>
        <w:tc>
          <w:tcPr>
            <w:tcW w:w="1248" w:type="pct"/>
            <w:vAlign w:val="center"/>
          </w:tcPr>
          <w:p w14:paraId="226BA18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65~70</w:t>
            </w:r>
          </w:p>
        </w:tc>
        <w:tc>
          <w:tcPr>
            <w:tcW w:w="1251" w:type="pct"/>
            <w:vAlign w:val="center"/>
          </w:tcPr>
          <w:p w14:paraId="11B483F9">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挤奶厅</w:t>
            </w:r>
          </w:p>
        </w:tc>
      </w:tr>
      <w:tr w14:paraId="33D08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6134D52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bookmarkStart w:id="151" w:name="_Toc289360091"/>
            <w:bookmarkStart w:id="152" w:name="_Toc291499394"/>
            <w:bookmarkStart w:id="153" w:name="_Toc10130"/>
            <w:bookmarkStart w:id="154" w:name="_Toc224388084"/>
            <w:bookmarkStart w:id="155" w:name="_Toc321043910"/>
            <w:bookmarkStart w:id="156" w:name="_Toc310503790"/>
            <w:bookmarkStart w:id="157" w:name="_Toc89619336"/>
            <w:bookmarkStart w:id="158" w:name="_Toc16418"/>
            <w:r>
              <w:rPr>
                <w:rFonts w:hint="eastAsia" w:ascii="Times New Roman" w:hAnsi="Times New Roman" w:eastAsia="宋体" w:cs="Times New Roman"/>
                <w:strike w:val="0"/>
                <w:dstrike w:val="0"/>
                <w:color w:val="auto"/>
                <w:spacing w:val="0"/>
                <w:position w:val="0"/>
                <w:sz w:val="21"/>
                <w:szCs w:val="21"/>
                <w:highlight w:val="none"/>
                <w:lang w:val="en-US" w:eastAsia="zh-CN"/>
              </w:rPr>
              <w:t>3</w:t>
            </w:r>
          </w:p>
        </w:tc>
        <w:tc>
          <w:tcPr>
            <w:tcW w:w="1248" w:type="pct"/>
            <w:vAlign w:val="center"/>
          </w:tcPr>
          <w:p w14:paraId="2B0910B6">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清洗高压水泵</w:t>
            </w:r>
          </w:p>
        </w:tc>
        <w:tc>
          <w:tcPr>
            <w:tcW w:w="1248" w:type="pct"/>
            <w:vAlign w:val="center"/>
          </w:tcPr>
          <w:p w14:paraId="78B55DE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70~80</w:t>
            </w:r>
          </w:p>
        </w:tc>
        <w:tc>
          <w:tcPr>
            <w:tcW w:w="1251" w:type="pct"/>
            <w:vAlign w:val="center"/>
          </w:tcPr>
          <w:p w14:paraId="5B56615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挤奶厅</w:t>
            </w:r>
          </w:p>
        </w:tc>
      </w:tr>
      <w:tr w14:paraId="72FB6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3FAB27E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4</w:t>
            </w:r>
          </w:p>
        </w:tc>
        <w:tc>
          <w:tcPr>
            <w:tcW w:w="1248" w:type="pct"/>
            <w:vAlign w:val="center"/>
          </w:tcPr>
          <w:p w14:paraId="12A82DD0">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饲料粉碎机</w:t>
            </w:r>
          </w:p>
        </w:tc>
        <w:tc>
          <w:tcPr>
            <w:tcW w:w="1248" w:type="pct"/>
            <w:vAlign w:val="center"/>
          </w:tcPr>
          <w:p w14:paraId="7D3FAD4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8</w:t>
            </w:r>
            <w:r>
              <w:rPr>
                <w:rFonts w:ascii="Times New Roman" w:hAnsi="Times New Roman" w:eastAsia="宋体" w:cs="Times New Roman"/>
                <w:strike w:val="0"/>
                <w:dstrike w:val="0"/>
                <w:color w:val="auto"/>
                <w:spacing w:val="0"/>
                <w:position w:val="0"/>
                <w:sz w:val="21"/>
                <w:szCs w:val="21"/>
                <w:highlight w:val="none"/>
              </w:rPr>
              <w:t>0~</w:t>
            </w:r>
            <w:r>
              <w:rPr>
                <w:rFonts w:hint="eastAsia" w:ascii="Times New Roman" w:hAnsi="Times New Roman" w:eastAsia="宋体" w:cs="Times New Roman"/>
                <w:strike w:val="0"/>
                <w:dstrike w:val="0"/>
                <w:color w:val="auto"/>
                <w:spacing w:val="0"/>
                <w:position w:val="0"/>
                <w:sz w:val="21"/>
                <w:szCs w:val="21"/>
                <w:highlight w:val="none"/>
                <w:lang w:val="en-US" w:eastAsia="zh-CN"/>
              </w:rPr>
              <w:t>9</w:t>
            </w:r>
            <w:r>
              <w:rPr>
                <w:rFonts w:ascii="Times New Roman" w:hAnsi="Times New Roman" w:eastAsia="宋体" w:cs="Times New Roman"/>
                <w:strike w:val="0"/>
                <w:dstrike w:val="0"/>
                <w:color w:val="auto"/>
                <w:spacing w:val="0"/>
                <w:position w:val="0"/>
                <w:sz w:val="21"/>
                <w:szCs w:val="21"/>
                <w:highlight w:val="none"/>
              </w:rPr>
              <w:t>0</w:t>
            </w:r>
          </w:p>
        </w:tc>
        <w:tc>
          <w:tcPr>
            <w:tcW w:w="1251" w:type="pct"/>
            <w:vAlign w:val="center"/>
          </w:tcPr>
          <w:p w14:paraId="2967154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r>
      <w:tr w14:paraId="565F8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5D8E13E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1248" w:type="pct"/>
            <w:vAlign w:val="center"/>
          </w:tcPr>
          <w:p w14:paraId="588E073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饲料搅拌机</w:t>
            </w:r>
          </w:p>
        </w:tc>
        <w:tc>
          <w:tcPr>
            <w:tcW w:w="1248" w:type="pct"/>
            <w:vAlign w:val="center"/>
          </w:tcPr>
          <w:p w14:paraId="4748D8D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70~80</w:t>
            </w:r>
          </w:p>
        </w:tc>
        <w:tc>
          <w:tcPr>
            <w:tcW w:w="1251" w:type="pct"/>
            <w:vAlign w:val="center"/>
          </w:tcPr>
          <w:p w14:paraId="674E88E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r>
      <w:tr w14:paraId="249267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251" w:type="pct"/>
            <w:vAlign w:val="center"/>
          </w:tcPr>
          <w:p w14:paraId="2F3DBFF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w:t>
            </w:r>
          </w:p>
        </w:tc>
        <w:tc>
          <w:tcPr>
            <w:tcW w:w="1248" w:type="pct"/>
            <w:vAlign w:val="center"/>
          </w:tcPr>
          <w:p w14:paraId="3403209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运输车辆噪声</w:t>
            </w:r>
          </w:p>
        </w:tc>
        <w:tc>
          <w:tcPr>
            <w:tcW w:w="1248" w:type="pct"/>
            <w:vAlign w:val="center"/>
          </w:tcPr>
          <w:p w14:paraId="0BB5A72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75~80</w:t>
            </w:r>
          </w:p>
        </w:tc>
        <w:tc>
          <w:tcPr>
            <w:tcW w:w="1251" w:type="pct"/>
            <w:vAlign w:val="center"/>
          </w:tcPr>
          <w:p w14:paraId="6BA89BB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厂区内</w:t>
            </w:r>
          </w:p>
        </w:tc>
      </w:tr>
    </w:tbl>
    <w:p w14:paraId="06EA2E0D">
      <w:pPr>
        <w:pStyle w:val="3"/>
        <w:rPr>
          <w:rFonts w:ascii="Times New Roman" w:hAnsi="Times New Roman" w:eastAsia="宋体"/>
          <w:strike w:val="0"/>
          <w:dstrike w:val="0"/>
          <w:color w:val="auto"/>
          <w:highlight w:val="none"/>
        </w:rPr>
      </w:pPr>
      <w:bookmarkStart w:id="159" w:name="_Toc31356"/>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排放</w:t>
      </w:r>
      <w:bookmarkEnd w:id="151"/>
      <w:bookmarkEnd w:id="152"/>
      <w:bookmarkEnd w:id="153"/>
      <w:bookmarkEnd w:id="154"/>
      <w:bookmarkEnd w:id="155"/>
      <w:bookmarkEnd w:id="156"/>
      <w:bookmarkEnd w:id="157"/>
      <w:bookmarkEnd w:id="158"/>
      <w:bookmarkEnd w:id="159"/>
    </w:p>
    <w:p w14:paraId="1A65F68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产生及排放统计见表3.</w:t>
      </w: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p>
    <w:p w14:paraId="18EDE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表3.4-1污染物“三废”产生及排放统计表</w:t>
      </w:r>
    </w:p>
    <w:tbl>
      <w:tblPr>
        <w:tblStyle w:val="183"/>
        <w:tblW w:w="505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6"/>
        <w:gridCol w:w="959"/>
        <w:gridCol w:w="1282"/>
        <w:gridCol w:w="1499"/>
        <w:gridCol w:w="3113"/>
        <w:gridCol w:w="1139"/>
      </w:tblGrid>
      <w:tr w14:paraId="2EC49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818" w:type="pct"/>
            <w:gridSpan w:val="2"/>
            <w:tcBorders>
              <w:tl2br w:val="nil"/>
              <w:tr2bl w:val="nil"/>
            </w:tcBorders>
            <w:vAlign w:val="center"/>
          </w:tcPr>
          <w:p w14:paraId="004F1AE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污染源</w:t>
            </w:r>
          </w:p>
        </w:tc>
        <w:tc>
          <w:tcPr>
            <w:tcW w:w="762" w:type="pct"/>
            <w:tcBorders>
              <w:tl2br w:val="nil"/>
              <w:tr2bl w:val="nil"/>
            </w:tcBorders>
            <w:vAlign w:val="center"/>
          </w:tcPr>
          <w:p w14:paraId="1E4D2E0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主要污染物</w:t>
            </w:r>
          </w:p>
        </w:tc>
        <w:tc>
          <w:tcPr>
            <w:tcW w:w="891" w:type="pct"/>
            <w:tcBorders>
              <w:tl2br w:val="nil"/>
              <w:tr2bl w:val="nil"/>
            </w:tcBorders>
            <w:vAlign w:val="center"/>
          </w:tcPr>
          <w:p w14:paraId="1A88521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产生量</w:t>
            </w:r>
          </w:p>
        </w:tc>
        <w:tc>
          <w:tcPr>
            <w:tcW w:w="1851" w:type="pct"/>
            <w:tcBorders>
              <w:tl2br w:val="nil"/>
              <w:tr2bl w:val="nil"/>
            </w:tcBorders>
            <w:vAlign w:val="center"/>
          </w:tcPr>
          <w:p w14:paraId="110B789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处置措施</w:t>
            </w:r>
          </w:p>
        </w:tc>
        <w:tc>
          <w:tcPr>
            <w:tcW w:w="675" w:type="pct"/>
            <w:tcBorders>
              <w:tl2br w:val="nil"/>
              <w:tr2bl w:val="nil"/>
            </w:tcBorders>
            <w:vAlign w:val="center"/>
          </w:tcPr>
          <w:p w14:paraId="45E9818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排放量</w:t>
            </w:r>
          </w:p>
        </w:tc>
      </w:tr>
      <w:tr w14:paraId="190AC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restart"/>
            <w:tcBorders>
              <w:tl2br w:val="nil"/>
              <w:tr2bl w:val="nil"/>
            </w:tcBorders>
            <w:vAlign w:val="center"/>
          </w:tcPr>
          <w:p w14:paraId="6AF463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废气</w:t>
            </w:r>
          </w:p>
        </w:tc>
        <w:tc>
          <w:tcPr>
            <w:tcW w:w="570" w:type="pct"/>
            <w:vMerge w:val="restart"/>
            <w:tcBorders>
              <w:tl2br w:val="nil"/>
              <w:tr2bl w:val="nil"/>
            </w:tcBorders>
            <w:vAlign w:val="center"/>
          </w:tcPr>
          <w:p w14:paraId="42BBE3A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骆驼圈舍</w:t>
            </w:r>
          </w:p>
        </w:tc>
        <w:tc>
          <w:tcPr>
            <w:tcW w:w="762" w:type="pct"/>
            <w:tcBorders>
              <w:tl2br w:val="nil"/>
              <w:tr2bl w:val="nil"/>
            </w:tcBorders>
            <w:vAlign w:val="center"/>
          </w:tcPr>
          <w:p w14:paraId="1464D2F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14"/>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65DA437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red"/>
                <w:lang w:val="en-US"/>
              </w:rPr>
            </w:pPr>
            <w:r>
              <w:rPr>
                <w:rFonts w:hint="eastAsia" w:ascii="Times New Roman" w:hAnsi="Times New Roman" w:eastAsia="宋体" w:cs="Times New Roman"/>
                <w:strike w:val="0"/>
                <w:dstrike w:val="0"/>
                <w:color w:val="auto"/>
                <w:spacing w:val="0"/>
                <w:position w:val="0"/>
                <w:sz w:val="21"/>
                <w:szCs w:val="21"/>
                <w:highlight w:val="none"/>
                <w:lang w:val="en-US" w:eastAsia="zh-CN"/>
              </w:rPr>
              <w:t>943.599kg/a</w:t>
            </w:r>
          </w:p>
        </w:tc>
        <w:tc>
          <w:tcPr>
            <w:tcW w:w="1851" w:type="pct"/>
            <w:vMerge w:val="restart"/>
            <w:tcBorders>
              <w:tl2br w:val="nil"/>
              <w:tr2bl w:val="nil"/>
            </w:tcBorders>
            <w:vAlign w:val="center"/>
          </w:tcPr>
          <w:p w14:paraId="3BE739E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default" w:ascii="Times New Roman" w:hAnsi="Times New Roman" w:eastAsia="宋体" w:cs="Times New Roman"/>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675" w:type="pct"/>
            <w:tcBorders>
              <w:tl2br w:val="nil"/>
              <w:tr2bl w:val="nil"/>
            </w:tcBorders>
            <w:vAlign w:val="center"/>
          </w:tcPr>
          <w:p w14:paraId="74037A4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141.54kg/a</w:t>
            </w:r>
          </w:p>
        </w:tc>
      </w:tr>
      <w:tr w14:paraId="4571F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3A55438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4F434EF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5DF1C9A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71A024D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red"/>
              </w:rPr>
            </w:pPr>
            <w:r>
              <w:rPr>
                <w:rFonts w:hint="eastAsia" w:ascii="Times New Roman" w:hAnsi="Times New Roman" w:eastAsia="宋体" w:cs="Times New Roman"/>
                <w:strike w:val="0"/>
                <w:dstrike w:val="0"/>
                <w:color w:val="auto"/>
                <w:spacing w:val="0"/>
                <w:position w:val="0"/>
                <w:sz w:val="21"/>
                <w:szCs w:val="21"/>
                <w:highlight w:val="none"/>
                <w:lang w:val="en-US" w:eastAsia="zh-CN"/>
              </w:rPr>
              <w:t>94.36kg/a</w:t>
            </w:r>
          </w:p>
        </w:tc>
        <w:tc>
          <w:tcPr>
            <w:tcW w:w="1851" w:type="pct"/>
            <w:vMerge w:val="continue"/>
            <w:tcBorders>
              <w:tl2br w:val="nil"/>
              <w:tr2bl w:val="nil"/>
            </w:tcBorders>
            <w:vAlign w:val="center"/>
          </w:tcPr>
          <w:p w14:paraId="7C338A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06D855C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lang w:val="en-US" w:eastAsia="zh-CN"/>
              </w:rPr>
              <w:t>14.154kg/a</w:t>
            </w:r>
          </w:p>
        </w:tc>
      </w:tr>
      <w:tr w14:paraId="255A2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7969D9A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425F28B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堆肥场</w:t>
            </w:r>
          </w:p>
        </w:tc>
        <w:tc>
          <w:tcPr>
            <w:tcW w:w="762" w:type="pct"/>
            <w:tcBorders>
              <w:tl2br w:val="nil"/>
              <w:tr2bl w:val="nil"/>
            </w:tcBorders>
            <w:vAlign w:val="center"/>
          </w:tcPr>
          <w:p w14:paraId="43E8B40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13D1FAA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22.8375</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restart"/>
            <w:tcBorders>
              <w:tl2br w:val="nil"/>
              <w:tr2bl w:val="nil"/>
            </w:tcBorders>
            <w:vAlign w:val="center"/>
          </w:tcPr>
          <w:p w14:paraId="2CFE426F">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cs="宋体"/>
                <w:color w:val="auto"/>
                <w:kern w:val="0"/>
                <w:sz w:val="21"/>
                <w:szCs w:val="21"/>
                <w:lang w:bidi="ar"/>
              </w:rPr>
              <w:t>喷洒除臭剂、</w:t>
            </w:r>
            <w:r>
              <w:rPr>
                <w:rFonts w:hint="eastAsia" w:ascii="Times New Roman" w:hAnsi="Times New Roman" w:eastAsia="宋体" w:cs="宋体"/>
                <w:color w:val="auto"/>
                <w:kern w:val="0"/>
                <w:sz w:val="21"/>
                <w:szCs w:val="21"/>
                <w:lang w:val="en-US" w:eastAsia="zh-CN" w:bidi="ar"/>
              </w:rPr>
              <w:t>发酵膜覆盖、</w:t>
            </w:r>
            <w:r>
              <w:rPr>
                <w:rFonts w:hint="eastAsia" w:ascii="Times New Roman" w:hAnsi="Times New Roman" w:eastAsia="宋体" w:cs="宋体"/>
                <w:color w:val="auto"/>
                <w:kern w:val="0"/>
                <w:sz w:val="21"/>
                <w:szCs w:val="21"/>
                <w:lang w:bidi="ar"/>
              </w:rPr>
              <w:t>加强绿化</w:t>
            </w:r>
          </w:p>
        </w:tc>
        <w:tc>
          <w:tcPr>
            <w:tcW w:w="675" w:type="pct"/>
            <w:tcBorders>
              <w:tl2br w:val="nil"/>
              <w:tr2bl w:val="nil"/>
            </w:tcBorders>
            <w:vAlign w:val="center"/>
          </w:tcPr>
          <w:p w14:paraId="60AF6B3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9.1350</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4BF10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57F9BC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1F1FCDC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4AE399C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667F9B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0.5481</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continue"/>
            <w:tcBorders>
              <w:tl2br w:val="nil"/>
              <w:tr2bl w:val="nil"/>
            </w:tcBorders>
            <w:vAlign w:val="center"/>
          </w:tcPr>
          <w:p w14:paraId="7FAF9965">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158F02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0.2192</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1C3D50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602FB9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6B16F7D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黑膜池</w:t>
            </w:r>
          </w:p>
        </w:tc>
        <w:tc>
          <w:tcPr>
            <w:tcW w:w="762" w:type="pct"/>
            <w:tcBorders>
              <w:tl2br w:val="nil"/>
              <w:tr2bl w:val="nil"/>
            </w:tcBorders>
            <w:vAlign w:val="center"/>
          </w:tcPr>
          <w:p w14:paraId="0262665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143C19C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4.8670</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restart"/>
            <w:tcBorders>
              <w:tl2br w:val="nil"/>
              <w:tr2bl w:val="nil"/>
            </w:tcBorders>
            <w:vAlign w:val="center"/>
          </w:tcPr>
          <w:p w14:paraId="016A9A33">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r>
              <w:rPr>
                <w:rFonts w:hint="eastAsia" w:ascii="Times New Roman" w:hAnsi="Times New Roman" w:eastAsia="宋体" w:cs="宋体"/>
                <w:color w:val="auto"/>
                <w:kern w:val="0"/>
                <w:sz w:val="21"/>
                <w:szCs w:val="21"/>
                <w:lang w:bidi="ar"/>
              </w:rPr>
              <w:t>池体覆膜密闭，喷洒除臭剂、加强绿化</w:t>
            </w:r>
          </w:p>
        </w:tc>
        <w:tc>
          <w:tcPr>
            <w:tcW w:w="675" w:type="pct"/>
            <w:tcBorders>
              <w:tl2br w:val="nil"/>
              <w:tr2bl w:val="nil"/>
            </w:tcBorders>
            <w:vAlign w:val="center"/>
          </w:tcPr>
          <w:p w14:paraId="19A84B4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0.7301</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206C5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6C5A36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74D39E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056CC64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11ABDFD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ascii="Times New Roman" w:hAnsi="Times New Roman" w:eastAsia="宋体" w:cs="Times New Roman"/>
                <w:strike w:val="0"/>
                <w:dstrike w:val="0"/>
                <w:color w:val="auto"/>
                <w:spacing w:val="0"/>
                <w:sz w:val="21"/>
                <w:szCs w:val="21"/>
                <w:highlight w:val="none"/>
              </w:rPr>
              <w:t>0.</w:t>
            </w:r>
            <w:r>
              <w:rPr>
                <w:rFonts w:hint="eastAsia" w:ascii="Times New Roman" w:hAnsi="Times New Roman" w:eastAsia="宋体" w:cs="Times New Roman"/>
                <w:strike w:val="0"/>
                <w:dstrike w:val="0"/>
                <w:color w:val="auto"/>
                <w:spacing w:val="0"/>
                <w:sz w:val="21"/>
                <w:szCs w:val="21"/>
                <w:highlight w:val="none"/>
                <w:lang w:val="en-US" w:eastAsia="zh-CN"/>
              </w:rPr>
              <w:t>1884</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c>
          <w:tcPr>
            <w:tcW w:w="1851" w:type="pct"/>
            <w:vMerge w:val="continue"/>
            <w:tcBorders>
              <w:tl2br w:val="nil"/>
              <w:tr2bl w:val="nil"/>
            </w:tcBorders>
            <w:vAlign w:val="center"/>
          </w:tcPr>
          <w:p w14:paraId="79EBF2B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6C7EA21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0.0283</w:t>
            </w:r>
            <w:r>
              <w:rPr>
                <w:rFonts w:hint="eastAsia" w:ascii="Times New Roman" w:hAnsi="Times New Roman" w:eastAsia="宋体" w:cs="Times New Roman"/>
                <w:strike w:val="0"/>
                <w:dstrike w:val="0"/>
                <w:color w:val="auto"/>
                <w:spacing w:val="0"/>
                <w:position w:val="0"/>
                <w:sz w:val="21"/>
                <w:szCs w:val="21"/>
                <w:highlight w:val="none"/>
                <w:lang w:val="en-US" w:eastAsia="zh-CN"/>
              </w:rPr>
              <w:t>kg/a</w:t>
            </w:r>
          </w:p>
        </w:tc>
      </w:tr>
      <w:tr w14:paraId="266BB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restart"/>
            <w:tcBorders>
              <w:tl2br w:val="nil"/>
              <w:tr2bl w:val="nil"/>
            </w:tcBorders>
            <w:vAlign w:val="center"/>
          </w:tcPr>
          <w:p w14:paraId="4DFBE31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废水</w:t>
            </w:r>
          </w:p>
        </w:tc>
        <w:tc>
          <w:tcPr>
            <w:tcW w:w="570" w:type="pct"/>
            <w:tcBorders>
              <w:tl2br w:val="nil"/>
              <w:tr2bl w:val="nil"/>
            </w:tcBorders>
            <w:vAlign w:val="center"/>
          </w:tcPr>
          <w:p w14:paraId="1394A0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0051750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生活污水</w:t>
            </w:r>
          </w:p>
        </w:tc>
        <w:tc>
          <w:tcPr>
            <w:tcW w:w="891" w:type="pct"/>
            <w:tcBorders>
              <w:tl2br w:val="nil"/>
              <w:tr2bl w:val="nil"/>
            </w:tcBorders>
            <w:vAlign w:val="center"/>
          </w:tcPr>
          <w:p w14:paraId="0C3284A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restart"/>
            <w:tcBorders>
              <w:tl2br w:val="nil"/>
              <w:tr2bl w:val="nil"/>
            </w:tcBorders>
            <w:vAlign w:val="center"/>
          </w:tcPr>
          <w:p w14:paraId="3B56484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rPr>
              <w:t>经地下排污管道自流至舍外黑膜池，发酵处理后定期外售有机肥厂</w:t>
            </w:r>
          </w:p>
        </w:tc>
        <w:tc>
          <w:tcPr>
            <w:tcW w:w="675" w:type="pct"/>
            <w:tcBorders>
              <w:tl2br w:val="nil"/>
              <w:tr2bl w:val="nil"/>
            </w:tcBorders>
            <w:vAlign w:val="center"/>
          </w:tcPr>
          <w:p w14:paraId="5E0C5DD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10754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continue"/>
            <w:tcBorders>
              <w:tl2br w:val="nil"/>
              <w:tr2bl w:val="nil"/>
            </w:tcBorders>
            <w:textDirection w:val="tbRlV"/>
            <w:vAlign w:val="center"/>
          </w:tcPr>
          <w:p w14:paraId="5A03D1F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4F69F51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挤奶厅</w:t>
            </w:r>
          </w:p>
        </w:tc>
        <w:tc>
          <w:tcPr>
            <w:tcW w:w="762" w:type="pct"/>
            <w:tcBorders>
              <w:tl2br w:val="nil"/>
              <w:tr2bl w:val="nil"/>
            </w:tcBorders>
            <w:vAlign w:val="center"/>
          </w:tcPr>
          <w:p w14:paraId="081C617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清洗废水</w:t>
            </w:r>
          </w:p>
        </w:tc>
        <w:tc>
          <w:tcPr>
            <w:tcW w:w="891" w:type="pct"/>
            <w:tcBorders>
              <w:tl2br w:val="nil"/>
              <w:tr2bl w:val="nil"/>
            </w:tcBorders>
            <w:vAlign w:val="center"/>
          </w:tcPr>
          <w:p w14:paraId="15D7FD7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1226.4</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continue"/>
            <w:tcBorders>
              <w:tl2br w:val="nil"/>
              <w:tr2bl w:val="nil"/>
            </w:tcBorders>
            <w:vAlign w:val="center"/>
          </w:tcPr>
          <w:p w14:paraId="41ECD92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rPr>
            </w:pPr>
          </w:p>
        </w:tc>
        <w:tc>
          <w:tcPr>
            <w:tcW w:w="675" w:type="pct"/>
            <w:tcBorders>
              <w:tl2br w:val="nil"/>
              <w:tr2bl w:val="nil"/>
            </w:tcBorders>
            <w:vAlign w:val="center"/>
          </w:tcPr>
          <w:p w14:paraId="742D5A8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1226.4</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37278B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continue"/>
            <w:tcBorders>
              <w:tl2br w:val="nil"/>
              <w:tr2bl w:val="nil"/>
            </w:tcBorders>
            <w:textDirection w:val="tbRlV"/>
            <w:vAlign w:val="center"/>
          </w:tcPr>
          <w:p w14:paraId="63F4122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409916E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挤奶设备</w:t>
            </w:r>
          </w:p>
        </w:tc>
        <w:tc>
          <w:tcPr>
            <w:tcW w:w="762" w:type="pct"/>
            <w:tcBorders>
              <w:tl2br w:val="nil"/>
              <w:tr2bl w:val="nil"/>
            </w:tcBorders>
            <w:vAlign w:val="center"/>
          </w:tcPr>
          <w:p w14:paraId="0933D4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清洗废水</w:t>
            </w:r>
          </w:p>
        </w:tc>
        <w:tc>
          <w:tcPr>
            <w:tcW w:w="891" w:type="pct"/>
            <w:tcBorders>
              <w:tl2br w:val="nil"/>
              <w:tr2bl w:val="nil"/>
            </w:tcBorders>
            <w:vAlign w:val="center"/>
          </w:tcPr>
          <w:p w14:paraId="3E5A7F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116.8</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continue"/>
            <w:tcBorders>
              <w:tl2br w:val="nil"/>
              <w:tr2bl w:val="nil"/>
            </w:tcBorders>
            <w:vAlign w:val="center"/>
          </w:tcPr>
          <w:p w14:paraId="04A15F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rPr>
            </w:pPr>
          </w:p>
        </w:tc>
        <w:tc>
          <w:tcPr>
            <w:tcW w:w="675" w:type="pct"/>
            <w:tcBorders>
              <w:tl2br w:val="nil"/>
              <w:tr2bl w:val="nil"/>
            </w:tcBorders>
            <w:vAlign w:val="center"/>
          </w:tcPr>
          <w:p w14:paraId="49F1DF3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116.8</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04AFB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restart"/>
            <w:tcBorders>
              <w:tl2br w:val="nil"/>
              <w:tr2bl w:val="nil"/>
            </w:tcBorders>
            <w:vAlign w:val="center"/>
          </w:tcPr>
          <w:p w14:paraId="76A0978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固体废物</w:t>
            </w:r>
          </w:p>
        </w:tc>
        <w:tc>
          <w:tcPr>
            <w:tcW w:w="570" w:type="pct"/>
            <w:tcBorders>
              <w:tl2br w:val="nil"/>
              <w:tr2bl w:val="nil"/>
            </w:tcBorders>
            <w:vAlign w:val="center"/>
          </w:tcPr>
          <w:p w14:paraId="13B4FB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堆肥场</w:t>
            </w:r>
          </w:p>
        </w:tc>
        <w:tc>
          <w:tcPr>
            <w:tcW w:w="762" w:type="pct"/>
            <w:tcBorders>
              <w:tl2br w:val="nil"/>
              <w:tr2bl w:val="nil"/>
            </w:tcBorders>
            <w:vAlign w:val="center"/>
          </w:tcPr>
          <w:p w14:paraId="16318DD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骆驼粪便</w:t>
            </w:r>
          </w:p>
        </w:tc>
        <w:tc>
          <w:tcPr>
            <w:tcW w:w="891" w:type="pct"/>
            <w:tcBorders>
              <w:tl2br w:val="nil"/>
              <w:tr2bl w:val="nil"/>
            </w:tcBorders>
            <w:vAlign w:val="center"/>
          </w:tcPr>
          <w:p w14:paraId="51182B5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c>
          <w:tcPr>
            <w:tcW w:w="1851" w:type="pct"/>
            <w:tcBorders>
              <w:tl2br w:val="nil"/>
              <w:tr2bl w:val="nil"/>
            </w:tcBorders>
            <w:vAlign w:val="center"/>
          </w:tcPr>
          <w:p w14:paraId="3F59A1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清理后外售作为有机肥使用</w:t>
            </w:r>
          </w:p>
        </w:tc>
        <w:tc>
          <w:tcPr>
            <w:tcW w:w="675" w:type="pct"/>
            <w:tcBorders>
              <w:tl2br w:val="nil"/>
              <w:tr2bl w:val="nil"/>
            </w:tcBorders>
            <w:vAlign w:val="center"/>
          </w:tcPr>
          <w:p w14:paraId="55BA2D4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r>
      <w:tr w14:paraId="08252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48" w:type="pct"/>
            <w:vMerge w:val="continue"/>
            <w:tcBorders>
              <w:tl2br w:val="nil"/>
              <w:tr2bl w:val="nil"/>
            </w:tcBorders>
            <w:textDirection w:val="tbRlV"/>
            <w:vAlign w:val="center"/>
          </w:tcPr>
          <w:p w14:paraId="0BF5E8A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666321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养殖区</w:t>
            </w:r>
          </w:p>
        </w:tc>
        <w:tc>
          <w:tcPr>
            <w:tcW w:w="762" w:type="pct"/>
            <w:tcBorders>
              <w:tl2br w:val="nil"/>
              <w:tr2bl w:val="nil"/>
            </w:tcBorders>
            <w:vAlign w:val="center"/>
          </w:tcPr>
          <w:p w14:paraId="451113E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病死</w:t>
            </w:r>
            <w:r>
              <w:rPr>
                <w:rFonts w:hint="eastAsia" w:ascii="Times New Roman" w:hAnsi="Times New Roman" w:eastAsia="宋体" w:cs="宋体"/>
                <w:strike w:val="0"/>
                <w:dstrike w:val="0"/>
                <w:color w:val="auto"/>
                <w:spacing w:val="0"/>
                <w:sz w:val="21"/>
                <w:szCs w:val="21"/>
                <w:highlight w:val="none"/>
                <w:lang w:eastAsia="zh-CN"/>
              </w:rPr>
              <w:t>骆驼</w:t>
            </w:r>
          </w:p>
        </w:tc>
        <w:tc>
          <w:tcPr>
            <w:tcW w:w="891" w:type="pct"/>
            <w:tcBorders>
              <w:tl2br w:val="nil"/>
              <w:tr2bl w:val="nil"/>
            </w:tcBorders>
            <w:vAlign w:val="center"/>
          </w:tcPr>
          <w:p w14:paraId="1BB45E7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c>
          <w:tcPr>
            <w:tcW w:w="1851" w:type="pct"/>
            <w:vMerge w:val="restart"/>
            <w:tcBorders>
              <w:tl2br w:val="nil"/>
              <w:tr2bl w:val="nil"/>
            </w:tcBorders>
            <w:vAlign w:val="center"/>
          </w:tcPr>
          <w:p w14:paraId="395F872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val="en-US" w:eastAsia="zh-CN"/>
              </w:rPr>
              <w:t>委托具有合法资质的无害化处理单位进行无害化处理</w:t>
            </w:r>
          </w:p>
        </w:tc>
        <w:tc>
          <w:tcPr>
            <w:tcW w:w="675" w:type="pct"/>
            <w:tcBorders>
              <w:tl2br w:val="nil"/>
              <w:tr2bl w:val="nil"/>
            </w:tcBorders>
            <w:vAlign w:val="center"/>
          </w:tcPr>
          <w:p w14:paraId="6EFFC44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r>
      <w:tr w14:paraId="38A72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48" w:type="pct"/>
            <w:vMerge w:val="continue"/>
            <w:tcBorders>
              <w:tl2br w:val="nil"/>
              <w:tr2bl w:val="nil"/>
            </w:tcBorders>
            <w:textDirection w:val="tbRlV"/>
            <w:vAlign w:val="center"/>
          </w:tcPr>
          <w:p w14:paraId="58CD38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09DF543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孕驼舍</w:t>
            </w:r>
          </w:p>
        </w:tc>
        <w:tc>
          <w:tcPr>
            <w:tcW w:w="762" w:type="pct"/>
            <w:tcBorders>
              <w:tl2br w:val="nil"/>
              <w:tr2bl w:val="nil"/>
            </w:tcBorders>
            <w:vAlign w:val="center"/>
          </w:tcPr>
          <w:p w14:paraId="3D309DB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分娩废弃物（胎衣、死胎、胎盘附属物）</w:t>
            </w:r>
          </w:p>
        </w:tc>
        <w:tc>
          <w:tcPr>
            <w:tcW w:w="891" w:type="pct"/>
            <w:tcBorders>
              <w:tl2br w:val="nil"/>
              <w:tr2bl w:val="nil"/>
            </w:tcBorders>
            <w:vAlign w:val="center"/>
          </w:tcPr>
          <w:p w14:paraId="4F96477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0.5t/a</w:t>
            </w:r>
          </w:p>
        </w:tc>
        <w:tc>
          <w:tcPr>
            <w:tcW w:w="1851" w:type="pct"/>
            <w:vMerge w:val="continue"/>
            <w:tcBorders>
              <w:tl2br w:val="nil"/>
              <w:tr2bl w:val="nil"/>
            </w:tcBorders>
            <w:vAlign w:val="center"/>
          </w:tcPr>
          <w:p w14:paraId="15E3A4B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p>
        </w:tc>
        <w:tc>
          <w:tcPr>
            <w:tcW w:w="675" w:type="pct"/>
            <w:tcBorders>
              <w:tl2br w:val="nil"/>
              <w:tr2bl w:val="nil"/>
            </w:tcBorders>
            <w:vAlign w:val="center"/>
          </w:tcPr>
          <w:p w14:paraId="0F38C1C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0.5t/a</w:t>
            </w:r>
          </w:p>
        </w:tc>
      </w:tr>
      <w:tr w14:paraId="65453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248" w:type="pct"/>
            <w:vMerge w:val="continue"/>
            <w:tcBorders>
              <w:tl2br w:val="nil"/>
              <w:tr2bl w:val="nil"/>
            </w:tcBorders>
            <w:textDirection w:val="tbRlV"/>
            <w:vAlign w:val="center"/>
          </w:tcPr>
          <w:p w14:paraId="06C02A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4659531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兽医站</w:t>
            </w:r>
          </w:p>
        </w:tc>
        <w:tc>
          <w:tcPr>
            <w:tcW w:w="762" w:type="pct"/>
            <w:tcBorders>
              <w:tl2br w:val="nil"/>
              <w:tr2bl w:val="nil"/>
            </w:tcBorders>
            <w:vAlign w:val="center"/>
          </w:tcPr>
          <w:p w14:paraId="2D67A5D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医疗垃圾</w:t>
            </w:r>
          </w:p>
        </w:tc>
        <w:tc>
          <w:tcPr>
            <w:tcW w:w="891" w:type="pct"/>
            <w:tcBorders>
              <w:tl2br w:val="nil"/>
              <w:tr2bl w:val="nil"/>
            </w:tcBorders>
            <w:vAlign w:val="center"/>
          </w:tcPr>
          <w:p w14:paraId="7D9A4B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c>
          <w:tcPr>
            <w:tcW w:w="1851" w:type="pct"/>
            <w:tcBorders>
              <w:tl2br w:val="nil"/>
              <w:tr2bl w:val="nil"/>
            </w:tcBorders>
            <w:vAlign w:val="center"/>
          </w:tcPr>
          <w:p w14:paraId="30A3D32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设置</w:t>
            </w:r>
            <w:r>
              <w:rPr>
                <w:rFonts w:hint="eastAsia" w:ascii="Times New Roman" w:hAnsi="Times New Roman" w:eastAsia="宋体" w:cs="宋体"/>
                <w:strike w:val="0"/>
                <w:dstrike w:val="0"/>
                <w:color w:val="auto"/>
                <w:spacing w:val="0"/>
                <w:sz w:val="21"/>
                <w:szCs w:val="21"/>
                <w:highlight w:val="none"/>
                <w:lang w:eastAsia="zh-CN"/>
              </w:rPr>
              <w:t>医疗废物暂存间</w:t>
            </w:r>
            <w:r>
              <w:rPr>
                <w:rFonts w:ascii="Times New Roman" w:hAnsi="Times New Roman" w:eastAsia="宋体" w:cs="宋体"/>
                <w:strike w:val="0"/>
                <w:dstrike w:val="0"/>
                <w:color w:val="auto"/>
                <w:spacing w:val="0"/>
                <w:sz w:val="21"/>
                <w:szCs w:val="21"/>
                <w:highlight w:val="none"/>
              </w:rPr>
              <w:t>暂存后定期交由有资质单位处置</w:t>
            </w:r>
          </w:p>
        </w:tc>
        <w:tc>
          <w:tcPr>
            <w:tcW w:w="675" w:type="pct"/>
            <w:tcBorders>
              <w:tl2br w:val="nil"/>
              <w:tr2bl w:val="nil"/>
            </w:tcBorders>
            <w:vAlign w:val="center"/>
          </w:tcPr>
          <w:p w14:paraId="22B8825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r>
      <w:tr w14:paraId="78A5B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continue"/>
            <w:tcBorders>
              <w:tl2br w:val="nil"/>
              <w:tr2bl w:val="nil"/>
            </w:tcBorders>
            <w:textDirection w:val="tbRlV"/>
            <w:vAlign w:val="center"/>
          </w:tcPr>
          <w:p w14:paraId="49B9D4D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4A8E659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挤奶大厅</w:t>
            </w:r>
          </w:p>
        </w:tc>
        <w:tc>
          <w:tcPr>
            <w:tcW w:w="762" w:type="pct"/>
            <w:tcBorders>
              <w:tl2br w:val="nil"/>
              <w:tr2bl w:val="nil"/>
            </w:tcBorders>
            <w:vAlign w:val="center"/>
          </w:tcPr>
          <w:p w14:paraId="6CEAE28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挤奶大厅废弃的一次性挤奶耗材、塑料奶管、废弃包装物</w:t>
            </w:r>
          </w:p>
        </w:tc>
        <w:tc>
          <w:tcPr>
            <w:tcW w:w="891" w:type="pct"/>
            <w:tcBorders>
              <w:tl2br w:val="nil"/>
              <w:tr2bl w:val="nil"/>
            </w:tcBorders>
            <w:vAlign w:val="center"/>
          </w:tcPr>
          <w:p w14:paraId="440BC4F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c>
          <w:tcPr>
            <w:tcW w:w="1851" w:type="pct"/>
            <w:tcBorders>
              <w:tl2br w:val="nil"/>
              <w:tr2bl w:val="nil"/>
            </w:tcBorders>
            <w:vAlign w:val="center"/>
          </w:tcPr>
          <w:p w14:paraId="3844B62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交由废物回收单位处置</w:t>
            </w:r>
          </w:p>
        </w:tc>
        <w:tc>
          <w:tcPr>
            <w:tcW w:w="675" w:type="pct"/>
            <w:tcBorders>
              <w:tl2br w:val="nil"/>
              <w:tr2bl w:val="nil"/>
            </w:tcBorders>
            <w:vAlign w:val="center"/>
          </w:tcPr>
          <w:p w14:paraId="6E6039C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r>
      <w:tr w14:paraId="66ABD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continue"/>
            <w:tcBorders>
              <w:tl2br w:val="nil"/>
              <w:tr2bl w:val="nil"/>
            </w:tcBorders>
            <w:textDirection w:val="tbRlV"/>
            <w:vAlign w:val="center"/>
          </w:tcPr>
          <w:p w14:paraId="5F0E1C7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212A60E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黑膜池</w:t>
            </w:r>
          </w:p>
        </w:tc>
        <w:tc>
          <w:tcPr>
            <w:tcW w:w="762" w:type="pct"/>
            <w:tcBorders>
              <w:tl2br w:val="nil"/>
              <w:tr2bl w:val="nil"/>
            </w:tcBorders>
            <w:vAlign w:val="center"/>
          </w:tcPr>
          <w:p w14:paraId="46343BB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污泥</w:t>
            </w:r>
          </w:p>
        </w:tc>
        <w:tc>
          <w:tcPr>
            <w:tcW w:w="891" w:type="pct"/>
            <w:tcBorders>
              <w:tl2br w:val="nil"/>
              <w:tr2bl w:val="nil"/>
            </w:tcBorders>
            <w:vAlign w:val="center"/>
          </w:tcPr>
          <w:p w14:paraId="44E21FA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7.53m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hint="eastAsia" w:ascii="Times New Roman" w:hAnsi="Times New Roman" w:eastAsia="宋体" w:cs="Times New Roman"/>
                <w:strike w:val="0"/>
                <w:dstrike w:val="0"/>
                <w:color w:val="auto"/>
                <w:spacing w:val="0"/>
                <w:sz w:val="21"/>
                <w:szCs w:val="21"/>
                <w:highlight w:val="none"/>
                <w:lang w:val="en-US" w:eastAsia="zh-CN"/>
              </w:rPr>
              <w:t>/a</w:t>
            </w:r>
          </w:p>
        </w:tc>
        <w:tc>
          <w:tcPr>
            <w:tcW w:w="1851" w:type="pct"/>
            <w:tcBorders>
              <w:tl2br w:val="nil"/>
              <w:tr2bl w:val="nil"/>
            </w:tcBorders>
            <w:vAlign w:val="center"/>
          </w:tcPr>
          <w:p w14:paraId="2D4D1EB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定期运至堆肥场，经过处理后作为同骆驼粪便一同作为有机肥外售</w:t>
            </w:r>
          </w:p>
        </w:tc>
        <w:tc>
          <w:tcPr>
            <w:tcW w:w="675" w:type="pct"/>
            <w:tcBorders>
              <w:tl2br w:val="nil"/>
              <w:tr2bl w:val="nil"/>
            </w:tcBorders>
            <w:vAlign w:val="center"/>
          </w:tcPr>
          <w:p w14:paraId="3F57888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7.53m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hint="eastAsia" w:ascii="Times New Roman" w:hAnsi="Times New Roman" w:eastAsia="宋体" w:cs="Times New Roman"/>
                <w:strike w:val="0"/>
                <w:dstrike w:val="0"/>
                <w:color w:val="auto"/>
                <w:spacing w:val="0"/>
                <w:sz w:val="21"/>
                <w:szCs w:val="21"/>
                <w:highlight w:val="none"/>
                <w:lang w:val="en-US" w:eastAsia="zh-CN"/>
              </w:rPr>
              <w:t>/a</w:t>
            </w:r>
          </w:p>
        </w:tc>
      </w:tr>
      <w:tr w14:paraId="76554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248" w:type="pct"/>
            <w:vMerge w:val="continue"/>
            <w:tcBorders>
              <w:tl2br w:val="nil"/>
              <w:tr2bl w:val="nil"/>
            </w:tcBorders>
            <w:textDirection w:val="tbRlV"/>
            <w:vAlign w:val="center"/>
          </w:tcPr>
          <w:p w14:paraId="7BEF319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03E1EE6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52DAA5E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生活垃圾</w:t>
            </w:r>
          </w:p>
        </w:tc>
        <w:tc>
          <w:tcPr>
            <w:tcW w:w="891" w:type="pct"/>
            <w:tcBorders>
              <w:tl2br w:val="nil"/>
              <w:tr2bl w:val="nil"/>
            </w:tcBorders>
            <w:vAlign w:val="center"/>
          </w:tcPr>
          <w:p w14:paraId="6D69642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c>
          <w:tcPr>
            <w:tcW w:w="1851" w:type="pct"/>
            <w:tcBorders>
              <w:tl2br w:val="nil"/>
              <w:tr2bl w:val="nil"/>
            </w:tcBorders>
            <w:vAlign w:val="center"/>
          </w:tcPr>
          <w:p w14:paraId="5198B0A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由环卫部门运至垃圾填埋场</w:t>
            </w:r>
          </w:p>
        </w:tc>
        <w:tc>
          <w:tcPr>
            <w:tcW w:w="675" w:type="pct"/>
            <w:tcBorders>
              <w:tl2br w:val="nil"/>
              <w:tr2bl w:val="nil"/>
            </w:tcBorders>
            <w:vAlign w:val="center"/>
          </w:tcPr>
          <w:p w14:paraId="695969E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r>
      <w:tr w14:paraId="49CCB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jc w:val="center"/>
        </w:trPr>
        <w:tc>
          <w:tcPr>
            <w:tcW w:w="248" w:type="pct"/>
            <w:tcBorders>
              <w:tl2br w:val="nil"/>
              <w:tr2bl w:val="nil"/>
            </w:tcBorders>
            <w:vAlign w:val="center"/>
          </w:tcPr>
          <w:p w14:paraId="38F6D25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噪声</w:t>
            </w:r>
          </w:p>
        </w:tc>
        <w:tc>
          <w:tcPr>
            <w:tcW w:w="1332" w:type="pct"/>
            <w:gridSpan w:val="2"/>
            <w:tcBorders>
              <w:tl2br w:val="nil"/>
              <w:tr2bl w:val="nil"/>
            </w:tcBorders>
            <w:vAlign w:val="center"/>
          </w:tcPr>
          <w:p w14:paraId="264A2E9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工艺设备运行噪声，声级在</w:t>
            </w:r>
            <w:r>
              <w:rPr>
                <w:rFonts w:ascii="Times New Roman" w:hAnsi="Times New Roman" w:eastAsia="宋体" w:cs="Times New Roman"/>
                <w:strike w:val="0"/>
                <w:dstrike w:val="0"/>
                <w:color w:val="auto"/>
                <w:spacing w:val="0"/>
                <w:sz w:val="21"/>
                <w:szCs w:val="21"/>
                <w:highlight w:val="none"/>
              </w:rPr>
              <w:t>75~95dB</w:t>
            </w:r>
          </w:p>
          <w:p w14:paraId="36A53E8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A</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宋体"/>
                <w:strike w:val="0"/>
                <w:dstrike w:val="0"/>
                <w:color w:val="auto"/>
                <w:spacing w:val="0"/>
                <w:sz w:val="21"/>
                <w:szCs w:val="21"/>
                <w:highlight w:val="none"/>
              </w:rPr>
              <w:t>之间</w:t>
            </w:r>
          </w:p>
        </w:tc>
        <w:tc>
          <w:tcPr>
            <w:tcW w:w="3419" w:type="pct"/>
            <w:gridSpan w:val="3"/>
            <w:tcBorders>
              <w:tl2br w:val="nil"/>
              <w:tr2bl w:val="nil"/>
            </w:tcBorders>
            <w:vAlign w:val="center"/>
          </w:tcPr>
          <w:p w14:paraId="71AC165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设备选用低噪声设备，在安装时采取降噪减震措施，全部安装于室内，使用时定期检修，做好设备保养，落实工作间防噪声劳动保护和管理，完善厂区绿化建设</w:t>
            </w:r>
            <w:r>
              <w:rPr>
                <w:rFonts w:hint="eastAsia" w:ascii="Times New Roman" w:hAnsi="Times New Roman" w:eastAsia="宋体" w:cs="宋体"/>
                <w:strike w:val="0"/>
                <w:dstrike w:val="0"/>
                <w:color w:val="auto"/>
                <w:spacing w:val="0"/>
                <w:sz w:val="21"/>
                <w:szCs w:val="21"/>
                <w:highlight w:val="none"/>
                <w:lang w:eastAsia="zh-CN"/>
              </w:rPr>
              <w:t>。</w:t>
            </w:r>
          </w:p>
        </w:tc>
      </w:tr>
    </w:tbl>
    <w:p w14:paraId="037A1870">
      <w:pPr>
        <w:pStyle w:val="3"/>
        <w:rPr>
          <w:rFonts w:ascii="Times New Roman" w:hAnsi="Times New Roman" w:eastAsia="宋体"/>
          <w:strike w:val="0"/>
          <w:dstrike w:val="0"/>
          <w:color w:val="auto"/>
          <w:highlight w:val="none"/>
        </w:rPr>
      </w:pPr>
      <w:bookmarkStart w:id="160" w:name="_Toc89619337"/>
      <w:bookmarkStart w:id="161" w:name="_Toc29336"/>
      <w:bookmarkStart w:id="162" w:name="_Toc13258"/>
      <w:bookmarkStart w:id="163" w:name="_Toc30919"/>
      <w:bookmarkStart w:id="164" w:name="_Toc117518102"/>
      <w:bookmarkStart w:id="165" w:name="_Toc117518268"/>
      <w:bookmarkStart w:id="166" w:name="_Toc117518348"/>
      <w:bookmarkStart w:id="167" w:name="_Toc117518183"/>
      <w:bookmarkStart w:id="168" w:name="_Toc117518553"/>
      <w:bookmarkStart w:id="169" w:name="_Toc347242003"/>
      <w:bookmarkStart w:id="170" w:name="_Toc117517838"/>
      <w:r>
        <w:rPr>
          <w:rFonts w:hint="eastAsia" w:ascii="Times New Roman" w:hAnsi="Times New Roman" w:eastAsia="宋体"/>
          <w:strike w:val="0"/>
          <w:dstrike w:val="0"/>
          <w:color w:val="auto"/>
          <w:highlight w:val="none"/>
        </w:rPr>
        <w:t>3.5总量控制</w:t>
      </w:r>
      <w:bookmarkEnd w:id="160"/>
      <w:bookmarkEnd w:id="161"/>
      <w:bookmarkEnd w:id="162"/>
    </w:p>
    <w:p w14:paraId="7B846EEE">
      <w:pPr>
        <w:ind w:firstLine="480"/>
        <w:rPr>
          <w:rFonts w:hint="eastAsia" w:ascii="Times New Roman" w:hAnsi="Times New Roman" w:eastAsia="宋体"/>
          <w:strike w:val="0"/>
          <w:dstrike w:val="0"/>
          <w:color w:val="auto"/>
          <w:highlight w:val="none"/>
          <w:lang w:eastAsia="zh-CN"/>
        </w:rPr>
      </w:pPr>
      <w:bookmarkStart w:id="171" w:name="_Toc27076"/>
      <w:r>
        <w:rPr>
          <w:rFonts w:ascii="Times New Roman" w:hAnsi="Times New Roman" w:eastAsia="宋体"/>
          <w:strike w:val="0"/>
          <w:dstrike w:val="0"/>
          <w:color w:val="auto"/>
          <w:highlight w:val="none"/>
        </w:rPr>
        <w:t>结合本项目的特征污染物，</w:t>
      </w:r>
      <w:bookmarkEnd w:id="171"/>
      <w:r>
        <w:rPr>
          <w:rFonts w:ascii="Times New Roman" w:hAnsi="Times New Roman" w:eastAsia="宋体"/>
          <w:strike w:val="0"/>
          <w:dstrike w:val="0"/>
          <w:color w:val="auto"/>
          <w:highlight w:val="none"/>
        </w:rPr>
        <w:t>本项目无建议总量控制指标</w:t>
      </w:r>
      <w:r>
        <w:rPr>
          <w:rFonts w:hint="eastAsia" w:ascii="Times New Roman" w:hAnsi="Times New Roman" w:eastAsia="宋体"/>
          <w:strike w:val="0"/>
          <w:dstrike w:val="0"/>
          <w:color w:val="auto"/>
          <w:highlight w:val="none"/>
          <w:lang w:eastAsia="zh-CN"/>
        </w:rPr>
        <w:t>。</w:t>
      </w:r>
    </w:p>
    <w:p w14:paraId="65BF3665">
      <w:pPr>
        <w:pStyle w:val="3"/>
        <w:rPr>
          <w:rFonts w:ascii="Times New Roman" w:hAnsi="Times New Roman" w:eastAsia="宋体"/>
          <w:strike w:val="0"/>
          <w:dstrike w:val="0"/>
          <w:color w:val="auto"/>
          <w:highlight w:val="none"/>
        </w:rPr>
      </w:pPr>
      <w:bookmarkStart w:id="172" w:name="_Toc14636"/>
      <w:bookmarkStart w:id="173" w:name="_Toc89619338"/>
      <w:bookmarkStart w:id="174" w:name="_Toc26725"/>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清洁生产概述</w:t>
      </w:r>
      <w:bookmarkEnd w:id="163"/>
      <w:bookmarkEnd w:id="164"/>
      <w:bookmarkEnd w:id="165"/>
      <w:bookmarkEnd w:id="166"/>
      <w:bookmarkEnd w:id="167"/>
      <w:bookmarkEnd w:id="168"/>
      <w:bookmarkEnd w:id="169"/>
      <w:bookmarkEnd w:id="170"/>
      <w:bookmarkEnd w:id="172"/>
      <w:bookmarkEnd w:id="173"/>
      <w:bookmarkEnd w:id="174"/>
    </w:p>
    <w:p w14:paraId="5DB0A3EA">
      <w:pPr>
        <w:pStyle w:val="4"/>
        <w:rPr>
          <w:rFonts w:ascii="Times New Roman" w:hAnsi="Times New Roman" w:eastAsia="宋体"/>
          <w:strike w:val="0"/>
          <w:dstrike w:val="0"/>
          <w:color w:val="auto"/>
          <w:highlight w:val="none"/>
        </w:rPr>
      </w:pPr>
      <w:bookmarkStart w:id="175" w:name="_Toc299381556"/>
      <w:bookmarkStart w:id="176" w:name="_Toc224388100"/>
      <w:bookmarkStart w:id="177" w:name="_Toc291499424"/>
      <w:bookmarkStart w:id="178" w:name="_Toc310503813"/>
      <w:bookmarkStart w:id="179" w:name="_Toc289360120"/>
      <w:bookmarkStart w:id="180" w:name="_Toc300831158"/>
      <w:bookmarkStart w:id="181" w:name="_Toc321043931"/>
      <w:bookmarkStart w:id="182" w:name="_Toc106663476"/>
      <w:bookmarkStart w:id="183" w:name="_Toc8869"/>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.1清洁生产</w:t>
      </w:r>
      <w:bookmarkEnd w:id="175"/>
      <w:bookmarkEnd w:id="176"/>
      <w:bookmarkEnd w:id="177"/>
      <w:bookmarkEnd w:id="178"/>
      <w:bookmarkEnd w:id="179"/>
      <w:bookmarkEnd w:id="180"/>
      <w:bookmarkEnd w:id="181"/>
      <w:r>
        <w:rPr>
          <w:rFonts w:hint="eastAsia" w:ascii="Times New Roman" w:hAnsi="Times New Roman" w:eastAsia="宋体"/>
          <w:strike w:val="0"/>
          <w:dstrike w:val="0"/>
          <w:color w:val="auto"/>
          <w:highlight w:val="none"/>
        </w:rPr>
        <w:t>的意义</w:t>
      </w:r>
      <w:bookmarkEnd w:id="182"/>
      <w:bookmarkEnd w:id="183"/>
    </w:p>
    <w:p w14:paraId="4DF9D55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清洁生产是贯彻可持续发展战略方针的重要举措</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清洁生产是指将综合预防的环境策略持续地应用于生产过程和产品中，以便减少对人类和环境的风险性</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它主要包括生产过程和产品二个部分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生产过程而言，清洁生产包括节约原材料和能源，淘汰有毒原材料并在全部排放物和废物离开生产过程以前减少它的数量和毒性；对产品而言，清洁生产策略旨在减少产品在整个生产周期过程（包括从原料提炼到产品的最终处置）中对人类和环境的影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污染预防是当今世界也是我国政府提倡的环境保护政策</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实施清洁生产是可持续发展战略的要求，力求工业提高能效，开发更清洁的技术，更新、代替对环境有害的产品和原材料，实现环境和资源的保护和有效管理；实行清洁生产是控制环境污染的有效手段；实行清洁生产可大大降低末端处理的负担；实行清洁生产可提高企业的市场竞争力</w:t>
      </w:r>
      <w:r>
        <w:rPr>
          <w:rFonts w:hint="eastAsia" w:ascii="Times New Roman" w:hAnsi="Times New Roman" w:eastAsia="宋体"/>
          <w:strike w:val="0"/>
          <w:dstrike w:val="0"/>
          <w:color w:val="auto"/>
          <w:highlight w:val="none"/>
          <w:lang w:eastAsia="zh-CN"/>
        </w:rPr>
        <w:t>。</w:t>
      </w:r>
    </w:p>
    <w:p w14:paraId="63E7A4B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本项目为</w:t>
      </w:r>
      <w:r>
        <w:rPr>
          <w:rFonts w:hint="eastAsia" w:ascii="Times New Roman" w:hAnsi="Times New Roman" w:eastAsia="宋体"/>
          <w:strike w:val="0"/>
          <w:dstrike w:val="0"/>
          <w:color w:val="auto"/>
          <w:highlight w:val="none"/>
          <w:lang w:eastAsia="zh-CN"/>
        </w:rPr>
        <w:t>骆驼养殖</w:t>
      </w:r>
      <w:r>
        <w:rPr>
          <w:rFonts w:ascii="Times New Roman" w:hAnsi="Times New Roman" w:eastAsia="宋体"/>
          <w:strike w:val="0"/>
          <w:dstrike w:val="0"/>
          <w:color w:val="auto"/>
          <w:highlight w:val="none"/>
        </w:rPr>
        <w:t>项目，本次评价清洁生产的思路是结合养殖场中废物产生的特点，提出清洁生产方案和循环经济措施，力争达到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节能、降耗、减污、增效</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的目的，从而降低生产成本，减少末端污染物的产生量和排放量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过采用清洁生产和循环利用技术，要明显减降企业生产过程对环境的影响，提高原材料及能源的使用效率，减少资源的浪费，降低生产成本，减少污染物的产生量及排放量，促进企业的技术进步，提高企业的经济效益和管理水平</w:t>
      </w:r>
      <w:r>
        <w:rPr>
          <w:rFonts w:hint="eastAsia" w:ascii="Times New Roman" w:hAnsi="Times New Roman" w:eastAsia="宋体"/>
          <w:strike w:val="0"/>
          <w:dstrike w:val="0"/>
          <w:color w:val="auto"/>
          <w:highlight w:val="none"/>
          <w:lang w:eastAsia="zh-CN"/>
        </w:rPr>
        <w:t>。</w:t>
      </w:r>
    </w:p>
    <w:p w14:paraId="4C5130E0">
      <w:pPr>
        <w:pStyle w:val="4"/>
        <w:rPr>
          <w:rFonts w:ascii="Times New Roman" w:hAnsi="Times New Roman" w:eastAsia="宋体"/>
          <w:strike w:val="0"/>
          <w:dstrike w:val="0"/>
          <w:color w:val="auto"/>
          <w:highlight w:val="none"/>
        </w:rPr>
      </w:pPr>
      <w:bookmarkStart w:id="184" w:name="_Toc4305"/>
      <w:bookmarkStart w:id="185" w:name="_Toc106663477"/>
      <w:r>
        <w:rPr>
          <w:rFonts w:hint="eastAsia" w:ascii="Times New Roman" w:hAnsi="Times New Roman" w:eastAsia="宋体"/>
          <w:strike w:val="0"/>
          <w:dstrike w:val="0"/>
          <w:color w:val="auto"/>
          <w:highlight w:val="none"/>
        </w:rPr>
        <w:t>3.6.2清洁生产水平分析</w:t>
      </w:r>
      <w:bookmarkEnd w:id="184"/>
      <w:bookmarkEnd w:id="185"/>
    </w:p>
    <w:p w14:paraId="2DD2FCF6">
      <w:pPr>
        <w:pStyle w:val="5"/>
        <w:ind w:firstLine="482"/>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2</w:t>
      </w:r>
      <w:r>
        <w:rPr>
          <w:rFonts w:ascii="Times New Roman" w:hAnsi="Times New Roman" w:eastAsia="宋体"/>
          <w:strike w:val="0"/>
          <w:dstrike w:val="0"/>
          <w:color w:val="auto"/>
          <w:highlight w:val="none"/>
        </w:rPr>
        <w:t>.1清洁生产定性评价指标</w:t>
      </w:r>
    </w:p>
    <w:p w14:paraId="57FBF9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1、养殖清洁性分析</w:t>
      </w:r>
    </w:p>
    <w:p w14:paraId="52E5E3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w:t>
      </w:r>
      <w:r>
        <w:rPr>
          <w:rFonts w:hint="default" w:ascii="Times New Roman" w:hAnsi="Times New Roman" w:eastAsia="宋体" w:cs="Times New Roman"/>
          <w:strike w:val="0"/>
          <w:dstrike w:val="0"/>
          <w:color w:val="auto"/>
          <w:kern w:val="0"/>
          <w:sz w:val="24"/>
          <w:szCs w:val="20"/>
          <w:lang w:val="en-US" w:eastAsia="zh-CN" w:bidi="ar-SA"/>
        </w:rPr>
        <w:t>1</w:t>
      </w:r>
      <w:r>
        <w:rPr>
          <w:rFonts w:hint="eastAsia" w:ascii="Times New Roman" w:hAnsi="Times New Roman" w:eastAsia="宋体" w:cs="Times New Roman"/>
          <w:strike w:val="0"/>
          <w:dstrike w:val="0"/>
          <w:color w:val="auto"/>
          <w:kern w:val="0"/>
          <w:sz w:val="24"/>
          <w:szCs w:val="20"/>
          <w:lang w:val="en-US" w:eastAsia="zh-CN" w:bidi="ar-SA"/>
        </w:rPr>
        <w:t>）项目采取适度规模化养殖方式，有利于采用能耗物耗小、污染物排放量少的清洁生产工艺，提高经济效益，提高环境质量。</w:t>
      </w:r>
    </w:p>
    <w:p w14:paraId="6983E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w:t>
      </w:r>
      <w:r>
        <w:rPr>
          <w:rFonts w:hint="default" w:ascii="Times New Roman" w:hAnsi="Times New Roman" w:eastAsia="宋体" w:cs="Times New Roman"/>
          <w:strike w:val="0"/>
          <w:dstrike w:val="0"/>
          <w:color w:val="auto"/>
          <w:kern w:val="0"/>
          <w:sz w:val="24"/>
          <w:szCs w:val="20"/>
          <w:lang w:val="en-US" w:eastAsia="zh-CN" w:bidi="ar-SA"/>
        </w:rPr>
        <w:t>2</w:t>
      </w:r>
      <w:r>
        <w:rPr>
          <w:rFonts w:hint="eastAsia" w:ascii="Times New Roman" w:hAnsi="Times New Roman" w:eastAsia="宋体" w:cs="Times New Roman"/>
          <w:strike w:val="0"/>
          <w:dstrike w:val="0"/>
          <w:color w:val="auto"/>
          <w:kern w:val="0"/>
          <w:sz w:val="24"/>
          <w:szCs w:val="20"/>
          <w:lang w:val="en-US" w:eastAsia="zh-CN" w:bidi="ar-SA"/>
        </w:rPr>
        <w:t>）项目养殖场设施完善，驼舍结构合理，设计和建设时将充分考虑环保的要求，骆驼粪便清运至堆肥场，经处理后外售有机肥厂，实现资源化消耗。</w:t>
      </w:r>
    </w:p>
    <w:p w14:paraId="0D439A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w:t>
      </w:r>
      <w:r>
        <w:rPr>
          <w:rFonts w:hint="default" w:ascii="Times New Roman" w:hAnsi="Times New Roman" w:eastAsia="宋体" w:cs="Times New Roman"/>
          <w:strike w:val="0"/>
          <w:dstrike w:val="0"/>
          <w:color w:val="auto"/>
          <w:kern w:val="0"/>
          <w:sz w:val="24"/>
          <w:szCs w:val="20"/>
          <w:lang w:val="en-US" w:eastAsia="zh-CN" w:bidi="ar-SA"/>
        </w:rPr>
        <w:t>3</w:t>
      </w:r>
      <w:r>
        <w:rPr>
          <w:rFonts w:hint="eastAsia" w:ascii="Times New Roman" w:hAnsi="Times New Roman" w:eastAsia="宋体" w:cs="Times New Roman"/>
          <w:strike w:val="0"/>
          <w:dstrike w:val="0"/>
          <w:color w:val="auto"/>
          <w:kern w:val="0"/>
          <w:sz w:val="24"/>
          <w:szCs w:val="20"/>
          <w:lang w:val="en-US" w:eastAsia="zh-CN" w:bidi="ar-SA"/>
        </w:rPr>
        <w:t>）项目生活污水和生产废水经排污管道排放至舍外黑膜池，厌氧发酵处理后，用于周边林带及厂区绿化施肥。通过本项目的建设，养殖场内可达到真正意义上的“零排放”，很大程度上减轻了对环境的污染。</w:t>
      </w:r>
    </w:p>
    <w:p w14:paraId="4BF66E6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val="en-US" w:eastAsia="zh-CN"/>
        </w:rPr>
        <w:t>粪便处置方式清洁性分析</w:t>
      </w:r>
    </w:p>
    <w:p w14:paraId="218C5BDC">
      <w:pPr>
        <w:ind w:firstLine="480"/>
        <w:rPr>
          <w:rFonts w:ascii="Times New Roman" w:hAnsi="Times New Roman" w:eastAsia="宋体"/>
          <w:strike w:val="0"/>
          <w:dstrike w:val="0"/>
          <w:color w:val="auto"/>
          <w:highlight w:val="none"/>
        </w:rPr>
      </w:pPr>
      <w:r>
        <w:rPr>
          <w:rFonts w:hint="eastAsia" w:ascii="Times New Roman" w:hAnsi="Times New Roman" w:eastAsia="宋体" w:cs="Times New Roman"/>
          <w:strike w:val="0"/>
          <w:dstrike w:val="0"/>
          <w:color w:val="auto"/>
          <w:kern w:val="0"/>
          <w:sz w:val="24"/>
          <w:szCs w:val="20"/>
          <w:lang w:val="en-US" w:eastAsia="zh-CN" w:bidi="ar-SA"/>
        </w:rPr>
        <w:t>本项目骆驼粪便清运至堆肥场，经处理后外售有机肥厂，</w:t>
      </w:r>
      <w:r>
        <w:rPr>
          <w:rFonts w:hint="eastAsia" w:ascii="Times New Roman" w:hAnsi="Times New Roman" w:eastAsia="宋体"/>
          <w:strike w:val="0"/>
          <w:dstrike w:val="0"/>
          <w:color w:val="auto"/>
          <w:highlight w:val="none"/>
          <w:lang w:val="en-US" w:eastAsia="zh-CN"/>
        </w:rPr>
        <w:t>最终实现减量化、资源化、无害化，该工艺符合清洁生产的要求。</w:t>
      </w:r>
    </w:p>
    <w:p w14:paraId="4E64C0B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3、</w:t>
      </w:r>
      <w:r>
        <w:rPr>
          <w:rFonts w:ascii="Times New Roman" w:hAnsi="Times New Roman" w:eastAsia="宋体"/>
          <w:strike w:val="0"/>
          <w:dstrike w:val="0"/>
          <w:color w:val="auto"/>
          <w:highlight w:val="none"/>
          <w:lang w:val="en-US" w:eastAsia="zh-CN"/>
        </w:rPr>
        <w:t>生产过程及设备分析</w:t>
      </w:r>
    </w:p>
    <w:p w14:paraId="33CE07A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项目生产过程中，各工序分工明确，既便于管理，又能保证生产作业线连续、短捷、方便。另外，内外运输配合协调，避免因往返运输和作业线交叉而造成不必要的浪费，人货分流通畅，生产管理方便，符合清洁生产的要求。</w:t>
      </w:r>
    </w:p>
    <w:p w14:paraId="79201A5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4</w:t>
      </w:r>
      <w:r>
        <w:rPr>
          <w:rFonts w:ascii="Times New Roman" w:hAnsi="Times New Roman" w:eastAsia="宋体"/>
          <w:strike w:val="0"/>
          <w:dstrike w:val="0"/>
          <w:color w:val="auto"/>
          <w:highlight w:val="none"/>
        </w:rPr>
        <w:t>、资源能源利用指标</w:t>
      </w:r>
    </w:p>
    <w:p w14:paraId="00D4B16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本项目所采取的节能措施如下：</w:t>
      </w:r>
    </w:p>
    <w:p w14:paraId="25931E7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val="en-US" w:eastAsia="zh-CN"/>
        </w:rPr>
        <w:t>）按生产流向，合理地布置设备，减少物料往返运送次数，从而节省能源；总图布置上力求紧凑，要求贮存和成品仓库等都要靠近生产车间，按物料流向布置，缩短原料及成品的输送距离，尽量避免产品大量二次倒运，从而节省能源。</w:t>
      </w:r>
    </w:p>
    <w:p w14:paraId="48725E1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val="en-US" w:eastAsia="zh-CN"/>
        </w:rPr>
        <w:t>）选择节能型设备，如风机、水泵及节能的物料输送系统。</w:t>
      </w:r>
    </w:p>
    <w:p w14:paraId="29269C4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val="en-US" w:eastAsia="zh-CN"/>
        </w:rPr>
        <w:t>）全场供电系统均选用节能型变压器，选择合理的补偿方案，使功率因数保持在</w:t>
      </w:r>
      <w:r>
        <w:rPr>
          <w:rFonts w:hint="default" w:ascii="Times New Roman" w:hAnsi="Times New Roman" w:eastAsia="宋体"/>
          <w:strike w:val="0"/>
          <w:dstrike w:val="0"/>
          <w:color w:val="auto"/>
          <w:highlight w:val="none"/>
          <w:lang w:val="en-US" w:eastAsia="zh-CN"/>
        </w:rPr>
        <w:t>90%</w:t>
      </w:r>
      <w:r>
        <w:rPr>
          <w:rFonts w:hint="eastAsia" w:ascii="Times New Roman" w:hAnsi="Times New Roman" w:eastAsia="宋体"/>
          <w:strike w:val="0"/>
          <w:dstrike w:val="0"/>
          <w:color w:val="auto"/>
          <w:highlight w:val="none"/>
          <w:lang w:val="en-US" w:eastAsia="zh-CN"/>
        </w:rPr>
        <w:t>以上，选择节能型电机，选择最优的供电方案，力求降低电能的损耗。</w:t>
      </w:r>
    </w:p>
    <w:p w14:paraId="55C436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val="en-US" w:eastAsia="zh-CN"/>
        </w:rPr>
        <w:t>）养殖场为保护环境并对驼粪便进行资源化利用，</w:t>
      </w:r>
      <w:r>
        <w:rPr>
          <w:rFonts w:hint="eastAsia" w:ascii="Times New Roman" w:hAnsi="Times New Roman" w:eastAsia="宋体" w:cs="Times New Roman"/>
          <w:strike w:val="0"/>
          <w:dstrike w:val="0"/>
          <w:color w:val="auto"/>
          <w:kern w:val="0"/>
          <w:sz w:val="24"/>
          <w:szCs w:val="20"/>
          <w:lang w:val="en-US" w:eastAsia="zh-CN" w:bidi="ar-SA"/>
        </w:rPr>
        <w:t>将骆驼粪便清运至堆肥场，经处理后外售有机肥厂。</w:t>
      </w:r>
    </w:p>
    <w:p w14:paraId="70EF62C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综上所述，本项目通过采取了多项节能、降耗措施后，体现了清洁生产的要求。</w:t>
      </w:r>
    </w:p>
    <w:p w14:paraId="3C00E6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4、污染物产生和排放</w:t>
      </w:r>
    </w:p>
    <w:p w14:paraId="1BB8FE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项目生活污水和生产废水经排污管道排放至舍外黑膜池，厌氧发酵处理后，用于周边林带及厂区绿化施肥，废水不外排。</w:t>
      </w:r>
    </w:p>
    <w:p w14:paraId="558923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项目废气主要是无组织排放的废气，通过采取相应的治理措施后，均可达标排放。</w:t>
      </w:r>
    </w:p>
    <w:p w14:paraId="6C4CBB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trike w:val="0"/>
          <w:dstrike w:val="0"/>
          <w:color w:val="auto"/>
          <w:kern w:val="0"/>
          <w:sz w:val="24"/>
          <w:szCs w:val="20"/>
          <w:lang w:val="en-US" w:eastAsia="zh-CN" w:bidi="ar-SA"/>
        </w:rPr>
      </w:pPr>
      <w:r>
        <w:rPr>
          <w:rFonts w:hint="eastAsia" w:ascii="Times New Roman" w:hAnsi="Times New Roman" w:eastAsia="宋体" w:cs="Times New Roman"/>
          <w:strike w:val="0"/>
          <w:dstrike w:val="0"/>
          <w:color w:val="auto"/>
          <w:kern w:val="0"/>
          <w:sz w:val="24"/>
          <w:szCs w:val="20"/>
          <w:lang w:val="en-US" w:eastAsia="zh-CN" w:bidi="ar-SA"/>
        </w:rPr>
        <w:t>粪便用于有机肥生产，其他固体废物全部得到综合利用与妥善处置，实现了废物零排放</w:t>
      </w:r>
    </w:p>
    <w:p w14:paraId="3057438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5、环境管理要求</w:t>
      </w:r>
    </w:p>
    <w:p w14:paraId="1BBEA7E0">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w:t>
      </w:r>
      <w:r>
        <w:rPr>
          <w:rFonts w:ascii="Times New Roman" w:hAnsi="Times New Roman" w:eastAsia="宋体" w:cs="微软雅黑"/>
          <w:strike w:val="0"/>
          <w:dstrike w:val="0"/>
          <w:color w:val="auto"/>
          <w:kern w:val="0"/>
          <w:sz w:val="24"/>
          <w:szCs w:val="24"/>
          <w:lang w:val="en-US" w:eastAsia="zh-CN" w:bidi="ar"/>
        </w:rPr>
        <w:t>1</w:t>
      </w:r>
      <w:r>
        <w:rPr>
          <w:rFonts w:hint="eastAsia" w:ascii="Times New Roman" w:hAnsi="Times New Roman" w:eastAsia="宋体" w:cs="宋体"/>
          <w:strike w:val="0"/>
          <w:dstrike w:val="0"/>
          <w:color w:val="auto"/>
          <w:kern w:val="0"/>
          <w:sz w:val="24"/>
          <w:szCs w:val="24"/>
          <w:lang w:val="en-US" w:eastAsia="zh-CN" w:bidi="ar"/>
        </w:rPr>
        <w:t>）本项目的建设符合国家产业政策，选址、平面布置及污染防治措施符合《畜禽养殖业污染防治技术规范》（</w:t>
      </w:r>
      <w:r>
        <w:rPr>
          <w:rFonts w:hint="default" w:ascii="Times New Roman" w:hAnsi="Times New Roman" w:eastAsia="宋体" w:cs="Times New Roman"/>
          <w:strike w:val="0"/>
          <w:dstrike w:val="0"/>
          <w:color w:val="auto"/>
          <w:kern w:val="0"/>
          <w:sz w:val="24"/>
          <w:szCs w:val="24"/>
          <w:lang w:val="en-US" w:eastAsia="zh-CN" w:bidi="ar"/>
        </w:rPr>
        <w:t>HJ/T81-2001</w:t>
      </w:r>
      <w:r>
        <w:rPr>
          <w:rFonts w:hint="eastAsia" w:ascii="Times New Roman" w:hAnsi="Times New Roman" w:eastAsia="宋体" w:cs="宋体"/>
          <w:strike w:val="0"/>
          <w:dstrike w:val="0"/>
          <w:color w:val="auto"/>
          <w:kern w:val="0"/>
          <w:sz w:val="24"/>
          <w:szCs w:val="24"/>
          <w:lang w:val="en-US" w:eastAsia="zh-CN" w:bidi="ar"/>
        </w:rPr>
        <w:t>）、《畜禽规模养殖污染防治条例》、《畜禽养殖业污染治理工程技术规范》（HJ497-2009）、《畜禽粪便无害化处理技术规范》等技术文件的要求。</w:t>
      </w:r>
    </w:p>
    <w:p w14:paraId="7D2D875A">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项目建成后企业将设立健全的环境管理机构和专职管理人员，制订较完善环境管理制度，严格控制各种污染物的产生及排放，严格控制风险事故的发生。项目将配备必要的专业人员，配置必要的监测仪器设备，配合当地环境保护管理部门做好本厂的环境保护工作。</w:t>
      </w:r>
    </w:p>
    <w:p w14:paraId="4BCBD9C2">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2）本项目饲料提倡使用微生物制剂、酶制剂和植物提取液等活性物质，以减少污染物排放和恶臭气体的产生。这些微生物进入家畜体内后，能使肠内的有益细菌增殖，使肠的活动能力增强，从而达到抑制粪尿恶臭的目的。</w:t>
      </w:r>
    </w:p>
    <w:p w14:paraId="29175E84">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3）驼舍和有机肥生产区域的恶臭收集后采用《畜禽养殖业污染治理工程技术规范》（HJ497-2009）推荐的生物除臭法处理以尽可能消除对区域大气环境的影响。骆驼产生的粪便用于生产有机肥，从而实现废物的无害化和资源化。</w:t>
      </w:r>
      <w:r>
        <w:rPr>
          <w:rFonts w:hint="eastAsia" w:ascii="Times New Roman" w:hAnsi="Times New Roman" w:eastAsia="宋体" w:cs="宋体"/>
          <w:strike w:val="0"/>
          <w:dstrike w:val="0"/>
          <w:color w:val="auto"/>
          <w:kern w:val="0"/>
          <w:sz w:val="24"/>
          <w:szCs w:val="24"/>
          <w:lang w:val="en-US" w:eastAsia="zh-CN" w:bidi="ar"/>
        </w:rPr>
        <w:t>本项目生活污水和生产废水经排污管道排放至舍外黑膜池，厌氧发酵处理后，用于周边林带及厂区绿化施肥</w:t>
      </w:r>
      <w:r>
        <w:rPr>
          <w:rFonts w:hint="eastAsia" w:ascii="Times New Roman" w:hAnsi="Times New Roman" w:eastAsia="宋体" w:cs="宋体"/>
          <w:strike w:val="0"/>
          <w:dstrike w:val="0"/>
          <w:color w:val="auto"/>
          <w:kern w:val="0"/>
          <w:sz w:val="24"/>
          <w:szCs w:val="24"/>
          <w:lang w:val="en-US" w:eastAsia="zh-CN" w:bidi="ar"/>
        </w:rPr>
        <w:t>，驼尿自然风干，不涉及驼舍冲洗废水。病死骆驼的处置按照《畜禽养殖业污染治理工程技术规范》（HJ497-2009）要求进行处置。通过采取环保治理措施，项目废气、废水、噪声、固废等污染物能够做到达标排放。</w:t>
      </w:r>
    </w:p>
    <w:p w14:paraId="72741AA3">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项目在环境管理方面能够满足清洁生产的要求。</w:t>
      </w:r>
    </w:p>
    <w:p w14:paraId="696528DE">
      <w:pPr>
        <w:ind w:firstLine="482"/>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3.6.</w:t>
      </w:r>
      <w:r>
        <w:rPr>
          <w:rFonts w:hint="eastAsia" w:ascii="Times New Roman" w:hAnsi="Times New Roman" w:eastAsia="宋体"/>
          <w:b/>
          <w:bCs/>
          <w:strike w:val="0"/>
          <w:dstrike w:val="0"/>
          <w:color w:val="auto"/>
          <w:highlight w:val="none"/>
          <w:lang w:val="en-US" w:eastAsia="zh-CN"/>
        </w:rPr>
        <w:t>2.2清洁生产小结</w:t>
      </w:r>
    </w:p>
    <w:p w14:paraId="57C1A28E">
      <w:pPr>
        <w:keepNext w:val="0"/>
        <w:keepLines w:val="0"/>
        <w:pageBreakBefore w:val="0"/>
        <w:widowControl w:val="0"/>
        <w:kinsoku/>
        <w:wordWrap/>
        <w:overflowPunct/>
        <w:topLinePunct w:val="0"/>
        <w:autoSpaceDE/>
        <w:autoSpaceDN/>
        <w:bidi w:val="0"/>
        <w:adjustRightInd/>
        <w:snapToGrid/>
        <w:ind w:firstLine="482"/>
        <w:textAlignment w:val="auto"/>
        <w:rPr>
          <w:rFonts w:hint="eastAsia" w:ascii="Times New Roman" w:hAnsi="Times New Roman" w:eastAsia="宋体"/>
          <w:b w:val="0"/>
          <w:bCs w:val="0"/>
          <w:strike w:val="0"/>
          <w:dstrike w:val="0"/>
          <w:color w:val="auto"/>
          <w:highlight w:val="none"/>
        </w:rPr>
      </w:pPr>
      <w:r>
        <w:rPr>
          <w:rFonts w:hint="eastAsia" w:ascii="Times New Roman" w:hAnsi="Times New Roman" w:eastAsia="宋体"/>
          <w:b w:val="0"/>
          <w:bCs w:val="0"/>
          <w:strike w:val="0"/>
          <w:dstrike w:val="0"/>
          <w:color w:val="auto"/>
          <w:highlight w:val="none"/>
          <w:lang w:val="en-US" w:eastAsia="zh-CN"/>
        </w:rPr>
        <w:t>通过与其他畜禽养殖项目对比，本项目符合清洁生产要求。综合上述分析，项目无论从原料利用上还是废物资源化利用方面，均能够体现出本项目具有多样化的循环经济途径。因此，企业应积极开拓循环经济理念，实现废物多重化、最大化循环利用，同时可拉长产业链条，拓展企业产业化成长发展模式，本项目将骆驼养殖向规模化、现代化转变。</w:t>
      </w:r>
    </w:p>
    <w:p w14:paraId="71AF5D38">
      <w:pPr>
        <w:ind w:firstLine="482"/>
        <w:rPr>
          <w:rFonts w:ascii="Times New Roman" w:hAnsi="Times New Roman" w:eastAsia="宋体"/>
          <w:b/>
          <w:bCs/>
          <w:strike w:val="0"/>
          <w:dstrike w:val="0"/>
          <w:color w:val="auto"/>
          <w:highlight w:val="none"/>
        </w:rPr>
      </w:pPr>
      <w:r>
        <w:rPr>
          <w:rFonts w:hint="eastAsia" w:ascii="Times New Roman" w:hAnsi="Times New Roman" w:eastAsia="宋体"/>
          <w:b/>
          <w:bCs/>
          <w:strike w:val="0"/>
          <w:dstrike w:val="0"/>
          <w:color w:val="auto"/>
          <w:highlight w:val="none"/>
        </w:rPr>
        <w:t>3.6.</w:t>
      </w:r>
      <w:r>
        <w:rPr>
          <w:rFonts w:hint="eastAsia" w:ascii="Times New Roman" w:hAnsi="Times New Roman" w:eastAsia="宋体"/>
          <w:b/>
          <w:bCs/>
          <w:strike w:val="0"/>
          <w:dstrike w:val="0"/>
          <w:color w:val="auto"/>
          <w:highlight w:val="none"/>
          <w:lang w:val="en-US" w:eastAsia="zh-CN"/>
        </w:rPr>
        <w:t>2.3清洁生产建议</w:t>
      </w:r>
    </w:p>
    <w:p w14:paraId="2394C9A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经分析，拟建项目虽然符合清洁生产的要求，但还有进一步加强清洁生产的潜力，为此提出如下建议：</w:t>
      </w:r>
    </w:p>
    <w:p w14:paraId="3C633DD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注重生产现场技术管理，保证生产过程的连续性、比例性和协调性</w:t>
      </w:r>
      <w:r>
        <w:rPr>
          <w:rFonts w:hint="eastAsia" w:ascii="Times New Roman" w:hAnsi="Times New Roman" w:eastAsia="宋体"/>
          <w:strike w:val="0"/>
          <w:dstrike w:val="0"/>
          <w:color w:val="auto"/>
          <w:highlight w:val="none"/>
          <w:lang w:eastAsia="zh-CN"/>
        </w:rPr>
        <w:t>。</w:t>
      </w:r>
    </w:p>
    <w:p w14:paraId="17FCF84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生产过程中必须加强循环利用和再资源化，对排放物的有效处理和回收利用，既可创造经济效益，又可减少污染</w:t>
      </w:r>
      <w:r>
        <w:rPr>
          <w:rFonts w:hint="eastAsia" w:ascii="Times New Roman" w:hAnsi="Times New Roman" w:eastAsia="宋体"/>
          <w:strike w:val="0"/>
          <w:dstrike w:val="0"/>
          <w:color w:val="auto"/>
          <w:highlight w:val="none"/>
          <w:lang w:eastAsia="zh-CN"/>
        </w:rPr>
        <w:t>。</w:t>
      </w:r>
    </w:p>
    <w:p w14:paraId="0B36BBD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进一步降低电耗、水耗，降低单位产品消耗水平，从而降低产品成本，增强市场竞争力</w:t>
      </w:r>
      <w:r>
        <w:rPr>
          <w:rFonts w:hint="eastAsia" w:ascii="Times New Roman" w:hAnsi="Times New Roman" w:eastAsia="宋体"/>
          <w:strike w:val="0"/>
          <w:dstrike w:val="0"/>
          <w:color w:val="auto"/>
          <w:highlight w:val="none"/>
          <w:lang w:eastAsia="zh-CN"/>
        </w:rPr>
        <w:t>。</w:t>
      </w:r>
    </w:p>
    <w:p w14:paraId="01DA4EC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进一步减少生产过程中的跑、冒、滴、漏，降低对环境造成的危害</w:t>
      </w:r>
      <w:r>
        <w:rPr>
          <w:rFonts w:hint="eastAsia" w:ascii="Times New Roman" w:hAnsi="Times New Roman" w:eastAsia="宋体"/>
          <w:strike w:val="0"/>
          <w:dstrike w:val="0"/>
          <w:color w:val="auto"/>
          <w:highlight w:val="none"/>
          <w:lang w:eastAsia="zh-CN"/>
        </w:rPr>
        <w:t>。</w:t>
      </w:r>
    </w:p>
    <w:p w14:paraId="03D0AF6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落实环评报告书所提出的各项污染防治措施，加强污染防治设施的运行维护和管理，确保对周围环境影响的最小化</w:t>
      </w:r>
      <w:r>
        <w:rPr>
          <w:rFonts w:hint="eastAsia" w:ascii="Times New Roman" w:hAnsi="Times New Roman" w:eastAsia="宋体"/>
          <w:strike w:val="0"/>
          <w:dstrike w:val="0"/>
          <w:color w:val="auto"/>
          <w:highlight w:val="none"/>
          <w:lang w:eastAsia="zh-CN"/>
        </w:rPr>
        <w:t>。</w:t>
      </w:r>
    </w:p>
    <w:p w14:paraId="5C16D7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建立严格完善的生产管理制度，加强业务培训和宣传教育工作，使每个职工树立节能意识，环保意识，保障清洁生产的目的顺利实施</w:t>
      </w:r>
      <w:r>
        <w:rPr>
          <w:rFonts w:hint="eastAsia" w:ascii="Times New Roman" w:hAnsi="Times New Roman" w:eastAsia="宋体"/>
          <w:strike w:val="0"/>
          <w:dstrike w:val="0"/>
          <w:color w:val="auto"/>
          <w:highlight w:val="none"/>
          <w:lang w:eastAsia="zh-CN"/>
        </w:rPr>
        <w:t>。</w:t>
      </w:r>
    </w:p>
    <w:p w14:paraId="5C8EE7DD">
      <w:pPr>
        <w:ind w:firstLine="480"/>
        <w:rPr>
          <w:rFonts w:hint="eastAsia" w:ascii="Times New Roman" w:hAnsi="Times New Roman" w:eastAsia="宋体"/>
          <w:strike w:val="0"/>
          <w:dstrike w:val="0"/>
          <w:color w:val="auto"/>
          <w:highlight w:val="none"/>
          <w:lang w:eastAsia="zh-CN"/>
        </w:rPr>
        <w:sectPr>
          <w:headerReference r:id="rId15" w:type="default"/>
          <w:footerReference r:id="rId1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拟建项目应参照ISO14000标准的要求建立并运行环境管理体系，不断健全环境管理手册、程序文件及作业文件，进一步理顺全厂环境管理的关系，抓好企业环境管理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同时开展清洁生产审核，持续改进和提高企业环境管理水平</w:t>
      </w:r>
      <w:r>
        <w:rPr>
          <w:rFonts w:hint="eastAsia" w:ascii="Times New Roman" w:hAnsi="Times New Roman" w:eastAsia="宋体"/>
          <w:strike w:val="0"/>
          <w:dstrike w:val="0"/>
          <w:color w:val="auto"/>
          <w:highlight w:val="none"/>
          <w:lang w:eastAsia="zh-CN"/>
        </w:rPr>
        <w:t>。</w:t>
      </w:r>
    </w:p>
    <w:p w14:paraId="073A5D69">
      <w:pPr>
        <w:pStyle w:val="2"/>
        <w:rPr>
          <w:rFonts w:ascii="Times New Roman" w:hAnsi="Times New Roman" w:eastAsia="宋体"/>
          <w:strike w:val="0"/>
          <w:dstrike w:val="0"/>
          <w:color w:val="auto"/>
          <w:highlight w:val="none"/>
        </w:rPr>
      </w:pPr>
      <w:bookmarkStart w:id="186" w:name="_Toc89619339"/>
      <w:bookmarkStart w:id="187" w:name="_Toc24566"/>
      <w:r>
        <w:rPr>
          <w:rFonts w:hint="eastAsia" w:ascii="Times New Roman" w:hAnsi="Times New Roman" w:eastAsia="宋体"/>
          <w:strike w:val="0"/>
          <w:dstrike w:val="0"/>
          <w:color w:val="auto"/>
          <w:highlight w:val="none"/>
        </w:rPr>
        <w:t>4、环境现状调查与评价</w:t>
      </w:r>
      <w:bookmarkEnd w:id="186"/>
      <w:bookmarkEnd w:id="187"/>
    </w:p>
    <w:p w14:paraId="0E792B8B">
      <w:pPr>
        <w:pStyle w:val="3"/>
        <w:tabs>
          <w:tab w:val="left" w:pos="2400"/>
        </w:tabs>
        <w:rPr>
          <w:rFonts w:ascii="Times New Roman" w:hAnsi="Times New Roman" w:eastAsia="宋体"/>
          <w:strike w:val="0"/>
          <w:dstrike w:val="0"/>
          <w:color w:val="auto"/>
          <w:highlight w:val="none"/>
        </w:rPr>
      </w:pPr>
      <w:bookmarkStart w:id="188" w:name="_Toc89619340"/>
      <w:bookmarkStart w:id="189" w:name="_Toc6460"/>
      <w:r>
        <w:rPr>
          <w:rFonts w:hint="eastAsia" w:ascii="Times New Roman" w:hAnsi="Times New Roman" w:eastAsia="宋体"/>
          <w:strike w:val="0"/>
          <w:dstrike w:val="0"/>
          <w:color w:val="auto"/>
          <w:highlight w:val="none"/>
        </w:rPr>
        <w:t>4.1自然环境概况</w:t>
      </w:r>
      <w:bookmarkEnd w:id="188"/>
      <w:bookmarkEnd w:id="189"/>
    </w:p>
    <w:p w14:paraId="4A610B73">
      <w:pPr>
        <w:pStyle w:val="4"/>
        <w:rPr>
          <w:rFonts w:ascii="Times New Roman" w:hAnsi="Times New Roman" w:eastAsia="宋体"/>
          <w:strike w:val="0"/>
          <w:dstrike w:val="0"/>
          <w:color w:val="auto"/>
          <w:highlight w:val="none"/>
        </w:rPr>
      </w:pPr>
      <w:bookmarkStart w:id="190" w:name="_Toc106663480"/>
      <w:bookmarkStart w:id="191" w:name="_Toc24124"/>
      <w:r>
        <w:rPr>
          <w:rFonts w:hint="eastAsia" w:ascii="Times New Roman" w:hAnsi="Times New Roman" w:eastAsia="宋体"/>
          <w:strike w:val="0"/>
          <w:dstrike w:val="0"/>
          <w:color w:val="auto"/>
          <w:highlight w:val="none"/>
        </w:rPr>
        <w:t>4.1.1地理位置</w:t>
      </w:r>
      <w:bookmarkEnd w:id="190"/>
      <w:bookmarkEnd w:id="191"/>
    </w:p>
    <w:p w14:paraId="5C987E4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木垒哈萨克自治县是新疆维吾尔自治区昌吉回族自治州最东边的一个县，位于天山北麓，准噶尔盆地东南缘，奇台县以东，巴里坤县以西，南倚天山与鄯善县隔山相望，北与蒙古国交界，总面积22171km</w:t>
      </w:r>
      <w:r>
        <w:rPr>
          <w:rFonts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4B27226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本项目位于昌吉木垒县博斯坦乡阿克卓勒村，项目北侧和南侧为空地、西侧为农田，东侧为无名道路</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项目中心地理坐标</w:t>
      </w:r>
      <w:r>
        <w:rPr>
          <w:rFonts w:hint="eastAsia" w:ascii="Times New Roman" w:hAnsi="Times New Roman" w:eastAsia="宋体"/>
          <w:strike w:val="0"/>
          <w:dstrike w:val="0"/>
          <w:color w:val="auto"/>
          <w:highlight w:val="none"/>
        </w:rPr>
        <w:t>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E，</w:t>
      </w:r>
      <w:r>
        <w:rPr>
          <w:rFonts w:hint="eastAsia" w:ascii="Times New Roman" w:hAnsi="Times New Roman" w:eastAsia="宋体"/>
          <w:strike w:val="0"/>
          <w:dstrike w:val="0"/>
          <w:color w:val="auto"/>
          <w:highlight w:val="none"/>
          <w:lang w:eastAsia="zh-CN"/>
        </w:rPr>
        <w:t>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N</w:t>
      </w:r>
      <w:r>
        <w:rPr>
          <w:rFonts w:hint="eastAsia" w:ascii="Times New Roman" w:hAnsi="Times New Roman" w:eastAsia="宋体"/>
          <w:strike w:val="0"/>
          <w:dstrike w:val="0"/>
          <w:color w:val="auto"/>
          <w:highlight w:val="none"/>
          <w:lang w:eastAsia="zh-CN"/>
        </w:rPr>
        <w:t>。</w:t>
      </w:r>
    </w:p>
    <w:p w14:paraId="7BF7F211">
      <w:pPr>
        <w:pStyle w:val="4"/>
        <w:rPr>
          <w:rFonts w:ascii="Times New Roman" w:hAnsi="Times New Roman" w:eastAsia="宋体"/>
          <w:strike w:val="0"/>
          <w:dstrike w:val="0"/>
          <w:color w:val="auto"/>
          <w:highlight w:val="none"/>
        </w:rPr>
      </w:pPr>
      <w:bookmarkStart w:id="192" w:name="_Toc106663481"/>
      <w:bookmarkStart w:id="193" w:name="_Toc19956"/>
      <w:r>
        <w:rPr>
          <w:rFonts w:hint="eastAsia" w:ascii="Times New Roman" w:hAnsi="Times New Roman" w:eastAsia="宋体"/>
          <w:strike w:val="0"/>
          <w:dstrike w:val="0"/>
          <w:color w:val="auto"/>
          <w:highlight w:val="none"/>
        </w:rPr>
        <w:t>4.1.2地形、地貌</w:t>
      </w:r>
      <w:bookmarkEnd w:id="192"/>
      <w:bookmarkEnd w:id="193"/>
    </w:p>
    <w:p w14:paraId="2A3901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木垒哈萨克自治县地处阿尔泰构造带，博格达构造带和准噶尔地块交汇处。木垒县地形地貌为三面环山，向西开阔的簸箕状地貌形态，南部博格达山区为天山山脉的东延部分，海拔绝大部分在3000m以下，位于本县西南边境的最高峰，海拔3482m；北部北塔山和大、小哈甫提克山系阿尔泰山向东延伸的余脉，海拔大部分在2000m以下；东部蒙罗克山向南延伸，与博格达山余脉衔接，海拔3105m以下，因此形成南、北、东三山相接围绕，中部低洼向西开口的半壁槽状盆地，山前丘陵延山体宽达20～30km。南部山前丘陵以下为冲洪积扇区，形成一望无垠的平原戈壁，盆地中部横卧着两道由西向东的沙梁，复杂的地形包括山地、丘陵、平原和沙漠四个不同的地貌单元。各单元地貌特征如下：</w:t>
      </w:r>
    </w:p>
    <w:p w14:paraId="31171B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南部山区：南部博格达山属天山东段末梢，海拔在3482～1700m，山势由西向东递减，最高峰位于西吉尔南部，海拔3482m，这段山体均由比较坚硬的古生代火山凝灰岩、泥页岩、板岩等组成，因而山势雄伟高峻。全县6条山水河流均分布于博斯坦河以西的山区，这一地区地形起伏相对高差大，坡陡谷窄，河谷发育，部分地区基岩裸露，形成悬崖陡壁。博斯坦河以东的山区，山势逐渐低缓，海拔多在2000m左右，山地低矮，岩石裸露，无常年性河流分布。</w:t>
      </w:r>
    </w:p>
    <w:p w14:paraId="0ABD008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山前丘陵区：南部山前丘陵海拔1200～1700m，由于地形的复杂多变，使东西部丘陵形成明显的差异，博斯坦河以西的山前丘陵分布有大小河沟33条，山前缓坡被冲刷切割成梁槽相间的缓坡浅丘，地层为厚层土砾石层，覆盖着较厚的黄土状细土，梁顶浑圆而坡缓，25度以下的山坡大多已被开垦为旱地，部分25度以上的山坡也已被开垦，这一地区是木垒县旱地作物的主要种植区。博斯坦河以东的山前丘陵由于降水较西部丘陵少，自西向东土层逐渐变薄，植被逐渐稀疏，山坡被风化岩石碎片覆盖，旱地种植较少。</w:t>
      </w:r>
    </w:p>
    <w:p w14:paraId="401CEC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中部平原区：自山前丘陵以北到中部沙漠以南为辽阔的平原戈壁，整个地貌属冲洪积平原，海拔700～1200m，地势平坦、坡度较小，覆盖有厚度不等的冲积－洪积黄土。博斯坦牧场以西的平原区，土层较厚，宜耕性好，是木垒县灌溉农业的主要种植区，新户乡和奇木公路一带，为河灌区，雀仁乡周边地段地下水位较高，为井灌区。博斯坦牧场以东的平原区，因降水少，河流发育差，无灌溉条件，农业耕地较少。</w:t>
      </w:r>
    </w:p>
    <w:p w14:paraId="30813A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北部沙漠、戈壁区：位于木垒县境内中北部，海拔600～800m，沙漠区属古尔班通古特沙漠的东段末梢，为东西走向的条带状，分两道沙梁横贯东西，多为固定和半固定垄状沙丘和平沙地，沙丘高约50～60m。二道沙梁以北的戈壁，土壤基质砾质化，由大面积的裸岩砾石地。</w:t>
      </w:r>
    </w:p>
    <w:p w14:paraId="2DDA66E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lang w:eastAsia="zh-CN"/>
        </w:rPr>
        <w:t>北部山区：主要指北塔山和大、小哈甫提克山地，海拔多在2000m以下，山体矮小，地形复杂，地质结构凌乱，山体走向不一，阳坡由于风化作用，地表多被风化石片覆盖。</w:t>
      </w:r>
    </w:p>
    <w:p w14:paraId="3C43516F">
      <w:pPr>
        <w:pStyle w:val="4"/>
        <w:rPr>
          <w:rFonts w:ascii="Times New Roman" w:hAnsi="Times New Roman" w:eastAsia="宋体"/>
          <w:strike w:val="0"/>
          <w:dstrike w:val="0"/>
          <w:color w:val="auto"/>
          <w:highlight w:val="none"/>
        </w:rPr>
      </w:pPr>
      <w:bookmarkStart w:id="194" w:name="_Toc106663483"/>
      <w:bookmarkStart w:id="195" w:name="_Toc20244"/>
      <w:r>
        <w:rPr>
          <w:rFonts w:hint="eastAsia" w:ascii="Times New Roman" w:hAnsi="Times New Roman" w:eastAsia="宋体"/>
          <w:strike w:val="0"/>
          <w:dstrike w:val="0"/>
          <w:color w:val="auto"/>
          <w:highlight w:val="none"/>
        </w:rPr>
        <w:t>4.1.3水文地质</w:t>
      </w:r>
      <w:bookmarkEnd w:id="194"/>
      <w:bookmarkEnd w:id="195"/>
    </w:p>
    <w:p w14:paraId="4B9E2016">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木垒县境内河流均属山溪性河流，皆发源于天山山脉博格达山北坡，源头海拔1500～3340m，共有英格堡河、水磨沟河、东城河、木垒河、白杨河、博斯塘河6条河流</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6条河流均位于南部山区，呈东西向平行排列</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6条河流中以木垒河的年径流量为最大，该河多年平均年径流量为0.4424×10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，年最大径流量为1984年的1.052×10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，年最小径流量为1974年的0.2066×10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；另5条河的多年平均年径流量均小于0.2×10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，具体数值分别为英格堡河0.0814×10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、水磨沟河0.0877×10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、东城河0.0795×10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、白杨河0.07307×10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、博斯塘河0.0801×10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6条河的集水面积分别为英格堡河60.6km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、水磨沟河89.5km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、东城河83.8km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、木垒河467km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、白杨河80km</w:t>
      </w:r>
      <w:r>
        <w:rPr>
          <w:rFonts w:ascii="Times New Roman" w:hAnsi="Times New Roman" w:eastAsia="宋体"/>
          <w:strike w:val="0"/>
          <w:dstrike w:val="0"/>
          <w:color w:val="auto"/>
          <w:highlight w:val="none"/>
          <w:vertAlign w:val="superscript"/>
        </w:rPr>
        <w:t>2</w:t>
      </w:r>
      <w:r>
        <w:rPr>
          <w:rFonts w:ascii="Times New Roman" w:hAnsi="Times New Roman" w:eastAsia="宋体"/>
          <w:strike w:val="0"/>
          <w:dstrike w:val="0"/>
          <w:color w:val="auto"/>
          <w:highlight w:val="none"/>
        </w:rPr>
        <w:t>、博斯塘河74.5km</w:t>
      </w:r>
      <w:r>
        <w:rPr>
          <w:rFonts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64065B37">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除上述6条河流外，木垒县境内山区还分布有17条泉水沟和81处泉眼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17条泉水沟中有16条位于南部山区，这16条泉水沟分别为庙尔沟、菜籽沟、孙家沟、沈家沟、芦塘沟、响水河子、沙尔塞克、哈什湖、大浪沙、小浪沙、七城子、白石头沟、江湖里、乌宗布拉克、大石头沟及西地沟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16条泉水沟中小浪沙、七城子、白石头沟、江湖里、乌宗布拉克、大石头沟及西地沟等7条泉水沟集中分布在大石头乡一带；另9条泉水沟则散布于6条河流之间</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还有1条泉水沟蒙勒克山泉水沟位于木垒境内东部山区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泉水沟年径流量为0.1224×10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81处泉眼则散布于南、北、东山区、年径流量共0.0676×10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总计山泉年径流量为0.1900×10</w:t>
      </w:r>
      <w:r>
        <w:rPr>
          <w:rFonts w:ascii="Times New Roman" w:hAnsi="Times New Roman" w:eastAsia="宋体"/>
          <w:strike w:val="0"/>
          <w:dstrike w:val="0"/>
          <w:color w:val="auto"/>
          <w:highlight w:val="none"/>
          <w:vertAlign w:val="superscript"/>
        </w:rPr>
        <w:t>8</w:t>
      </w:r>
      <w:r>
        <w:rPr>
          <w:rFonts w:ascii="Times New Roman" w:hAnsi="Times New Roman" w:eastAsia="宋体"/>
          <w:strike w:val="0"/>
          <w:dstrike w:val="0"/>
          <w:color w:val="auto"/>
          <w:highlight w:val="none"/>
        </w:rPr>
        <w:t>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p>
    <w:p w14:paraId="2CD56120">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因山小源近流程短，源头又无现代冰川补给，地表径流受降水控制和影响，年内和年际变化都较大</w:t>
      </w:r>
      <w:r>
        <w:rPr>
          <w:rFonts w:hint="eastAsia" w:ascii="Times New Roman" w:hAnsi="Times New Roman" w:eastAsia="宋体"/>
          <w:strike w:val="0"/>
          <w:dstrike w:val="0"/>
          <w:color w:val="auto"/>
          <w:highlight w:val="none"/>
          <w:lang w:eastAsia="zh-CN"/>
        </w:rPr>
        <w:t>。</w:t>
      </w:r>
    </w:p>
    <w:p w14:paraId="5B59C8C2">
      <w:pPr>
        <w:keepNext w:val="0"/>
        <w:keepLines w:val="0"/>
        <w:pageBreakBefore w:val="0"/>
        <w:widowControl w:val="0"/>
        <w:kinsoku/>
        <w:wordWrap/>
        <w:overflowPunct/>
        <w:topLinePunct w:val="0"/>
        <w:autoSpaceDE/>
        <w:autoSpaceDN/>
        <w:bidi w:val="0"/>
        <w:adjustRightInd/>
        <w:snapToGrid/>
        <w:spacing w:line="500" w:lineRule="exact"/>
        <w:ind w:firstLine="476"/>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全县共有16座拦蓄水库，其中中型水库1座，小（Ⅰ）型水库8座，小（Ⅱ）型水库7座，设计蓄水总库容达到4267万m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全县共有坎儿井17条；成井613眼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木垒县六条河流都建有引水工程，引水流量为0.5～15m</w:t>
      </w:r>
      <w:r>
        <w:rPr>
          <w:rFonts w:ascii="Times New Roman" w:hAnsi="Times New Roman" w:eastAsia="宋体"/>
          <w:strike w:val="0"/>
          <w:dstrike w:val="0"/>
          <w:color w:val="auto"/>
          <w:highlight w:val="none"/>
          <w:vertAlign w:val="superscript"/>
        </w:rPr>
        <w:t>3</w:t>
      </w:r>
      <w:r>
        <w:rPr>
          <w:rFonts w:ascii="Times New Roman" w:hAnsi="Times New Roman" w:eastAsia="宋体"/>
          <w:strike w:val="0"/>
          <w:dstrike w:val="0"/>
          <w:color w:val="auto"/>
          <w:highlight w:val="none"/>
        </w:rPr>
        <w:t>/s，共有各类渠道1341km，其中防渗渠道1287km</w:t>
      </w:r>
      <w:r>
        <w:rPr>
          <w:rFonts w:hint="eastAsia" w:ascii="Times New Roman" w:hAnsi="Times New Roman" w:eastAsia="宋体"/>
          <w:strike w:val="0"/>
          <w:dstrike w:val="0"/>
          <w:color w:val="auto"/>
          <w:highlight w:val="none"/>
          <w:lang w:eastAsia="zh-CN"/>
        </w:rPr>
        <w:t>。</w:t>
      </w:r>
    </w:p>
    <w:p w14:paraId="2A6B6BA9">
      <w:pPr>
        <w:pStyle w:val="4"/>
        <w:rPr>
          <w:rFonts w:ascii="Times New Roman" w:hAnsi="Times New Roman" w:eastAsia="宋体"/>
          <w:strike w:val="0"/>
          <w:dstrike w:val="0"/>
          <w:color w:val="auto"/>
          <w:highlight w:val="none"/>
        </w:rPr>
      </w:pPr>
      <w:bookmarkStart w:id="196" w:name="_Toc106663484"/>
      <w:bookmarkStart w:id="197" w:name="_Toc30095"/>
      <w:r>
        <w:rPr>
          <w:rFonts w:hint="eastAsia" w:ascii="Times New Roman" w:hAnsi="Times New Roman" w:eastAsia="宋体"/>
          <w:strike w:val="0"/>
          <w:dstrike w:val="0"/>
          <w:color w:val="auto"/>
          <w:highlight w:val="none"/>
        </w:rPr>
        <w:t>4.1.4气候、气象</w:t>
      </w:r>
      <w:bookmarkEnd w:id="196"/>
      <w:bookmarkEnd w:id="197"/>
    </w:p>
    <w:p w14:paraId="5958BD18">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木垒县地处欧亚大陆中心，远离海洋，只有西风气流把大西洋上空的湿润空气，经过长途跋涉带入我区，形成降水</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从西伯利亚来的强冷空气，从西北方入侵县境，常造成大风和降温天气</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由于木垒县所处地理位置和地形地貌的差异，大部分地区的气候特点是：冬季寒冷而漫长，夏季短而比较凉爽，光照充足，春、夏多风，降水少，属大陆性气候</w:t>
      </w:r>
    </w:p>
    <w:p w14:paraId="398A156B">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受地形地貌、植被的影响，地区差异性明显：平原小于山区，西部多于东部</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沙漠区年降水量100～150mm，戈壁平原地带常年降水量150～250mm，山前丘陵区在照壁山以西为250mm～400mm，以东250mm左右</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每年降水量主要集中在4～9月，占全年降水量的80%</w:t>
      </w:r>
      <w:r>
        <w:rPr>
          <w:rFonts w:hint="eastAsia" w:ascii="Times New Roman" w:hAnsi="Times New Roman" w:eastAsia="宋体"/>
          <w:strike w:val="0"/>
          <w:dstrike w:val="0"/>
          <w:color w:val="auto"/>
          <w:szCs w:val="24"/>
          <w:highlight w:val="none"/>
          <w:lang w:val="en-US" w:eastAsia="zh-CN"/>
        </w:rPr>
        <w:t>。</w:t>
      </w:r>
    </w:p>
    <w:p w14:paraId="7006C9A7">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木垒蒸发量存在垂直分带及水平分带性</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木垒河以西山前丘陵蒸发量一般为200～2100mm，木垒河以东为2100～2200mm，戈壁平原及沙漠区为2200～2430mm</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蒸发主要集中于每年的5～9月份，占全年蒸发量的72.3%</w:t>
      </w:r>
      <w:r>
        <w:rPr>
          <w:rFonts w:hint="eastAsia" w:ascii="Times New Roman" w:hAnsi="Times New Roman" w:eastAsia="宋体"/>
          <w:strike w:val="0"/>
          <w:dstrike w:val="0"/>
          <w:color w:val="auto"/>
          <w:szCs w:val="24"/>
          <w:highlight w:val="none"/>
          <w:lang w:val="en-US" w:eastAsia="zh-CN"/>
        </w:rPr>
        <w:t>。</w:t>
      </w:r>
    </w:p>
    <w:p w14:paraId="5BB77498">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木垒县由于地形地貌的不同，温度具有明显的差异：秋季和春季相差不大，冬季和夏季气温相差悬殊</w:t>
      </w:r>
      <w:r>
        <w:rPr>
          <w:rFonts w:hint="eastAsia" w:ascii="Times New Roman" w:hAnsi="Times New Roman" w:eastAsia="宋体"/>
          <w:strike w:val="0"/>
          <w:dstrike w:val="0"/>
          <w:color w:val="auto"/>
          <w:szCs w:val="24"/>
          <w:highlight w:val="none"/>
          <w:lang w:val="en-US" w:eastAsia="zh-CN"/>
        </w:rPr>
        <w:t>。</w:t>
      </w:r>
    </w:p>
    <w:p w14:paraId="711FEE3E">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各地风速除山区外，其余各地均较大，其中以大石头地区最大，其次为雀仁乡</w:t>
      </w:r>
      <w:r>
        <w:rPr>
          <w:rFonts w:hint="eastAsia" w:ascii="Times New Roman" w:hAnsi="Times New Roman" w:eastAsia="宋体"/>
          <w:strike w:val="0"/>
          <w:dstrike w:val="0"/>
          <w:color w:val="auto"/>
          <w:szCs w:val="24"/>
          <w:highlight w:val="none"/>
          <w:lang w:val="en-US" w:eastAsia="zh-CN"/>
        </w:rPr>
        <w:t>。</w:t>
      </w:r>
      <w:r>
        <w:rPr>
          <w:rFonts w:hint="eastAsia" w:ascii="Times New Roman" w:hAnsi="Times New Roman" w:eastAsia="宋体"/>
          <w:strike w:val="0"/>
          <w:dstrike w:val="0"/>
          <w:color w:val="auto"/>
          <w:szCs w:val="24"/>
          <w:highlight w:val="none"/>
          <w:lang w:val="en-US" w:eastAsia="zh-CN"/>
        </w:rPr>
        <w:t>春夏多西风，秋季西风、南风各半</w:t>
      </w:r>
      <w:r>
        <w:rPr>
          <w:rFonts w:hint="eastAsia" w:ascii="Times New Roman" w:hAnsi="Times New Roman" w:eastAsia="宋体"/>
          <w:strike w:val="0"/>
          <w:dstrike w:val="0"/>
          <w:color w:val="auto"/>
          <w:szCs w:val="24"/>
          <w:highlight w:val="none"/>
          <w:lang w:val="en-US" w:eastAsia="zh-CN"/>
        </w:rPr>
        <w:t>。</w:t>
      </w:r>
    </w:p>
    <w:p w14:paraId="7465783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木垒县近30年常规气候统计资料如下：</w:t>
      </w:r>
    </w:p>
    <w:p w14:paraId="5841002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年平均气温5.3℃</w:t>
      </w:r>
    </w:p>
    <w:p w14:paraId="79FAB749">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极端最高气温36.5℃</w:t>
      </w:r>
    </w:p>
    <w:p w14:paraId="50FFBA3F">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极端最低气温-31.0℃</w:t>
      </w:r>
    </w:p>
    <w:p w14:paraId="69B39AE7">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年平均本站气压875.3hPa</w:t>
      </w:r>
    </w:p>
    <w:p w14:paraId="58CAAEE6">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年平均水气压5.6</w:t>
      </w:r>
    </w:p>
    <w:p w14:paraId="5EA3E5B7">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年平均相对湿度55%</w:t>
      </w:r>
    </w:p>
    <w:p w14:paraId="2FC774EF">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最小相对湿度4%</w:t>
      </w:r>
    </w:p>
    <w:p w14:paraId="0BE0861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年平均风速3.8m/s</w:t>
      </w:r>
    </w:p>
    <w:p w14:paraId="66DD6C20">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主导风向SSW</w:t>
      </w:r>
    </w:p>
    <w:p w14:paraId="75E22C64">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十分钟平均最大风速3.16m/s</w:t>
      </w:r>
    </w:p>
    <w:p w14:paraId="177B7ABA">
      <w:pPr>
        <w:keepNext w:val="0"/>
        <w:keepLines w:val="0"/>
        <w:pageBreakBefore w:val="0"/>
        <w:widowControl w:val="0"/>
        <w:kinsoku/>
        <w:wordWrap/>
        <w:overflowPunct/>
        <w:topLinePunct w:val="0"/>
        <w:autoSpaceDE/>
        <w:autoSpaceDN/>
        <w:bidi w:val="0"/>
        <w:snapToGrid/>
        <w:spacing w:line="480" w:lineRule="exact"/>
        <w:ind w:left="0" w:right="0" w:rightChars="0" w:firstLine="480" w:firstLineChars="200"/>
        <w:jc w:val="both"/>
        <w:outlineLvl w:val="9"/>
        <w:rPr>
          <w:rFonts w:hint="eastAsia" w:ascii="Times New Roman" w:hAnsi="Times New Roman" w:eastAsia="宋体"/>
          <w:strike w:val="0"/>
          <w:dstrike w:val="0"/>
          <w:color w:val="auto"/>
          <w:szCs w:val="24"/>
          <w:highlight w:val="none"/>
          <w:lang w:val="en-US" w:eastAsia="zh-CN"/>
        </w:rPr>
      </w:pPr>
      <w:r>
        <w:rPr>
          <w:rFonts w:hint="eastAsia" w:ascii="Times New Roman" w:hAnsi="Times New Roman" w:eastAsia="宋体"/>
          <w:strike w:val="0"/>
          <w:dstrike w:val="0"/>
          <w:color w:val="auto"/>
          <w:szCs w:val="24"/>
          <w:highlight w:val="none"/>
          <w:lang w:val="en-US" w:eastAsia="zh-CN"/>
        </w:rPr>
        <w:t>年平均降水量326.4mm</w:t>
      </w:r>
    </w:p>
    <w:p w14:paraId="3ADCF8A5">
      <w:pPr>
        <w:keepNext w:val="0"/>
        <w:keepLines w:val="0"/>
        <w:pageBreakBefore w:val="0"/>
        <w:widowControl w:val="0"/>
        <w:kinsoku/>
        <w:wordWrap/>
        <w:overflowPunct/>
        <w:topLinePunct w:val="0"/>
        <w:autoSpaceDE/>
        <w:autoSpaceDN/>
        <w:bidi w:val="0"/>
        <w:snapToGrid/>
        <w:spacing w:line="480" w:lineRule="exact"/>
        <w:ind w:left="0" w:leftChars="0" w:right="0" w:rightChars="0" w:firstLine="0" w:firstLineChars="0"/>
        <w:jc w:val="both"/>
        <w:outlineLvl w:val="9"/>
        <w:rPr>
          <w:rFonts w:hint="eastAsia" w:ascii="Times New Roman" w:hAnsi="Times New Roman" w:eastAsia="宋体" w:cs="Times New Roman"/>
          <w:b/>
          <w:bCs/>
          <w:strike w:val="0"/>
          <w:dstrike w:val="0"/>
          <w:color w:val="auto"/>
          <w:sz w:val="28"/>
          <w:szCs w:val="32"/>
          <w:highlight w:val="none"/>
          <w:lang w:val="en-US" w:eastAsia="zh-CN" w:bidi="ar-SA"/>
        </w:rPr>
      </w:pPr>
      <w:r>
        <w:rPr>
          <w:rFonts w:hint="eastAsia" w:ascii="Times New Roman" w:hAnsi="Times New Roman" w:eastAsia="宋体" w:cs="Times New Roman"/>
          <w:b/>
          <w:bCs/>
          <w:strike w:val="0"/>
          <w:dstrike w:val="0"/>
          <w:color w:val="auto"/>
          <w:sz w:val="28"/>
          <w:szCs w:val="32"/>
          <w:highlight w:val="none"/>
          <w:lang w:val="en-US" w:eastAsia="zh-CN" w:bidi="ar-SA"/>
        </w:rPr>
        <w:t>4.1.5自然资源</w:t>
      </w:r>
    </w:p>
    <w:p w14:paraId="1A71915F">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w:t>
      </w:r>
      <w:r>
        <w:rPr>
          <w:rFonts w:hint="eastAsia" w:ascii="Times New Roman" w:hAnsi="Times New Roman" w:eastAsia="宋体" w:cs="宋体"/>
          <w:b w:val="0"/>
          <w:strike w:val="0"/>
          <w:dstrike w:val="0"/>
          <w:color w:val="auto"/>
          <w:spacing w:val="0"/>
          <w:position w:val="0"/>
          <w:sz w:val="24"/>
          <w:szCs w:val="24"/>
          <w:highlight w:val="none"/>
          <w:lang w:val="en-US" w:eastAsia="zh-CN"/>
        </w:rPr>
        <w:t>1</w:t>
      </w:r>
      <w:r>
        <w:rPr>
          <w:rFonts w:hint="eastAsia" w:ascii="Times New Roman" w:hAnsi="Times New Roman" w:eastAsia="宋体" w:cs="宋体"/>
          <w:b w:val="0"/>
          <w:strike w:val="0"/>
          <w:dstrike w:val="0"/>
          <w:color w:val="auto"/>
          <w:spacing w:val="0"/>
          <w:position w:val="0"/>
          <w:sz w:val="24"/>
          <w:szCs w:val="24"/>
          <w:highlight w:val="none"/>
          <w:lang w:eastAsia="zh-CN"/>
        </w:rPr>
        <w:t>）土壤与植被</w:t>
      </w:r>
    </w:p>
    <w:p w14:paraId="5C2F78B1">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木垒县南部山区主要土类为黑钙土、栗钙土和草甸土，土壤中有机质含量较高，大浪沙以西的山区由于地势高峻，受湿润气流的影响，植被垂直带发育较完整。海拔2700～3482m的山地，植被由苔草、蒿草、珠牙蓼、委陵菜、高山早熟禾、羊茅、火绒草等组成，草层高度4～8cm，盖度30%～80%。海拔1700～2700m的地带土壤肥沃，雨量充沛，植被种类丰富，在阴坡由高大的雪岭云杉、杨树、柳树、桦树等组成，阳坡沟谷林间空地由禾本科、菊科、牛儿苗科、豆科、莎草科、蔷薇科等植物组成不同群落，草层高度20～60m，植被盖度50%～80%。大浪沙以东至大石头地区，地形逐渐低缓，气候变干，植被种类由西部的旱生或中旱生为主逐渐转向以旱生和超旱生为主，种类和数量明显减少。</w:t>
      </w:r>
    </w:p>
    <w:p w14:paraId="6239585B">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山前丘陵带在大浪沙以西至英格堡一带主要土类以栗钙土和棕钙土为主，有少量灌耕土，有机质及养分含量高，土地肥沃，土层深厚，这一地区气候比较湿。润，植被以草甸草原为主，常见植物有铁杆蒿、灌木亚菊、糙苏、老观草、唇香花、蓬子菜、羊茅、早熟禾、苔草等，灌木有蔷薇、兔儿条、锦鸡儿等，草层高度10～25cm，总盖度20%～80%。大浪沙以东至大石头一带气候较干旱，降水较西部少，土壤为栗钙土、棕钙土和草甸土，土地贫瘠，有机质含量低，土层较薄，一般厚度30～50cm。植被主要以荒漠草原为主，油锦鸡儿、针茅、羊茅、冰草、沙生针茅、蒿子、沙葱、小蓬、地肤、苔草、驼绒黎、假木贼、麻黄等组成不同群落，这一地区干旱多风，地表常以砂砾石和风化碎石覆盖，草层高度一般在5～20cm，总盖度30%～40%。</w:t>
      </w:r>
    </w:p>
    <w:p w14:paraId="7A03951B">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中部平原南起山前丘陵下部，北至沙漠南缘，包括整个冲积、洪积平原，土壤主要有棕钙土、灰漠土、灌耕土、盐土、风沙土等。骆驼路以南为中上戈壁，为河灌区，土壤以棕钙土为主，并有部分灌耕土、灰漠土，土层厚度60～100cm，土壤质地板结，保水保肥性能差，有机质缺乏。骆驼路以北为下戈壁，属井灌区，土壤有灰漠土、盐土、风沙土，土层厚1～2m，土壤易板结，部分地区被风蚀、沙化明显，有机质含量低，pH值9～9.5，属碱性土壤。沙漠以南的广大平原区，植被主要以蒿子、地肤、驼绒黎和一年生植物叉毛蓬、角果黎、猪毛菜等组成的荒漠植被，草层高度5～20cm，植被盖度20%～40%。</w:t>
      </w:r>
    </w:p>
    <w:p w14:paraId="58B854C3">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北部沙漠、戈壁区南起平原北缘，北至北塔山南缘，土壤为风沙土、盐土和草甸土，沙漠区植被主要由梭梭、沙蒿、柽柳、盐节木、沙蒿、驼绒黎、琵琶柴、三芒草、曲尖麻黄、猪毛菜、沙米等组成，盖度一般在20%～45%。二道沙梁以北的地区，土壤基质均不同程度地出现砾质化，植被主要由超旱生灌木、半灌木组成，一年生草本逐渐消失，有曲尖麻黄、中麻黄、霸王、梭梭、猪毛菜、琵琶柴、假木贼、驼绒黎、戈壁针茅等灌木、半灌木及短命草本植物组成，草层高度10～20cm，植被盖度10%～30%。在北塔山盐池周围、哈依纳尔哈斯木托浪格等地有散生片状胡杨林，伴生有柽柳。</w:t>
      </w:r>
    </w:p>
    <w:p w14:paraId="766B8DCA">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b w:val="0"/>
          <w:bCs/>
          <w:strike w:val="0"/>
          <w:dstrike w:val="0"/>
          <w:color w:val="auto"/>
          <w:spacing w:val="0"/>
          <w:position w:val="0"/>
          <w:sz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北部山区山势较低，石质面积大，土壤为淡棕钙土、淡栗钙土，北坡沟谷处西伯利亚落叶松零星分布，阴坡沟槽有忍冬、绣线菊、圆柏、山楂树、锦鸡儿等灌木半灌木。该区水源缺乏，水草组合极差，植被有曲尖麻黄、中麻黄、假木贼、木本猪毛菜、驼绒黎和少量戈壁针茅、细柄茅等，草层高度10～20cm，盖度一般在20%～30%。</w:t>
      </w:r>
    </w:p>
    <w:p w14:paraId="6C3A39FF">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w:t>
      </w:r>
      <w:r>
        <w:rPr>
          <w:rFonts w:hint="eastAsia" w:ascii="Times New Roman" w:hAnsi="Times New Roman" w:eastAsia="宋体" w:cs="宋体"/>
          <w:b w:val="0"/>
          <w:strike w:val="0"/>
          <w:dstrike w:val="0"/>
          <w:color w:val="auto"/>
          <w:spacing w:val="0"/>
          <w:position w:val="0"/>
          <w:sz w:val="24"/>
          <w:szCs w:val="24"/>
          <w:highlight w:val="none"/>
          <w:lang w:val="en-US" w:eastAsia="zh-CN"/>
        </w:rPr>
        <w:t>2</w:t>
      </w:r>
      <w:r>
        <w:rPr>
          <w:rFonts w:hint="eastAsia" w:ascii="Times New Roman" w:hAnsi="Times New Roman" w:eastAsia="宋体" w:cs="宋体"/>
          <w:b w:val="0"/>
          <w:strike w:val="0"/>
          <w:dstrike w:val="0"/>
          <w:color w:val="auto"/>
          <w:spacing w:val="0"/>
          <w:position w:val="0"/>
          <w:sz w:val="24"/>
          <w:szCs w:val="24"/>
          <w:highlight w:val="none"/>
          <w:lang w:eastAsia="zh-CN"/>
        </w:rPr>
        <w:t>）野生动物</w:t>
      </w:r>
    </w:p>
    <w:p w14:paraId="04FB4BAE">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b w:val="0"/>
          <w:bCs/>
          <w:strike w:val="0"/>
          <w:dstrike w:val="0"/>
          <w:color w:val="auto"/>
          <w:spacing w:val="0"/>
          <w:position w:val="0"/>
          <w:sz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木垒哈萨克自治县主要分布各类脊椎动物26目，55科，178种；鸟类16目，36科，127种；兽类6目，12科，38种。国家一级保护动物5种，国家二级保护动物19种。其中鸟类一级有金雕、玉带海雕、波斑鸨等三种，二级15种，主要为隼形目和号鸟形目的种类；兽类一级有雪豹、北山羊等2种，二级有石貂、猞猁、盘羊、鹅喉羚等4种。</w:t>
      </w:r>
    </w:p>
    <w:p w14:paraId="47F6B563">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cs="宋体"/>
          <w:b w:val="0"/>
          <w:strike w:val="0"/>
          <w:dstrike w:val="0"/>
          <w:color w:val="auto"/>
          <w:spacing w:val="0"/>
          <w:position w:val="0"/>
          <w:sz w:val="24"/>
          <w:szCs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w:t>
      </w:r>
      <w:r>
        <w:rPr>
          <w:rFonts w:hint="eastAsia" w:ascii="Times New Roman" w:hAnsi="Times New Roman" w:eastAsia="宋体" w:cs="宋体"/>
          <w:b w:val="0"/>
          <w:strike w:val="0"/>
          <w:dstrike w:val="0"/>
          <w:color w:val="auto"/>
          <w:spacing w:val="0"/>
          <w:position w:val="0"/>
          <w:sz w:val="24"/>
          <w:szCs w:val="24"/>
          <w:highlight w:val="none"/>
          <w:lang w:val="en-US" w:eastAsia="zh-CN"/>
        </w:rPr>
        <w:t>3</w:t>
      </w:r>
      <w:r>
        <w:rPr>
          <w:rFonts w:hint="eastAsia" w:ascii="Times New Roman" w:hAnsi="Times New Roman" w:eastAsia="宋体" w:cs="宋体"/>
          <w:b w:val="0"/>
          <w:strike w:val="0"/>
          <w:dstrike w:val="0"/>
          <w:color w:val="auto"/>
          <w:spacing w:val="0"/>
          <w:position w:val="0"/>
          <w:sz w:val="24"/>
          <w:szCs w:val="24"/>
          <w:highlight w:val="none"/>
          <w:lang w:eastAsia="zh-CN"/>
        </w:rPr>
        <w:t>）区域矿产资源概况</w:t>
      </w:r>
    </w:p>
    <w:p w14:paraId="09332FBD">
      <w:pPr>
        <w:pStyle w:val="49"/>
        <w:keepNext w:val="0"/>
        <w:keepLines w:val="0"/>
        <w:pageBreakBefore w:val="0"/>
        <w:widowControl w:val="0"/>
        <w:numPr>
          <w:ilvl w:val="0"/>
          <w:numId w:val="0"/>
        </w:numPr>
        <w:kinsoku/>
        <w:wordWrap/>
        <w:overflowPunct/>
        <w:topLinePunct w:val="0"/>
        <w:autoSpaceDE/>
        <w:autoSpaceDN/>
        <w:bidi w:val="0"/>
        <w:adjustRightInd/>
        <w:snapToGrid/>
        <w:spacing w:line="480" w:lineRule="exact"/>
        <w:ind w:leftChars="0" w:right="0" w:rightChars="0" w:firstLine="480" w:firstLineChars="200"/>
        <w:jc w:val="both"/>
        <w:textAlignment w:val="auto"/>
        <w:outlineLvl w:val="9"/>
        <w:rPr>
          <w:rFonts w:hint="eastAsia" w:ascii="Times New Roman" w:hAnsi="Times New Roman" w:eastAsia="宋体"/>
          <w:b w:val="0"/>
          <w:bCs/>
          <w:strike w:val="0"/>
          <w:dstrike w:val="0"/>
          <w:color w:val="auto"/>
          <w:spacing w:val="0"/>
          <w:position w:val="0"/>
          <w:sz w:val="24"/>
          <w:highlight w:val="none"/>
          <w:lang w:eastAsia="zh-CN"/>
        </w:rPr>
      </w:pPr>
      <w:r>
        <w:rPr>
          <w:rFonts w:hint="eastAsia" w:ascii="Times New Roman" w:hAnsi="Times New Roman" w:eastAsia="宋体" w:cs="宋体"/>
          <w:b w:val="0"/>
          <w:strike w:val="0"/>
          <w:dstrike w:val="0"/>
          <w:color w:val="auto"/>
          <w:spacing w:val="0"/>
          <w:position w:val="0"/>
          <w:sz w:val="24"/>
          <w:szCs w:val="24"/>
          <w:highlight w:val="none"/>
          <w:lang w:eastAsia="zh-CN"/>
        </w:rPr>
        <w:t>木垒哈萨克自治县境内矿产资源主要有煤、铜、金、石灰石、菱铁矿、湖盐、沸石、辉绿岩、方解石、云母、石棉矿、石墨、黄铁矿、辉铜矿、滑石、石英矿、砂页岩、磁铁矿、赤铁矿、铅锌矿、钾盐等三十多种。</w:t>
      </w:r>
    </w:p>
    <w:p w14:paraId="4E232B01">
      <w:pPr>
        <w:pStyle w:val="3"/>
        <w:rPr>
          <w:rFonts w:ascii="Times New Roman" w:hAnsi="Times New Roman" w:eastAsia="宋体"/>
          <w:strike w:val="0"/>
          <w:dstrike w:val="0"/>
          <w:color w:val="auto"/>
          <w:highlight w:val="none"/>
        </w:rPr>
      </w:pPr>
      <w:bookmarkStart w:id="198" w:name="_Toc89619341"/>
      <w:bookmarkStart w:id="199" w:name="_Toc29819"/>
      <w:r>
        <w:rPr>
          <w:rFonts w:hint="eastAsia" w:ascii="Times New Roman" w:hAnsi="Times New Roman" w:eastAsia="宋体"/>
          <w:strike w:val="0"/>
          <w:dstrike w:val="0"/>
          <w:color w:val="auto"/>
          <w:highlight w:val="none"/>
        </w:rPr>
        <w:t>4.2环境质量现状调查与评价</w:t>
      </w:r>
      <w:bookmarkEnd w:id="198"/>
      <w:bookmarkEnd w:id="199"/>
    </w:p>
    <w:p w14:paraId="6B202A2B">
      <w:pPr>
        <w:pStyle w:val="4"/>
        <w:rPr>
          <w:rFonts w:ascii="Times New Roman" w:hAnsi="Times New Roman" w:eastAsia="宋体"/>
          <w:strike w:val="0"/>
          <w:dstrike w:val="0"/>
          <w:color w:val="auto"/>
          <w:highlight w:val="none"/>
        </w:rPr>
      </w:pPr>
      <w:bookmarkStart w:id="200" w:name="_Toc106663486"/>
      <w:bookmarkStart w:id="201" w:name="_Toc4301"/>
      <w:r>
        <w:rPr>
          <w:rFonts w:hint="eastAsia" w:ascii="Times New Roman" w:hAnsi="Times New Roman" w:eastAsia="宋体"/>
          <w:strike w:val="0"/>
          <w:dstrike w:val="0"/>
          <w:color w:val="auto"/>
          <w:highlight w:val="none"/>
        </w:rPr>
        <w:t>4.2.1大气环境现状调查与评价</w:t>
      </w:r>
      <w:bookmarkEnd w:id="200"/>
      <w:bookmarkEnd w:id="201"/>
    </w:p>
    <w:p w14:paraId="17B30245">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4.2.1.1环境空气污染物基本项目</w:t>
      </w:r>
    </w:p>
    <w:p w14:paraId="6B625064">
      <w:pPr>
        <w:spacing w:line="500" w:lineRule="exact"/>
        <w:ind w:firstLine="480"/>
        <w:rPr>
          <w:rFonts w:hint="eastAsia" w:ascii="Times New Roman" w:hAnsi="Times New Roman" w:eastAsia="宋体"/>
          <w:strike w:val="0"/>
          <w:dstrike w:val="0"/>
          <w:color w:val="auto"/>
          <w:szCs w:val="24"/>
          <w:highlight w:val="none"/>
          <w:lang w:eastAsia="zh-CN"/>
        </w:rPr>
      </w:pPr>
      <w:r>
        <w:rPr>
          <w:rFonts w:hint="eastAsia" w:ascii="Times New Roman" w:hAnsi="Times New Roman" w:eastAsia="宋体"/>
          <w:strike w:val="0"/>
          <w:dstrike w:val="0"/>
          <w:color w:val="auto"/>
          <w:szCs w:val="24"/>
          <w:highlight w:val="none"/>
        </w:rPr>
        <w:t>根据《环境影响评价技术导则大气环境》（HJ2.2-2018）的要求，分别对基本污染物的环境质量现状进行评价</w:t>
      </w:r>
      <w:r>
        <w:rPr>
          <w:rFonts w:hint="eastAsia" w:ascii="Times New Roman" w:hAnsi="Times New Roman" w:eastAsia="宋体"/>
          <w:strike w:val="0"/>
          <w:dstrike w:val="0"/>
          <w:color w:val="auto"/>
          <w:szCs w:val="24"/>
          <w:highlight w:val="none"/>
          <w:lang w:eastAsia="zh-CN"/>
        </w:rPr>
        <w:t>。昌吉回族自治州2024年</w:t>
      </w:r>
      <w:r>
        <w:rPr>
          <w:rFonts w:hint="eastAsia" w:ascii="Times New Roman" w:hAnsi="Times New Roman" w:eastAsia="宋体"/>
          <w:strike w:val="0"/>
          <w:dstrike w:val="0"/>
          <w:color w:val="auto"/>
          <w:szCs w:val="24"/>
          <w:highlight w:val="none"/>
        </w:rPr>
        <w:t>SO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、NO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10</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2.5</w:t>
      </w:r>
      <w:r>
        <w:rPr>
          <w:rFonts w:hint="eastAsia" w:ascii="Times New Roman" w:hAnsi="Times New Roman" w:eastAsia="宋体"/>
          <w:strike w:val="0"/>
          <w:dstrike w:val="0"/>
          <w:color w:val="auto"/>
          <w:szCs w:val="24"/>
          <w:highlight w:val="none"/>
        </w:rPr>
        <w:t>年均浓度分别为</w:t>
      </w:r>
      <w:r>
        <w:rPr>
          <w:rFonts w:hint="eastAsia" w:ascii="Times New Roman" w:hAnsi="Times New Roman" w:eastAsia="宋体"/>
          <w:strike w:val="0"/>
          <w:dstrike w:val="0"/>
          <w:color w:val="auto"/>
          <w:szCs w:val="24"/>
          <w:highlight w:val="none"/>
          <w:lang w:val="en-US" w:eastAsia="zh-CN"/>
        </w:rPr>
        <w:t>7</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w:t>
      </w:r>
      <w:r>
        <w:rPr>
          <w:rFonts w:hint="eastAsia" w:ascii="Times New Roman" w:hAnsi="Times New Roman" w:eastAsia="宋体"/>
          <w:strike w:val="0"/>
          <w:dstrike w:val="0"/>
          <w:color w:val="auto"/>
          <w:szCs w:val="24"/>
          <w:highlight w:val="none"/>
          <w:lang w:val="en-US" w:eastAsia="zh-CN"/>
        </w:rPr>
        <w:t>30</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w:t>
      </w:r>
      <w:r>
        <w:rPr>
          <w:rFonts w:hint="eastAsia" w:ascii="Times New Roman" w:hAnsi="Times New Roman" w:eastAsia="宋体"/>
          <w:strike w:val="0"/>
          <w:dstrike w:val="0"/>
          <w:color w:val="auto"/>
          <w:szCs w:val="24"/>
          <w:highlight w:val="none"/>
          <w:lang w:val="en-US" w:eastAsia="zh-CN"/>
        </w:rPr>
        <w:t>70</w:t>
      </w:r>
      <w:r>
        <w:rPr>
          <w:rFonts w:hint="eastAsia" w:ascii="Times New Roman" w:hAnsi="Times New Roman" w:eastAsia="宋体"/>
          <w:strike w:val="0"/>
          <w:dstrike w:val="0"/>
          <w:color w:val="auto"/>
          <w:szCs w:val="24"/>
          <w:highlight w:val="none"/>
        </w:rPr>
        <w:t>μ</w:t>
      </w:r>
      <w:r>
        <w:rPr>
          <w:rFonts w:ascii="Times New Roman" w:hAnsi="Times New Roman" w:eastAsia="宋体"/>
          <w:strike w:val="0"/>
          <w:dstrike w:val="0"/>
          <w:color w:val="auto"/>
          <w:szCs w:val="24"/>
          <w:highlight w:val="none"/>
        </w:rPr>
        <w:t>g</w:t>
      </w:r>
      <w:r>
        <w:rPr>
          <w:rFonts w:hint="eastAsia" w:ascii="Times New Roman" w:hAnsi="Times New Roman" w:eastAsia="宋体"/>
          <w:strike w:val="0"/>
          <w:dstrike w:val="0"/>
          <w:color w:val="auto"/>
          <w:szCs w:val="24"/>
          <w:highlight w:val="none"/>
        </w:rPr>
        <w:t>/m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w:t>
      </w:r>
      <w:r>
        <w:rPr>
          <w:rFonts w:hint="eastAsia" w:ascii="Times New Roman" w:hAnsi="Times New Roman" w:eastAsia="宋体"/>
          <w:strike w:val="0"/>
          <w:dstrike w:val="0"/>
          <w:color w:val="auto"/>
          <w:szCs w:val="24"/>
          <w:highlight w:val="none"/>
          <w:lang w:val="en-US" w:eastAsia="zh-CN"/>
        </w:rPr>
        <w:t>40</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；CO24小时平均第95百分位数为</w:t>
      </w:r>
      <w:r>
        <w:rPr>
          <w:rFonts w:hint="eastAsia" w:ascii="Times New Roman" w:hAnsi="Times New Roman" w:eastAsia="宋体"/>
          <w:strike w:val="0"/>
          <w:dstrike w:val="0"/>
          <w:color w:val="auto"/>
          <w:szCs w:val="24"/>
          <w:highlight w:val="none"/>
          <w:lang w:val="en-US" w:eastAsia="zh-CN"/>
        </w:rPr>
        <w:t>1.8</w:t>
      </w:r>
      <w:r>
        <w:rPr>
          <w:rFonts w:hint="eastAsia" w:ascii="Times New Roman" w:hAnsi="Times New Roman" w:eastAsia="宋体"/>
          <w:strike w:val="0"/>
          <w:dstrike w:val="0"/>
          <w:color w:val="auto"/>
          <w:szCs w:val="24"/>
          <w:highlight w:val="none"/>
        </w:rPr>
        <w:t>mg/m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，O</w:t>
      </w:r>
      <w:r>
        <w:rPr>
          <w:rFonts w:hint="eastAsia" w:ascii="Times New Roman" w:hAnsi="Times New Roman" w:eastAsia="宋体"/>
          <w:strike w:val="0"/>
          <w:dstrike w:val="0"/>
          <w:color w:val="auto"/>
          <w:szCs w:val="24"/>
          <w:highlight w:val="none"/>
          <w:vertAlign w:val="subscript"/>
        </w:rPr>
        <w:t>3</w:t>
      </w:r>
      <w:r>
        <w:rPr>
          <w:rFonts w:hint="eastAsia" w:ascii="Times New Roman" w:hAnsi="Times New Roman" w:eastAsia="宋体"/>
          <w:strike w:val="0"/>
          <w:dstrike w:val="0"/>
          <w:color w:val="auto"/>
          <w:szCs w:val="24"/>
          <w:highlight w:val="none"/>
        </w:rPr>
        <w:t>日最大8小时平均第90百分位数为</w:t>
      </w:r>
      <w:r>
        <w:rPr>
          <w:rFonts w:hint="eastAsia" w:ascii="Times New Roman" w:hAnsi="Times New Roman" w:eastAsia="宋体"/>
          <w:strike w:val="0"/>
          <w:dstrike w:val="0"/>
          <w:color w:val="auto"/>
          <w:szCs w:val="24"/>
          <w:highlight w:val="none"/>
          <w:lang w:val="en-US" w:eastAsia="zh-CN"/>
        </w:rPr>
        <w:t>134</w:t>
      </w:r>
      <w:r>
        <w:rPr>
          <w:rFonts w:hint="eastAsia" w:ascii="Times New Roman" w:hAnsi="Times New Roman" w:eastAsia="宋体"/>
          <w:strike w:val="0"/>
          <w:dstrike w:val="0"/>
          <w:color w:val="auto"/>
          <w:szCs w:val="24"/>
          <w:highlight w:val="none"/>
        </w:rPr>
        <w:t>μg/m</w:t>
      </w:r>
      <w:r>
        <w:rPr>
          <w:rFonts w:hint="eastAsia" w:ascii="Times New Roman" w:hAnsi="Times New Roman" w:eastAsia="宋体"/>
          <w:strike w:val="0"/>
          <w:dstrike w:val="0"/>
          <w:color w:val="auto"/>
          <w:szCs w:val="24"/>
          <w:highlight w:val="none"/>
          <w:vertAlign w:val="superscript"/>
        </w:rPr>
        <w:t>3</w:t>
      </w:r>
      <w:r>
        <w:rPr>
          <w:rFonts w:hint="eastAsia" w:ascii="Times New Roman" w:hAnsi="Times New Roman" w:eastAsia="宋体"/>
          <w:strike w:val="0"/>
          <w:dstrike w:val="0"/>
          <w:color w:val="auto"/>
          <w:szCs w:val="24"/>
          <w:highlight w:val="none"/>
        </w:rPr>
        <w:t>；超过《环境空气质量标准》（GB3095-20</w:t>
      </w:r>
      <w:r>
        <w:rPr>
          <w:rFonts w:hint="eastAsia" w:ascii="Times New Roman" w:hAnsi="Times New Roman" w:eastAsia="宋体"/>
          <w:strike w:val="0"/>
          <w:dstrike w:val="0"/>
          <w:color w:val="auto"/>
          <w:szCs w:val="24"/>
          <w:highlight w:val="none"/>
          <w:lang w:val="en-US" w:eastAsia="zh-CN"/>
        </w:rPr>
        <w:t>26</w:t>
      </w:r>
      <w:r>
        <w:rPr>
          <w:rFonts w:hint="eastAsia" w:ascii="Times New Roman" w:hAnsi="Times New Roman" w:eastAsia="宋体"/>
          <w:strike w:val="0"/>
          <w:dstrike w:val="0"/>
          <w:color w:val="auto"/>
          <w:szCs w:val="24"/>
          <w:highlight w:val="none"/>
        </w:rPr>
        <w:t>）中</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szCs w:val="24"/>
          <w:highlight w:val="none"/>
        </w:rPr>
        <w:t>二级标准限值的污染物为PM</w:t>
      </w:r>
      <w:r>
        <w:rPr>
          <w:rFonts w:hint="eastAsia" w:ascii="Times New Roman" w:hAnsi="Times New Roman" w:eastAsia="宋体"/>
          <w:strike w:val="0"/>
          <w:dstrike w:val="0"/>
          <w:color w:val="auto"/>
          <w:szCs w:val="24"/>
          <w:highlight w:val="none"/>
          <w:vertAlign w:val="subscript"/>
        </w:rPr>
        <w:t>2.5</w:t>
      </w:r>
      <w:r>
        <w:rPr>
          <w:rFonts w:hint="eastAsia" w:ascii="Times New Roman" w:hAnsi="Times New Roman" w:eastAsia="宋体"/>
          <w:strike w:val="0"/>
          <w:dstrike w:val="0"/>
          <w:color w:val="auto"/>
          <w:szCs w:val="24"/>
          <w:highlight w:val="none"/>
          <w:lang w:eastAsia="zh-CN"/>
        </w:rPr>
        <w:t>。</w:t>
      </w:r>
    </w:p>
    <w:p w14:paraId="74E0F9A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（1）数据来源</w:t>
      </w:r>
    </w:p>
    <w:p w14:paraId="675E453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大气环境》（HJ2.2-2018）对环境质量现状数据的要求，本次采用国家环境保护环境影响评价数值模拟重点实验室、生态环境部环境工程评估中心基于互联网的环境影响评价技术服务平台－环境空气质量模型技术支持服务系统中的昌吉回族自治州2024年S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、NO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、CO、O</w:t>
      </w:r>
      <w:r>
        <w:rPr>
          <w:rFonts w:hint="eastAsia"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rPr>
        <w:t>、PM</w:t>
      </w:r>
      <w:r>
        <w:rPr>
          <w:rFonts w:hint="eastAsia" w:ascii="Times New Roman" w:hAnsi="Times New Roman" w:eastAsia="宋体"/>
          <w:strike w:val="0"/>
          <w:dstrike w:val="0"/>
          <w:color w:val="auto"/>
          <w:highlight w:val="none"/>
          <w:vertAlign w:val="subscript"/>
        </w:rPr>
        <w:t>10</w:t>
      </w:r>
      <w:r>
        <w:rPr>
          <w:rFonts w:hint="eastAsia" w:ascii="Times New Roman" w:hAnsi="Times New Roman" w:eastAsia="宋体"/>
          <w:strike w:val="0"/>
          <w:dstrike w:val="0"/>
          <w:color w:val="auto"/>
          <w:highlight w:val="none"/>
        </w:rPr>
        <w:t>、PM</w:t>
      </w:r>
      <w:r>
        <w:rPr>
          <w:rFonts w:hint="eastAsia" w:ascii="Times New Roman" w:hAnsi="Times New Roman" w:eastAsia="宋体"/>
          <w:strike w:val="0"/>
          <w:dstrike w:val="0"/>
          <w:color w:val="auto"/>
          <w:highlight w:val="none"/>
          <w:vertAlign w:val="subscript"/>
        </w:rPr>
        <w:t>2.5</w:t>
      </w:r>
      <w:r>
        <w:rPr>
          <w:rFonts w:hint="eastAsia" w:ascii="Times New Roman" w:hAnsi="Times New Roman" w:eastAsia="宋体"/>
          <w:strike w:val="0"/>
          <w:dstrike w:val="0"/>
          <w:color w:val="auto"/>
          <w:highlight w:val="none"/>
        </w:rPr>
        <w:t>年均浓度监测数据作为本项目环境空气现状评价基本污染物的数据来源</w:t>
      </w:r>
      <w:r>
        <w:rPr>
          <w:rFonts w:hint="eastAsia" w:ascii="Times New Roman" w:hAnsi="Times New Roman" w:eastAsia="宋体"/>
          <w:strike w:val="0"/>
          <w:dstrike w:val="0"/>
          <w:color w:val="auto"/>
          <w:highlight w:val="none"/>
          <w:lang w:eastAsia="zh-CN"/>
        </w:rPr>
        <w:t>。</w:t>
      </w:r>
    </w:p>
    <w:p w14:paraId="627E4A2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（2）评价标准</w:t>
      </w:r>
    </w:p>
    <w:p w14:paraId="1C9C155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项目所在区域环境空气质量执行《环境空气质量标准》（GB3095-20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环境空气质量标准限值见表4.2-1</w:t>
      </w:r>
      <w:r>
        <w:rPr>
          <w:rFonts w:hint="eastAsia" w:ascii="Times New Roman" w:hAnsi="Times New Roman" w:eastAsia="宋体"/>
          <w:strike w:val="0"/>
          <w:dstrike w:val="0"/>
          <w:color w:val="auto"/>
          <w:highlight w:val="none"/>
          <w:lang w:eastAsia="zh-CN"/>
        </w:rPr>
        <w:t>。</w:t>
      </w:r>
    </w:p>
    <w:p w14:paraId="3388D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表4.2-1环境空气污染物基本项目浓度限值</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932"/>
        <w:gridCol w:w="2628"/>
        <w:gridCol w:w="1288"/>
        <w:gridCol w:w="1152"/>
        <w:gridCol w:w="1108"/>
        <w:gridCol w:w="1225"/>
      </w:tblGrid>
      <w:tr w14:paraId="0F493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tcBorders>
              <w:tl2br w:val="nil"/>
            </w:tcBorders>
            <w:shd w:val="clear" w:color="auto" w:fill="auto"/>
            <w:noWrap w:val="0"/>
            <w:vAlign w:val="center"/>
          </w:tcPr>
          <w:p w14:paraId="51DA2203">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污染物</w:t>
            </w:r>
          </w:p>
        </w:tc>
        <w:tc>
          <w:tcPr>
            <w:tcW w:w="1577" w:type="pct"/>
            <w:shd w:val="clear" w:color="auto" w:fill="auto"/>
            <w:noWrap w:val="0"/>
            <w:vAlign w:val="center"/>
          </w:tcPr>
          <w:p w14:paraId="1EAED1B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年评价指标</w:t>
            </w:r>
          </w:p>
        </w:tc>
        <w:tc>
          <w:tcPr>
            <w:tcW w:w="773" w:type="pct"/>
            <w:shd w:val="clear" w:color="auto" w:fill="auto"/>
            <w:noWrap w:val="0"/>
            <w:vAlign w:val="center"/>
          </w:tcPr>
          <w:p w14:paraId="33AD15F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现状浓度</w:t>
            </w:r>
            <w:r>
              <w:rPr>
                <w:rStyle w:val="187"/>
                <w:rFonts w:hint="default" w:ascii="Times New Roman" w:hAnsi="Times New Roman" w:eastAsia="宋体" w:cs="Times New Roman"/>
                <w:b w:val="0"/>
                <w:bCs w:val="0"/>
                <w:strike w:val="0"/>
                <w:dstrike w:val="0"/>
                <w:color w:val="auto"/>
                <w:sz w:val="21"/>
                <w:szCs w:val="21"/>
                <w:highlight w:val="none"/>
              </w:rPr>
              <w:t>/</w:t>
            </w:r>
            <w:r>
              <w:rPr>
                <w:rFonts w:ascii="Times New Roman" w:hAnsi="Times New Roman" w:eastAsia="宋体"/>
                <w:b w:val="0"/>
                <w:bCs w:val="0"/>
                <w:strike w:val="0"/>
                <w:dstrike w:val="0"/>
                <w:color w:val="auto"/>
                <w:kern w:val="0"/>
                <w:szCs w:val="21"/>
                <w:highlight w:val="none"/>
              </w:rPr>
              <w:t>（</w:t>
            </w:r>
            <w:r>
              <w:rPr>
                <w:rStyle w:val="187"/>
                <w:rFonts w:hint="default" w:ascii="Times New Roman" w:hAnsi="Times New Roman" w:eastAsia="宋体" w:cs="Times New Roman"/>
                <w:b w:val="0"/>
                <w:bCs w:val="0"/>
                <w:strike w:val="0"/>
                <w:dstrike w:val="0"/>
                <w:color w:val="auto"/>
                <w:sz w:val="21"/>
                <w:szCs w:val="21"/>
                <w:highlight w:val="none"/>
              </w:rPr>
              <w:t>µg/m</w:t>
            </w:r>
            <w:r>
              <w:rPr>
                <w:rStyle w:val="188"/>
                <w:rFonts w:hint="default" w:ascii="Times New Roman" w:hAnsi="Times New Roman" w:eastAsia="宋体" w:cs="Times New Roman"/>
                <w:b w:val="0"/>
                <w:bCs w:val="0"/>
                <w:strike w:val="0"/>
                <w:dstrike w:val="0"/>
                <w:color w:val="auto"/>
                <w:sz w:val="21"/>
                <w:szCs w:val="21"/>
                <w:highlight w:val="none"/>
              </w:rPr>
              <w:t>3</w:t>
            </w:r>
            <w:r>
              <w:rPr>
                <w:rFonts w:ascii="Times New Roman" w:hAnsi="Times New Roman" w:eastAsia="宋体"/>
                <w:b w:val="0"/>
                <w:bCs w:val="0"/>
                <w:strike w:val="0"/>
                <w:dstrike w:val="0"/>
                <w:color w:val="auto"/>
                <w:kern w:val="0"/>
                <w:szCs w:val="21"/>
                <w:highlight w:val="none"/>
              </w:rPr>
              <w:t>）</w:t>
            </w:r>
          </w:p>
        </w:tc>
        <w:tc>
          <w:tcPr>
            <w:tcW w:w="691" w:type="pct"/>
            <w:shd w:val="clear" w:color="auto" w:fill="auto"/>
            <w:noWrap w:val="0"/>
            <w:vAlign w:val="center"/>
          </w:tcPr>
          <w:p w14:paraId="41025F2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标准值</w:t>
            </w:r>
            <w:r>
              <w:rPr>
                <w:rStyle w:val="187"/>
                <w:rFonts w:hint="default" w:ascii="Times New Roman" w:hAnsi="Times New Roman" w:eastAsia="宋体" w:cs="Times New Roman"/>
                <w:b w:val="0"/>
                <w:bCs w:val="0"/>
                <w:strike w:val="0"/>
                <w:dstrike w:val="0"/>
                <w:color w:val="auto"/>
                <w:sz w:val="21"/>
                <w:szCs w:val="21"/>
                <w:highlight w:val="none"/>
              </w:rPr>
              <w:t>/</w:t>
            </w:r>
            <w:r>
              <w:rPr>
                <w:rFonts w:ascii="Times New Roman" w:hAnsi="Times New Roman" w:eastAsia="宋体"/>
                <w:b w:val="0"/>
                <w:bCs w:val="0"/>
                <w:strike w:val="0"/>
                <w:dstrike w:val="0"/>
                <w:color w:val="auto"/>
                <w:kern w:val="0"/>
                <w:szCs w:val="21"/>
                <w:highlight w:val="none"/>
              </w:rPr>
              <w:t>（</w:t>
            </w:r>
            <w:r>
              <w:rPr>
                <w:rStyle w:val="187"/>
                <w:rFonts w:hint="default" w:ascii="Times New Roman" w:hAnsi="Times New Roman" w:eastAsia="宋体" w:cs="Times New Roman"/>
                <w:b w:val="0"/>
                <w:bCs w:val="0"/>
                <w:strike w:val="0"/>
                <w:dstrike w:val="0"/>
                <w:color w:val="auto"/>
                <w:sz w:val="21"/>
                <w:szCs w:val="21"/>
                <w:highlight w:val="none"/>
              </w:rPr>
              <w:t>µg/m</w:t>
            </w:r>
            <w:r>
              <w:rPr>
                <w:rStyle w:val="188"/>
                <w:rFonts w:hint="default" w:ascii="Times New Roman" w:hAnsi="Times New Roman" w:eastAsia="宋体" w:cs="Times New Roman"/>
                <w:b w:val="0"/>
                <w:bCs w:val="0"/>
                <w:strike w:val="0"/>
                <w:dstrike w:val="0"/>
                <w:color w:val="auto"/>
                <w:sz w:val="21"/>
                <w:szCs w:val="21"/>
                <w:highlight w:val="none"/>
              </w:rPr>
              <w:t>3</w:t>
            </w:r>
            <w:r>
              <w:rPr>
                <w:rFonts w:ascii="Times New Roman" w:hAnsi="Times New Roman" w:eastAsia="宋体"/>
                <w:b w:val="0"/>
                <w:bCs w:val="0"/>
                <w:strike w:val="0"/>
                <w:dstrike w:val="0"/>
                <w:color w:val="auto"/>
                <w:kern w:val="0"/>
                <w:szCs w:val="21"/>
                <w:highlight w:val="none"/>
              </w:rPr>
              <w:t>）</w:t>
            </w:r>
          </w:p>
        </w:tc>
        <w:tc>
          <w:tcPr>
            <w:tcW w:w="665" w:type="pct"/>
            <w:shd w:val="clear" w:color="auto" w:fill="auto"/>
            <w:noWrap w:val="0"/>
            <w:vAlign w:val="center"/>
          </w:tcPr>
          <w:p w14:paraId="2F37499A">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占标率</w:t>
            </w:r>
            <w:r>
              <w:rPr>
                <w:rStyle w:val="189"/>
                <w:rFonts w:hint="default" w:ascii="Times New Roman" w:hAnsi="Times New Roman" w:eastAsia="宋体" w:cs="Times New Roman"/>
                <w:b w:val="0"/>
                <w:bCs w:val="0"/>
                <w:strike w:val="0"/>
                <w:dstrike w:val="0"/>
                <w:color w:val="auto"/>
                <w:sz w:val="21"/>
                <w:szCs w:val="21"/>
                <w:highlight w:val="none"/>
              </w:rPr>
              <w:t>/%</w:t>
            </w:r>
          </w:p>
        </w:tc>
        <w:tc>
          <w:tcPr>
            <w:tcW w:w="735" w:type="pct"/>
            <w:shd w:val="clear" w:color="auto" w:fill="auto"/>
            <w:noWrap w:val="0"/>
            <w:vAlign w:val="center"/>
          </w:tcPr>
          <w:p w14:paraId="550CD6E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kern w:val="0"/>
                <w:szCs w:val="21"/>
                <w:highlight w:val="none"/>
              </w:rPr>
              <w:t>达标情况</w:t>
            </w:r>
          </w:p>
        </w:tc>
      </w:tr>
      <w:tr w14:paraId="3F0B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59414A6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SO</w:t>
            </w:r>
            <w:r>
              <w:rPr>
                <w:rFonts w:ascii="Times New Roman" w:hAnsi="Times New Roman" w:eastAsia="宋体"/>
                <w:b w:val="0"/>
                <w:strike w:val="0"/>
                <w:dstrike w:val="0"/>
                <w:color w:val="auto"/>
                <w:kern w:val="0"/>
                <w:szCs w:val="21"/>
                <w:highlight w:val="none"/>
                <w:vertAlign w:val="subscript"/>
              </w:rPr>
              <w:t>2</w:t>
            </w:r>
          </w:p>
        </w:tc>
        <w:tc>
          <w:tcPr>
            <w:tcW w:w="1577" w:type="pct"/>
            <w:shd w:val="clear" w:color="auto" w:fill="auto"/>
            <w:noWrap w:val="0"/>
            <w:vAlign w:val="center"/>
          </w:tcPr>
          <w:p w14:paraId="2CEFBBA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199D6A44">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rPr>
            </w:pPr>
            <w:r>
              <w:rPr>
                <w:rFonts w:hint="eastAsia" w:ascii="Times New Roman" w:hAnsi="Times New Roman" w:eastAsia="宋体"/>
                <w:b w:val="0"/>
                <w:strike w:val="0"/>
                <w:dstrike w:val="0"/>
                <w:color w:val="auto"/>
                <w:kern w:val="0"/>
                <w:szCs w:val="21"/>
                <w:highlight w:val="none"/>
              </w:rPr>
              <w:t>7</w:t>
            </w:r>
          </w:p>
        </w:tc>
        <w:tc>
          <w:tcPr>
            <w:tcW w:w="691" w:type="pct"/>
            <w:shd w:val="clear" w:color="auto" w:fill="auto"/>
            <w:noWrap w:val="0"/>
            <w:vAlign w:val="center"/>
          </w:tcPr>
          <w:p w14:paraId="649DA949">
            <w:pPr>
              <w:keepNext w:val="0"/>
              <w:keepLines w:val="0"/>
              <w:pageBreakBefore w:val="0"/>
              <w:widowControl/>
              <w:kinsoku/>
              <w:wordWrap/>
              <w:overflowPunct/>
              <w:topLinePunct w:val="0"/>
              <w:autoSpaceDE/>
              <w:autoSpaceDN/>
              <w:bidi w:val="0"/>
              <w:adjustRightInd w:val="0"/>
              <w:snapToGrid w:val="0"/>
              <w:ind w:firstLine="0" w:firstLineChars="0"/>
              <w:jc w:val="center"/>
              <w:textAlignment w:val="bottom"/>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60</w:t>
            </w:r>
          </w:p>
        </w:tc>
        <w:tc>
          <w:tcPr>
            <w:tcW w:w="665" w:type="pct"/>
            <w:shd w:val="clear" w:color="auto" w:fill="auto"/>
            <w:noWrap w:val="0"/>
            <w:vAlign w:val="top"/>
          </w:tcPr>
          <w:p w14:paraId="5D3119A7">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8.33</w:t>
            </w:r>
          </w:p>
        </w:tc>
        <w:tc>
          <w:tcPr>
            <w:tcW w:w="735" w:type="pct"/>
            <w:shd w:val="clear" w:color="auto" w:fill="auto"/>
            <w:noWrap w:val="0"/>
            <w:vAlign w:val="center"/>
          </w:tcPr>
          <w:p w14:paraId="74A039C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r w14:paraId="690D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7BC5074F">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NO</w:t>
            </w:r>
            <w:r>
              <w:rPr>
                <w:rFonts w:ascii="Times New Roman" w:hAnsi="Times New Roman" w:eastAsia="宋体"/>
                <w:b w:val="0"/>
                <w:strike w:val="0"/>
                <w:dstrike w:val="0"/>
                <w:color w:val="auto"/>
                <w:kern w:val="0"/>
                <w:szCs w:val="21"/>
                <w:highlight w:val="none"/>
                <w:vertAlign w:val="subscript"/>
              </w:rPr>
              <w:t>2</w:t>
            </w:r>
          </w:p>
        </w:tc>
        <w:tc>
          <w:tcPr>
            <w:tcW w:w="1577" w:type="pct"/>
            <w:shd w:val="clear" w:color="auto" w:fill="auto"/>
            <w:noWrap w:val="0"/>
            <w:vAlign w:val="center"/>
          </w:tcPr>
          <w:p w14:paraId="186A408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2C70A1F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30</w:t>
            </w:r>
          </w:p>
        </w:tc>
        <w:tc>
          <w:tcPr>
            <w:tcW w:w="691" w:type="pct"/>
            <w:shd w:val="clear" w:color="auto" w:fill="auto"/>
            <w:noWrap w:val="0"/>
            <w:vAlign w:val="center"/>
          </w:tcPr>
          <w:p w14:paraId="2D29A7F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40</w:t>
            </w:r>
          </w:p>
        </w:tc>
        <w:tc>
          <w:tcPr>
            <w:tcW w:w="665" w:type="pct"/>
            <w:shd w:val="clear" w:color="auto" w:fill="auto"/>
            <w:noWrap w:val="0"/>
            <w:vAlign w:val="top"/>
          </w:tcPr>
          <w:p w14:paraId="55A3535D">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75.00</w:t>
            </w:r>
          </w:p>
        </w:tc>
        <w:tc>
          <w:tcPr>
            <w:tcW w:w="735" w:type="pct"/>
            <w:shd w:val="clear" w:color="auto" w:fill="auto"/>
            <w:noWrap w:val="0"/>
            <w:vAlign w:val="center"/>
          </w:tcPr>
          <w:p w14:paraId="1C7AD684">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r w14:paraId="5EFA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603B9DD4">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PM</w:t>
            </w:r>
            <w:r>
              <w:rPr>
                <w:rFonts w:ascii="Times New Roman" w:hAnsi="Times New Roman" w:eastAsia="宋体"/>
                <w:b w:val="0"/>
                <w:strike w:val="0"/>
                <w:dstrike w:val="0"/>
                <w:color w:val="auto"/>
                <w:kern w:val="0"/>
                <w:szCs w:val="21"/>
                <w:highlight w:val="none"/>
                <w:vertAlign w:val="subscript"/>
              </w:rPr>
              <w:t>10</w:t>
            </w:r>
          </w:p>
        </w:tc>
        <w:tc>
          <w:tcPr>
            <w:tcW w:w="1577" w:type="pct"/>
            <w:shd w:val="clear" w:color="auto" w:fill="auto"/>
            <w:noWrap w:val="0"/>
            <w:vAlign w:val="center"/>
          </w:tcPr>
          <w:p w14:paraId="2218D520">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13223E2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70</w:t>
            </w:r>
          </w:p>
        </w:tc>
        <w:tc>
          <w:tcPr>
            <w:tcW w:w="691" w:type="pct"/>
            <w:shd w:val="clear" w:color="auto" w:fill="auto"/>
            <w:noWrap w:val="0"/>
            <w:vAlign w:val="center"/>
          </w:tcPr>
          <w:p w14:paraId="42AB4D66">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szCs w:val="21"/>
                <w:highlight w:val="none"/>
                <w:lang w:val="en-US" w:eastAsia="zh-CN"/>
              </w:rPr>
              <w:t>60</w:t>
            </w:r>
          </w:p>
        </w:tc>
        <w:tc>
          <w:tcPr>
            <w:tcW w:w="665" w:type="pct"/>
            <w:shd w:val="clear" w:color="auto" w:fill="auto"/>
            <w:noWrap w:val="0"/>
            <w:vAlign w:val="top"/>
          </w:tcPr>
          <w:p w14:paraId="0A91188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116.67</w:t>
            </w:r>
          </w:p>
        </w:tc>
        <w:tc>
          <w:tcPr>
            <w:tcW w:w="735" w:type="pct"/>
            <w:shd w:val="clear" w:color="auto" w:fill="auto"/>
            <w:noWrap w:val="0"/>
            <w:vAlign w:val="center"/>
          </w:tcPr>
          <w:p w14:paraId="5227C1F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hint="eastAsia" w:ascii="Times New Roman" w:hAnsi="Times New Roman" w:eastAsia="宋体"/>
                <w:b w:val="0"/>
                <w:strike w:val="0"/>
                <w:dstrike w:val="0"/>
                <w:color w:val="auto"/>
                <w:kern w:val="0"/>
                <w:szCs w:val="21"/>
                <w:highlight w:val="none"/>
                <w:lang w:val="en-US" w:eastAsia="zh-CN"/>
              </w:rPr>
              <w:t>不</w:t>
            </w:r>
            <w:r>
              <w:rPr>
                <w:rFonts w:ascii="Times New Roman" w:hAnsi="Times New Roman" w:eastAsia="宋体"/>
                <w:b w:val="0"/>
                <w:strike w:val="0"/>
                <w:dstrike w:val="0"/>
                <w:color w:val="auto"/>
                <w:kern w:val="0"/>
                <w:szCs w:val="21"/>
                <w:highlight w:val="none"/>
              </w:rPr>
              <w:t>达标</w:t>
            </w:r>
          </w:p>
        </w:tc>
      </w:tr>
      <w:tr w14:paraId="4279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58D8FA1C">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PM</w:t>
            </w:r>
            <w:r>
              <w:rPr>
                <w:rFonts w:ascii="Times New Roman" w:hAnsi="Times New Roman" w:eastAsia="宋体"/>
                <w:b w:val="0"/>
                <w:strike w:val="0"/>
                <w:dstrike w:val="0"/>
                <w:color w:val="auto"/>
                <w:kern w:val="0"/>
                <w:szCs w:val="21"/>
                <w:highlight w:val="none"/>
                <w:vertAlign w:val="subscript"/>
              </w:rPr>
              <w:t>2.5</w:t>
            </w:r>
          </w:p>
        </w:tc>
        <w:tc>
          <w:tcPr>
            <w:tcW w:w="1577" w:type="pct"/>
            <w:shd w:val="clear" w:color="auto" w:fill="auto"/>
            <w:noWrap w:val="0"/>
            <w:vAlign w:val="center"/>
          </w:tcPr>
          <w:p w14:paraId="06D88062">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年平均质量浓度</w:t>
            </w:r>
          </w:p>
        </w:tc>
        <w:tc>
          <w:tcPr>
            <w:tcW w:w="773" w:type="pct"/>
            <w:shd w:val="clear" w:color="auto" w:fill="auto"/>
            <w:noWrap w:val="0"/>
            <w:vAlign w:val="center"/>
          </w:tcPr>
          <w:p w14:paraId="69AA145C">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40</w:t>
            </w:r>
          </w:p>
        </w:tc>
        <w:tc>
          <w:tcPr>
            <w:tcW w:w="691" w:type="pct"/>
            <w:shd w:val="clear" w:color="auto" w:fill="auto"/>
            <w:noWrap w:val="0"/>
            <w:vAlign w:val="center"/>
          </w:tcPr>
          <w:p w14:paraId="20BDA278">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kern w:val="0"/>
                <w:szCs w:val="21"/>
                <w:highlight w:val="none"/>
                <w:lang w:val="en-US" w:eastAsia="zh-CN"/>
              </w:rPr>
              <w:t>30</w:t>
            </w:r>
          </w:p>
        </w:tc>
        <w:tc>
          <w:tcPr>
            <w:tcW w:w="665" w:type="pct"/>
            <w:shd w:val="clear" w:color="auto" w:fill="auto"/>
            <w:noWrap w:val="0"/>
            <w:vAlign w:val="top"/>
          </w:tcPr>
          <w:p w14:paraId="44742E00">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highlight w:val="none"/>
                <w:lang w:val="en-US" w:eastAsia="zh-CN"/>
              </w:rPr>
              <w:t>133.33</w:t>
            </w:r>
          </w:p>
        </w:tc>
        <w:tc>
          <w:tcPr>
            <w:tcW w:w="735" w:type="pct"/>
            <w:shd w:val="clear" w:color="auto" w:fill="auto"/>
            <w:noWrap w:val="0"/>
            <w:vAlign w:val="center"/>
          </w:tcPr>
          <w:p w14:paraId="035ACCA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不达标</w:t>
            </w:r>
          </w:p>
        </w:tc>
      </w:tr>
      <w:tr w14:paraId="558F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6147210C">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CO</w:t>
            </w:r>
          </w:p>
        </w:tc>
        <w:tc>
          <w:tcPr>
            <w:tcW w:w="1577" w:type="pct"/>
            <w:shd w:val="clear" w:color="auto" w:fill="auto"/>
            <w:noWrap w:val="0"/>
            <w:vAlign w:val="center"/>
          </w:tcPr>
          <w:p w14:paraId="0FBA7110">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lang w:eastAsia="zh-CN"/>
              </w:rPr>
            </w:pPr>
            <w:r>
              <w:rPr>
                <w:rFonts w:hint="eastAsia" w:ascii="Times New Roman" w:hAnsi="Times New Roman" w:eastAsia="宋体"/>
                <w:b w:val="0"/>
                <w:strike w:val="0"/>
                <w:dstrike w:val="0"/>
                <w:color w:val="auto"/>
                <w:kern w:val="0"/>
                <w:szCs w:val="21"/>
                <w:highlight w:val="none"/>
                <w:lang w:val="en-US" w:eastAsia="zh-CN"/>
              </w:rPr>
              <w:t>日平均</w:t>
            </w:r>
          </w:p>
        </w:tc>
        <w:tc>
          <w:tcPr>
            <w:tcW w:w="773" w:type="pct"/>
            <w:shd w:val="clear" w:color="auto" w:fill="auto"/>
            <w:noWrap w:val="0"/>
            <w:vAlign w:val="center"/>
          </w:tcPr>
          <w:p w14:paraId="14264B89">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1.8mg/m</w:t>
            </w:r>
            <w:r>
              <w:rPr>
                <w:rFonts w:ascii="Times New Roman" w:hAnsi="Times New Roman" w:eastAsia="宋体"/>
                <w:b w:val="0"/>
                <w:strike w:val="0"/>
                <w:dstrike w:val="0"/>
                <w:color w:val="auto"/>
                <w:kern w:val="0"/>
                <w:szCs w:val="21"/>
                <w:highlight w:val="none"/>
                <w:vertAlign w:val="superscript"/>
              </w:rPr>
              <w:t>3</w:t>
            </w:r>
          </w:p>
        </w:tc>
        <w:tc>
          <w:tcPr>
            <w:tcW w:w="691" w:type="pct"/>
            <w:shd w:val="clear" w:color="auto" w:fill="auto"/>
            <w:noWrap w:val="0"/>
            <w:vAlign w:val="center"/>
          </w:tcPr>
          <w:p w14:paraId="4482162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vertAlign w:val="superscript"/>
              </w:rPr>
            </w:pPr>
            <w:r>
              <w:rPr>
                <w:rFonts w:ascii="Times New Roman" w:hAnsi="Times New Roman" w:eastAsia="宋体"/>
                <w:b w:val="0"/>
                <w:strike w:val="0"/>
                <w:dstrike w:val="0"/>
                <w:color w:val="auto"/>
                <w:kern w:val="0"/>
                <w:szCs w:val="21"/>
                <w:highlight w:val="none"/>
              </w:rPr>
              <w:t>4mg/m</w:t>
            </w:r>
            <w:r>
              <w:rPr>
                <w:rFonts w:ascii="Times New Roman" w:hAnsi="Times New Roman" w:eastAsia="宋体"/>
                <w:b w:val="0"/>
                <w:strike w:val="0"/>
                <w:dstrike w:val="0"/>
                <w:color w:val="auto"/>
                <w:kern w:val="0"/>
                <w:szCs w:val="21"/>
                <w:highlight w:val="none"/>
                <w:vertAlign w:val="superscript"/>
              </w:rPr>
              <w:t>3</w:t>
            </w:r>
          </w:p>
        </w:tc>
        <w:tc>
          <w:tcPr>
            <w:tcW w:w="665" w:type="pct"/>
            <w:shd w:val="clear" w:color="auto" w:fill="auto"/>
            <w:noWrap w:val="0"/>
            <w:vAlign w:val="center"/>
          </w:tcPr>
          <w:p w14:paraId="5397B83F">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lang w:val="en-US" w:eastAsia="zh-CN"/>
              </w:rPr>
            </w:pPr>
            <w:r>
              <w:rPr>
                <w:rFonts w:ascii="Times New Roman" w:hAnsi="Times New Roman" w:eastAsia="宋体"/>
                <w:b w:val="0"/>
                <w:strike w:val="0"/>
                <w:dstrike w:val="0"/>
                <w:color w:val="auto"/>
                <w:kern w:val="0"/>
                <w:szCs w:val="21"/>
                <w:highlight w:val="none"/>
              </w:rPr>
              <w:t>45.0</w:t>
            </w:r>
            <w:r>
              <w:rPr>
                <w:rFonts w:hint="eastAsia" w:ascii="Times New Roman" w:hAnsi="Times New Roman" w:eastAsia="宋体"/>
                <w:b w:val="0"/>
                <w:strike w:val="0"/>
                <w:dstrike w:val="0"/>
                <w:color w:val="auto"/>
                <w:kern w:val="0"/>
                <w:szCs w:val="21"/>
                <w:highlight w:val="none"/>
                <w:lang w:val="en-US" w:eastAsia="zh-CN"/>
              </w:rPr>
              <w:t>0</w:t>
            </w:r>
          </w:p>
        </w:tc>
        <w:tc>
          <w:tcPr>
            <w:tcW w:w="735" w:type="pct"/>
            <w:shd w:val="clear" w:color="auto" w:fill="auto"/>
            <w:noWrap w:val="0"/>
            <w:vAlign w:val="center"/>
          </w:tcPr>
          <w:p w14:paraId="54D61DE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r w14:paraId="57CC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 w:hRule="atLeast"/>
          <w:jc w:val="center"/>
        </w:trPr>
        <w:tc>
          <w:tcPr>
            <w:tcW w:w="559" w:type="pct"/>
            <w:shd w:val="clear" w:color="auto" w:fill="auto"/>
            <w:noWrap w:val="0"/>
            <w:vAlign w:val="center"/>
          </w:tcPr>
          <w:p w14:paraId="5B47105E">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O</w:t>
            </w:r>
            <w:r>
              <w:rPr>
                <w:rFonts w:ascii="Times New Roman" w:hAnsi="Times New Roman" w:eastAsia="宋体"/>
                <w:b w:val="0"/>
                <w:strike w:val="0"/>
                <w:dstrike w:val="0"/>
                <w:color w:val="auto"/>
                <w:kern w:val="0"/>
                <w:szCs w:val="21"/>
                <w:highlight w:val="none"/>
                <w:vertAlign w:val="subscript"/>
              </w:rPr>
              <w:t>3</w:t>
            </w:r>
          </w:p>
        </w:tc>
        <w:tc>
          <w:tcPr>
            <w:tcW w:w="1577" w:type="pct"/>
            <w:shd w:val="clear" w:color="auto" w:fill="auto"/>
            <w:noWrap w:val="0"/>
            <w:vAlign w:val="center"/>
          </w:tcPr>
          <w:p w14:paraId="3268D435">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szCs w:val="21"/>
                <w:highlight w:val="none"/>
              </w:rPr>
              <w:t>日最大8小时平均</w:t>
            </w:r>
          </w:p>
        </w:tc>
        <w:tc>
          <w:tcPr>
            <w:tcW w:w="773" w:type="pct"/>
            <w:shd w:val="clear" w:color="auto" w:fill="auto"/>
            <w:noWrap w:val="0"/>
            <w:vAlign w:val="center"/>
          </w:tcPr>
          <w:p w14:paraId="15E67A2E">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eastAsia" w:ascii="Times New Roman" w:hAnsi="Times New Roman" w:eastAsia="宋体"/>
                <w:b w:val="0"/>
                <w:strike w:val="0"/>
                <w:dstrike w:val="0"/>
                <w:color w:val="auto"/>
                <w:szCs w:val="21"/>
                <w:highlight w:val="none"/>
                <w:lang w:eastAsia="zh-CN"/>
              </w:rPr>
            </w:pPr>
            <w:r>
              <w:rPr>
                <w:rFonts w:hint="eastAsia" w:ascii="Times New Roman" w:hAnsi="Times New Roman" w:eastAsia="宋体"/>
                <w:b w:val="0"/>
                <w:strike w:val="0"/>
                <w:dstrike w:val="0"/>
                <w:color w:val="auto"/>
                <w:kern w:val="0"/>
                <w:szCs w:val="21"/>
                <w:highlight w:val="none"/>
              </w:rPr>
              <w:t>13</w:t>
            </w:r>
            <w:r>
              <w:rPr>
                <w:rFonts w:hint="eastAsia" w:ascii="Times New Roman" w:hAnsi="Times New Roman" w:eastAsia="宋体"/>
                <w:b w:val="0"/>
                <w:strike w:val="0"/>
                <w:dstrike w:val="0"/>
                <w:color w:val="auto"/>
                <w:kern w:val="0"/>
                <w:szCs w:val="21"/>
                <w:highlight w:val="none"/>
                <w:lang w:val="en-US" w:eastAsia="zh-CN"/>
              </w:rPr>
              <w:t>4</w:t>
            </w:r>
          </w:p>
        </w:tc>
        <w:tc>
          <w:tcPr>
            <w:tcW w:w="691" w:type="pct"/>
            <w:shd w:val="clear" w:color="auto" w:fill="auto"/>
            <w:noWrap w:val="0"/>
            <w:vAlign w:val="center"/>
          </w:tcPr>
          <w:p w14:paraId="46BF167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160</w:t>
            </w:r>
          </w:p>
        </w:tc>
        <w:tc>
          <w:tcPr>
            <w:tcW w:w="665" w:type="pct"/>
            <w:shd w:val="clear" w:color="auto" w:fill="auto"/>
            <w:noWrap w:val="0"/>
            <w:vAlign w:val="center"/>
          </w:tcPr>
          <w:p w14:paraId="76621DB1">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hint="default" w:ascii="Times New Roman" w:hAnsi="Times New Roman" w:eastAsia="宋体"/>
                <w:b w:val="0"/>
                <w:strike w:val="0"/>
                <w:dstrike w:val="0"/>
                <w:color w:val="auto"/>
                <w:szCs w:val="21"/>
                <w:highlight w:val="none"/>
                <w:lang w:val="en-US" w:eastAsia="zh-CN"/>
              </w:rPr>
            </w:pPr>
            <w:r>
              <w:rPr>
                <w:rFonts w:hint="eastAsia" w:ascii="Times New Roman" w:hAnsi="Times New Roman" w:eastAsia="宋体"/>
                <w:b w:val="0"/>
                <w:strike w:val="0"/>
                <w:dstrike w:val="0"/>
                <w:color w:val="auto"/>
                <w:szCs w:val="21"/>
                <w:highlight w:val="none"/>
              </w:rPr>
              <w:t>8</w:t>
            </w:r>
            <w:r>
              <w:rPr>
                <w:rFonts w:hint="eastAsia" w:ascii="Times New Roman" w:hAnsi="Times New Roman" w:eastAsia="宋体"/>
                <w:b w:val="0"/>
                <w:strike w:val="0"/>
                <w:dstrike w:val="0"/>
                <w:color w:val="auto"/>
                <w:szCs w:val="21"/>
                <w:highlight w:val="none"/>
                <w:lang w:val="en-US" w:eastAsia="zh-CN"/>
              </w:rPr>
              <w:t>3.75</w:t>
            </w:r>
          </w:p>
        </w:tc>
        <w:tc>
          <w:tcPr>
            <w:tcW w:w="735" w:type="pct"/>
            <w:shd w:val="clear" w:color="auto" w:fill="auto"/>
            <w:noWrap w:val="0"/>
            <w:vAlign w:val="center"/>
          </w:tcPr>
          <w:p w14:paraId="1A72842F">
            <w:pPr>
              <w:keepNext w:val="0"/>
              <w:keepLines w:val="0"/>
              <w:pageBreakBefore w:val="0"/>
              <w:widowControl/>
              <w:kinsoku/>
              <w:wordWrap/>
              <w:overflowPunct/>
              <w:topLinePunct w:val="0"/>
              <w:autoSpaceDE/>
              <w:autoSpaceDN/>
              <w:bidi w:val="0"/>
              <w:adjustRightInd w:val="0"/>
              <w:snapToGrid w:val="0"/>
              <w:ind w:firstLine="0" w:firstLineChars="0"/>
              <w:jc w:val="center"/>
              <w:textAlignment w:val="center"/>
              <w:rPr>
                <w:rFonts w:ascii="Times New Roman" w:hAnsi="Times New Roman" w:eastAsia="宋体"/>
                <w:b w:val="0"/>
                <w:strike w:val="0"/>
                <w:dstrike w:val="0"/>
                <w:color w:val="auto"/>
                <w:szCs w:val="21"/>
                <w:highlight w:val="none"/>
              </w:rPr>
            </w:pPr>
            <w:r>
              <w:rPr>
                <w:rFonts w:ascii="Times New Roman" w:hAnsi="Times New Roman" w:eastAsia="宋体"/>
                <w:b w:val="0"/>
                <w:strike w:val="0"/>
                <w:dstrike w:val="0"/>
                <w:color w:val="auto"/>
                <w:kern w:val="0"/>
                <w:szCs w:val="21"/>
                <w:highlight w:val="none"/>
              </w:rPr>
              <w:t>达标</w:t>
            </w:r>
          </w:p>
        </w:tc>
      </w:tr>
    </w:tbl>
    <w:p w14:paraId="6449850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（3）评价方法</w:t>
      </w:r>
    </w:p>
    <w:p w14:paraId="2449FE2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采用标准指数法评价大气污染物在评价区域内的环境质量现状，计算公式如下：</w:t>
      </w:r>
    </w:p>
    <w:p w14:paraId="54ABB04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cs="宋体"/>
          <w:strike w:val="0"/>
          <w:dstrike w:val="0"/>
          <w:color w:val="auto"/>
          <w:szCs w:val="21"/>
          <w:highlight w:val="none"/>
        </w:rPr>
        <w:object>
          <v:shape id="_x0000_i1026" o:spt="75" type="#_x0000_t75" style="height:35.8pt;width:88.45pt;" o:ole="t" filled="f" o:preferrelative="t" stroked="f" coordsize="21600,21600">
            <v:path/>
            <v:fill on="f" focussize="0,0"/>
            <v:stroke on="f" joinstyle="miter"/>
            <v:imagedata r:id="rId29" o:title=""/>
            <o:lock v:ext="edit" aspectratio="t"/>
            <w10:wrap type="none"/>
            <w10:anchorlock/>
          </v:shape>
          <o:OLEObject Type="Embed" ProgID="Equation.AxMath" ShapeID="_x0000_i1026" DrawAspect="Content" ObjectID="_1468075726" r:id="rId33">
            <o:LockedField>false</o:LockedField>
          </o:OLEObject>
        </w:object>
      </w:r>
    </w:p>
    <w:p w14:paraId="2D04E0A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——污染物i的单项污染指数，%；</w:t>
      </w:r>
    </w:p>
    <w:p w14:paraId="3B9C0374">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——污染物i的平均浓度值，</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p>
    <w:p w14:paraId="5976569E">
      <w:pPr>
        <w:ind w:firstLine="1200" w:firstLineChars="50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0i</w:t>
      </w:r>
      <w:r>
        <w:rPr>
          <w:rFonts w:hint="eastAsia" w:ascii="Times New Roman" w:hAnsi="Times New Roman" w:eastAsia="宋体"/>
          <w:strike w:val="0"/>
          <w:dstrike w:val="0"/>
          <w:color w:val="auto"/>
          <w:highlight w:val="none"/>
        </w:rPr>
        <w:t>——污染物i的环境空气质量浓度标准，</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p>
    <w:p w14:paraId="5A4C113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≥1时，说明环境中i污染物含量超过标准值，当P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&lt;1时，则说明i污染物符合标准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某污染物的P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值越大，则污染相对越严重</w:t>
      </w:r>
      <w:r>
        <w:rPr>
          <w:rFonts w:hint="eastAsia" w:ascii="Times New Roman" w:hAnsi="Times New Roman" w:eastAsia="宋体"/>
          <w:strike w:val="0"/>
          <w:dstrike w:val="0"/>
          <w:color w:val="auto"/>
          <w:highlight w:val="none"/>
          <w:lang w:eastAsia="zh-CN"/>
        </w:rPr>
        <w:t>。</w:t>
      </w:r>
    </w:p>
    <w:p w14:paraId="5579882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（4）评价结果统计</w:t>
      </w:r>
    </w:p>
    <w:p w14:paraId="52BFC798">
      <w:pPr>
        <w:spacing w:line="500" w:lineRule="exact"/>
        <w:ind w:firstLine="480"/>
        <w:jc w:val="left"/>
        <w:rPr>
          <w:rFonts w:hint="eastAsia" w:ascii="Times New Roman" w:hAnsi="Times New Roman" w:eastAsia="宋体"/>
          <w:bCs/>
          <w:strike w:val="0"/>
          <w:dstrike w:val="0"/>
          <w:color w:val="auto"/>
          <w:highlight w:val="none"/>
          <w:lang w:eastAsia="zh-CN"/>
        </w:rPr>
      </w:pPr>
      <w:r>
        <w:rPr>
          <w:rFonts w:hint="eastAsia" w:ascii="Times New Roman" w:hAnsi="Times New Roman" w:eastAsia="宋体"/>
          <w:strike w:val="0"/>
          <w:dstrike w:val="0"/>
          <w:color w:val="auto"/>
          <w:szCs w:val="24"/>
          <w:highlight w:val="none"/>
        </w:rPr>
        <w:t>基本污染物：引用环境空气质量模型技术支持服务系统</w:t>
      </w:r>
      <w:r>
        <w:rPr>
          <w:rFonts w:hint="eastAsia" w:ascii="Times New Roman" w:hAnsi="Times New Roman" w:eastAsia="宋体"/>
          <w:strike w:val="0"/>
          <w:dstrike w:val="0"/>
          <w:color w:val="auto"/>
          <w:szCs w:val="24"/>
          <w:highlight w:val="none"/>
          <w:lang w:val="en-US" w:eastAsia="zh-CN"/>
        </w:rPr>
        <w:t>昌吉回族自治州</w:t>
      </w:r>
      <w:r>
        <w:rPr>
          <w:rFonts w:hint="eastAsia" w:ascii="Times New Roman" w:hAnsi="Times New Roman" w:eastAsia="宋体"/>
          <w:strike w:val="0"/>
          <w:dstrike w:val="0"/>
          <w:color w:val="auto"/>
          <w:szCs w:val="24"/>
          <w:highlight w:val="none"/>
        </w:rPr>
        <w:t>SO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、NO</w:t>
      </w:r>
      <w:r>
        <w:rPr>
          <w:rFonts w:hint="eastAsia" w:ascii="Times New Roman" w:hAnsi="Times New Roman" w:eastAsia="宋体"/>
          <w:strike w:val="0"/>
          <w:dstrike w:val="0"/>
          <w:color w:val="auto"/>
          <w:szCs w:val="24"/>
          <w:highlight w:val="none"/>
          <w:vertAlign w:val="subscript"/>
        </w:rPr>
        <w:t>2</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10</w:t>
      </w:r>
      <w:r>
        <w:rPr>
          <w:rFonts w:hint="eastAsia" w:ascii="Times New Roman" w:hAnsi="Times New Roman" w:eastAsia="宋体"/>
          <w:strike w:val="0"/>
          <w:dstrike w:val="0"/>
          <w:color w:val="auto"/>
          <w:szCs w:val="24"/>
          <w:highlight w:val="none"/>
        </w:rPr>
        <w:t>、PM</w:t>
      </w:r>
      <w:r>
        <w:rPr>
          <w:rFonts w:hint="eastAsia" w:ascii="Times New Roman" w:hAnsi="Times New Roman" w:eastAsia="宋体"/>
          <w:strike w:val="0"/>
          <w:dstrike w:val="0"/>
          <w:color w:val="auto"/>
          <w:szCs w:val="24"/>
          <w:highlight w:val="none"/>
          <w:vertAlign w:val="subscript"/>
        </w:rPr>
        <w:t>2.5</w:t>
      </w:r>
      <w:r>
        <w:rPr>
          <w:rFonts w:hint="eastAsia" w:ascii="Times New Roman" w:hAnsi="Times New Roman" w:eastAsia="宋体"/>
          <w:strike w:val="0"/>
          <w:dstrike w:val="0"/>
          <w:color w:val="auto"/>
          <w:szCs w:val="24"/>
          <w:highlight w:val="none"/>
        </w:rPr>
        <w:t>、CO、O</w:t>
      </w:r>
      <w:r>
        <w:rPr>
          <w:rFonts w:hint="eastAsia" w:ascii="Times New Roman" w:hAnsi="Times New Roman" w:eastAsia="宋体"/>
          <w:strike w:val="0"/>
          <w:dstrike w:val="0"/>
          <w:color w:val="auto"/>
          <w:szCs w:val="24"/>
          <w:highlight w:val="none"/>
          <w:vertAlign w:val="subscript"/>
        </w:rPr>
        <w:t>3</w:t>
      </w:r>
      <w:r>
        <w:rPr>
          <w:rFonts w:hint="eastAsia" w:ascii="Times New Roman" w:hAnsi="Times New Roman" w:eastAsia="宋体"/>
          <w:strike w:val="0"/>
          <w:dstrike w:val="0"/>
          <w:color w:val="auto"/>
          <w:szCs w:val="24"/>
          <w:highlight w:val="none"/>
        </w:rPr>
        <w:t>六项基本污染物20</w:t>
      </w:r>
      <w:r>
        <w:rPr>
          <w:rFonts w:ascii="Times New Roman" w:hAnsi="Times New Roman" w:eastAsia="宋体"/>
          <w:strike w:val="0"/>
          <w:dstrike w:val="0"/>
          <w:color w:val="auto"/>
          <w:szCs w:val="24"/>
          <w:highlight w:val="none"/>
        </w:rPr>
        <w:t>2</w:t>
      </w:r>
      <w:r>
        <w:rPr>
          <w:rFonts w:hint="eastAsia" w:ascii="Times New Roman" w:hAnsi="Times New Roman" w:eastAsia="宋体"/>
          <w:strike w:val="0"/>
          <w:dstrike w:val="0"/>
          <w:color w:val="auto"/>
          <w:szCs w:val="24"/>
          <w:highlight w:val="none"/>
          <w:lang w:val="en-US" w:eastAsia="zh-CN"/>
        </w:rPr>
        <w:t>4</w:t>
      </w:r>
      <w:r>
        <w:rPr>
          <w:rFonts w:hint="eastAsia" w:ascii="Times New Roman" w:hAnsi="Times New Roman" w:eastAsia="宋体"/>
          <w:strike w:val="0"/>
          <w:dstrike w:val="0"/>
          <w:color w:val="auto"/>
          <w:szCs w:val="24"/>
          <w:highlight w:val="none"/>
        </w:rPr>
        <w:t>年的环境质量数据</w:t>
      </w:r>
      <w:r>
        <w:rPr>
          <w:rFonts w:hint="eastAsia" w:ascii="Times New Roman" w:hAnsi="Times New Roman" w:eastAsia="宋体"/>
          <w:strike w:val="0"/>
          <w:dstrike w:val="0"/>
          <w:color w:val="auto"/>
          <w:szCs w:val="24"/>
          <w:highlight w:val="none"/>
          <w:lang w:eastAsia="zh-CN"/>
        </w:rPr>
        <w:t>。</w:t>
      </w:r>
    </w:p>
    <w:p w14:paraId="7B0CCC19">
      <w:pPr>
        <w:spacing w:line="500" w:lineRule="exact"/>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由表4.2-</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rPr>
        <w:t>可知，</w:t>
      </w:r>
      <w:bookmarkStart w:id="202" w:name="_Hlk88042713"/>
      <w:r>
        <w:rPr>
          <w:rFonts w:hint="eastAsia" w:ascii="Times New Roman" w:hAnsi="Times New Roman" w:eastAsia="宋体"/>
          <w:strike w:val="0"/>
          <w:dstrike w:val="0"/>
          <w:color w:val="auto"/>
          <w:highlight w:val="none"/>
        </w:rPr>
        <w:t>本次环境空气质量现状评价以报批期现行有效标准《环境空气质量标准》（GB3095-2026）作为达标判定依据，同时沿用GB3095-2012开展历史对比分析。</w:t>
      </w:r>
      <w:r>
        <w:rPr>
          <w:rFonts w:ascii="Times New Roman" w:hAnsi="Times New Roman" w:eastAsia="宋体"/>
          <w:strike w:val="0"/>
          <w:dstrike w:val="0"/>
          <w:color w:val="auto"/>
          <w:highlight w:val="none"/>
        </w:rPr>
        <w:t>项目所在区域PM</w:t>
      </w:r>
      <w:r>
        <w:rPr>
          <w:rFonts w:hint="eastAsia" w:ascii="Times New Roman" w:hAnsi="Times New Roman" w:eastAsia="宋体"/>
          <w:strike w:val="0"/>
          <w:dstrike w:val="0"/>
          <w:color w:val="auto"/>
          <w:highlight w:val="none"/>
          <w:vertAlign w:val="subscript"/>
          <w:lang w:val="en-US" w:eastAsia="zh-CN"/>
        </w:rPr>
        <w:t>10</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PM</w:t>
      </w:r>
      <w:r>
        <w:rPr>
          <w:rFonts w:ascii="Times New Roman" w:hAnsi="Times New Roman" w:eastAsia="宋体"/>
          <w:strike w:val="0"/>
          <w:dstrike w:val="0"/>
          <w:color w:val="auto"/>
          <w:highlight w:val="none"/>
          <w:vertAlign w:val="subscript"/>
        </w:rPr>
        <w:t>2.5</w:t>
      </w:r>
      <w:r>
        <w:rPr>
          <w:rFonts w:ascii="Times New Roman" w:hAnsi="Times New Roman" w:eastAsia="宋体"/>
          <w:strike w:val="0"/>
          <w:dstrike w:val="0"/>
          <w:color w:val="auto"/>
          <w:highlight w:val="none"/>
        </w:rPr>
        <w:t>年平均浓度均超过《环境空气质量标准》（GB3095-20</w:t>
      </w:r>
      <w:r>
        <w:rPr>
          <w:rFonts w:hint="eastAsia" w:ascii="Times New Roman" w:hAnsi="Times New Roman" w:eastAsia="宋体"/>
          <w:strike w:val="0"/>
          <w:dstrike w:val="0"/>
          <w:color w:val="auto"/>
          <w:highlight w:val="none"/>
          <w:lang w:val="en-US" w:eastAsia="zh-CN"/>
        </w:rPr>
        <w:t>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二级标准要求；O</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最大8小时平均浓度及NO</w:t>
      </w:r>
      <w:r>
        <w:rPr>
          <w:rFonts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CO、SO</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的日、年均浓度均满足</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二级标准要求，本项目所在区域为</w:t>
      </w:r>
      <w:r>
        <w:rPr>
          <w:rFonts w:hint="eastAsia" w:ascii="Times New Roman" w:hAnsi="Times New Roman" w:eastAsia="宋体"/>
          <w:strike w:val="0"/>
          <w:dstrike w:val="0"/>
          <w:color w:val="auto"/>
          <w:highlight w:val="none"/>
        </w:rPr>
        <w:t>不</w:t>
      </w:r>
      <w:r>
        <w:rPr>
          <w:rFonts w:ascii="Times New Roman" w:hAnsi="Times New Roman" w:eastAsia="宋体"/>
          <w:strike w:val="0"/>
          <w:dstrike w:val="0"/>
          <w:color w:val="auto"/>
          <w:highlight w:val="none"/>
        </w:rPr>
        <w:t>达标区域</w:t>
      </w:r>
      <w:bookmarkEnd w:id="202"/>
      <w:r>
        <w:rPr>
          <w:rFonts w:hint="eastAsia" w:ascii="Times New Roman" w:hAnsi="Times New Roman" w:eastAsia="宋体"/>
          <w:strike w:val="0"/>
          <w:dstrike w:val="0"/>
          <w:color w:val="auto"/>
          <w:highlight w:val="none"/>
          <w:lang w:eastAsia="zh-CN"/>
        </w:rPr>
        <w:t>；对照《环境空气质量标准》（GB3095-2012）二级限值分析，仅PM</w:t>
      </w:r>
      <w:r>
        <w:rPr>
          <w:rFonts w:hint="eastAsia" w:ascii="Times New Roman" w:hAnsi="Times New Roman" w:eastAsia="宋体"/>
          <w:strike w:val="0"/>
          <w:dstrike w:val="0"/>
          <w:color w:val="auto"/>
          <w:highlight w:val="none"/>
          <w:vertAlign w:val="subscript"/>
          <w:lang w:val="en-US" w:eastAsia="zh-CN"/>
        </w:rPr>
        <w:t>2.5</w:t>
      </w:r>
      <w:r>
        <w:rPr>
          <w:rFonts w:hint="eastAsia" w:ascii="Times New Roman" w:hAnsi="Times New Roman" w:eastAsia="宋体"/>
          <w:strike w:val="0"/>
          <w:dstrike w:val="0"/>
          <w:color w:val="auto"/>
          <w:highlight w:val="none"/>
          <w:lang w:eastAsia="zh-CN"/>
        </w:rPr>
        <w:t>年均浓度出现小幅超标，其余污染物均可满足旧版环境质量标准。</w:t>
      </w:r>
    </w:p>
    <w:p w14:paraId="419986E7">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4.2.1.2环境空气特征污染物</w:t>
      </w:r>
    </w:p>
    <w:p w14:paraId="0910477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（1）数据来源</w:t>
      </w:r>
    </w:p>
    <w:p w14:paraId="412F98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本项目特征污染物环境空气质量现状评价数据委托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对项目所在进行了监测，</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lang w:val="en-US" w:eastAsia="zh-CN"/>
        </w:rPr>
        <w:t>和TSP</w:t>
      </w:r>
      <w:r>
        <w:rPr>
          <w:rFonts w:hint="eastAsia" w:ascii="Times New Roman" w:hAnsi="Times New Roman" w:eastAsia="宋体"/>
          <w:strike w:val="0"/>
          <w:dstrike w:val="0"/>
          <w:color w:val="auto"/>
          <w:highlight w:val="none"/>
        </w:rPr>
        <w:t>监测时间为20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13</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20</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硫化氢、臭气浓度监测时间为</w:t>
      </w:r>
      <w:r>
        <w:rPr>
          <w:rFonts w:hint="eastAsia" w:ascii="Times New Roman" w:hAnsi="Times New Roman" w:eastAsia="宋体"/>
          <w:strike w:val="0"/>
          <w:dstrike w:val="0"/>
          <w:color w:val="auto"/>
          <w:highlight w:val="none"/>
        </w:rPr>
        <w:t>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06</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11</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06</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18</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环境空气监测点位见附图4.2-1</w:t>
      </w:r>
      <w:r>
        <w:rPr>
          <w:rFonts w:hint="eastAsia" w:ascii="Times New Roman" w:hAnsi="Times New Roman" w:eastAsia="宋体"/>
          <w:strike w:val="0"/>
          <w:dstrike w:val="0"/>
          <w:color w:val="auto"/>
          <w:highlight w:val="none"/>
          <w:lang w:eastAsia="zh-CN"/>
        </w:rPr>
        <w:t>。</w:t>
      </w:r>
    </w:p>
    <w:p w14:paraId="03892256">
      <w:pPr>
        <w:shd w:val="clea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（2）监测项目及频率</w:t>
      </w:r>
    </w:p>
    <w:p w14:paraId="79D9BE2C">
      <w:pPr>
        <w:shd w:val="clea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监测点位：W1：项目区</w:t>
      </w:r>
      <w:r>
        <w:rPr>
          <w:rFonts w:hint="eastAsia" w:ascii="Times New Roman" w:hAnsi="Times New Roman" w:eastAsia="宋体"/>
          <w:strike w:val="0"/>
          <w:dstrike w:val="0"/>
          <w:color w:val="auto"/>
          <w:highlight w:val="none"/>
          <w:lang w:val="en-US" w:eastAsia="zh-CN"/>
        </w:rPr>
        <w:t>下风向</w:t>
      </w:r>
      <w:r>
        <w:rPr>
          <w:rFonts w:hint="eastAsia" w:ascii="Times New Roman" w:hAnsi="Times New Roman" w:eastAsia="宋体"/>
          <w:strike w:val="0"/>
          <w:dstrike w:val="0"/>
          <w:color w:val="auto"/>
          <w:highlight w:val="none"/>
        </w:rPr>
        <w:t>；</w:t>
      </w:r>
    </w:p>
    <w:p w14:paraId="2013CCC4">
      <w:pPr>
        <w:shd w:val="clea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监测项目：</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硫化氢、TSP、臭气浓度</w:t>
      </w:r>
      <w:r>
        <w:rPr>
          <w:rFonts w:hint="eastAsia" w:ascii="Times New Roman" w:hAnsi="Times New Roman" w:eastAsia="宋体"/>
          <w:strike w:val="0"/>
          <w:dstrike w:val="0"/>
          <w:color w:val="auto"/>
          <w:highlight w:val="none"/>
        </w:rPr>
        <w:t>；</w:t>
      </w:r>
    </w:p>
    <w:p w14:paraId="78C0B77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监测频率：连续采样7个有效天，每天采样4次，每次1小时</w:t>
      </w:r>
      <w:r>
        <w:rPr>
          <w:rFonts w:hint="eastAsia" w:ascii="Times New Roman" w:hAnsi="Times New Roman" w:eastAsia="宋体"/>
          <w:strike w:val="0"/>
          <w:dstrike w:val="0"/>
          <w:color w:val="auto"/>
          <w:highlight w:val="none"/>
          <w:lang w:eastAsia="zh-CN"/>
        </w:rPr>
        <w:t>。</w:t>
      </w:r>
    </w:p>
    <w:p w14:paraId="428DC3C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（3）评价标准</w:t>
      </w:r>
    </w:p>
    <w:p w14:paraId="5A50187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项目区域属于环境空气功能区二类区，环境空气质量执行《环境空气质量标准》（GB3095-20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H</w:t>
      </w:r>
      <w:r>
        <w:rPr>
          <w:rFonts w:hint="eastAsia" w:ascii="Times New Roman" w:hAnsi="Times New Roman" w:eastAsia="宋体"/>
          <w:strike w:val="0"/>
          <w:dstrike w:val="0"/>
          <w:color w:val="auto"/>
          <w:highlight w:val="none"/>
          <w:vertAlign w:val="subscript"/>
          <w:lang w:val="en-US" w:eastAsia="zh-CN"/>
        </w:rPr>
        <w:t>2</w:t>
      </w:r>
      <w:r>
        <w:rPr>
          <w:rFonts w:hint="eastAsia" w:ascii="Times New Roman" w:hAnsi="Times New Roman" w:eastAsia="宋体"/>
          <w:strike w:val="0"/>
          <w:dstrike w:val="0"/>
          <w:color w:val="auto"/>
          <w:highlight w:val="none"/>
          <w:lang w:val="en-US" w:eastAsia="zh-CN"/>
        </w:rPr>
        <w:t>S</w:t>
      </w:r>
      <w:r>
        <w:rPr>
          <w:rFonts w:hint="eastAsia" w:ascii="Times New Roman" w:hAnsi="Times New Roman" w:eastAsia="宋体"/>
          <w:strike w:val="0"/>
          <w:dstrike w:val="0"/>
          <w:color w:val="auto"/>
          <w:highlight w:val="none"/>
        </w:rPr>
        <w:t>参照执行《环境影响评价技术导则大气环境》（HJ2.2-2018）附录D中的标准值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TSP</w:t>
      </w:r>
      <w:r>
        <w:rPr>
          <w:rFonts w:hint="eastAsia" w:ascii="Times New Roman" w:hAnsi="Times New Roman" w:eastAsia="宋体"/>
          <w:strike w:val="0"/>
          <w:dstrike w:val="0"/>
          <w:color w:val="auto"/>
          <w:highlight w:val="none"/>
        </w:rPr>
        <w:t>执行《环境空气质量标准》（GB3095-20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）中表2环境空气污染物其他项目浓度限值</w:t>
      </w:r>
      <w:r>
        <w:rPr>
          <w:rFonts w:hint="eastAsia" w:ascii="Times New Roman" w:hAnsi="Times New Roman" w:eastAsia="宋体"/>
          <w:strike w:val="0"/>
          <w:dstrike w:val="0"/>
          <w:color w:val="auto"/>
          <w:highlight w:val="none"/>
          <w:lang w:val="en-US" w:eastAsia="zh-CN"/>
        </w:rPr>
        <w:t>二级标准；区域环境空气臭气浓度无专用质量国标，现状评价参照《恶臭污染物排放标准》（GB 14554-93）二级标准限值20（无量纲）进行评价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标准限值见表4.2-3</w:t>
      </w:r>
      <w:r>
        <w:rPr>
          <w:rFonts w:hint="eastAsia" w:ascii="Times New Roman" w:hAnsi="Times New Roman" w:eastAsia="宋体"/>
          <w:strike w:val="0"/>
          <w:dstrike w:val="0"/>
          <w:color w:val="auto"/>
          <w:highlight w:val="none"/>
          <w:lang w:eastAsia="zh-CN"/>
        </w:rPr>
        <w:t>。</w:t>
      </w:r>
    </w:p>
    <w:p w14:paraId="5A87B1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表4.2-3环境空气特征污染物浓度限值</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977"/>
        <w:gridCol w:w="4445"/>
      </w:tblGrid>
      <w:tr w14:paraId="0695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3C69BE4F">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序号</w:t>
            </w:r>
          </w:p>
        </w:tc>
        <w:tc>
          <w:tcPr>
            <w:tcW w:w="1746" w:type="pct"/>
            <w:vAlign w:val="center"/>
          </w:tcPr>
          <w:p w14:paraId="5EA5C7FE">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污染物名称</w:t>
            </w:r>
          </w:p>
        </w:tc>
        <w:tc>
          <w:tcPr>
            <w:tcW w:w="2607" w:type="pct"/>
            <w:vAlign w:val="center"/>
          </w:tcPr>
          <w:p w14:paraId="3FCC7C49">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1h评价标准值（mg/m</w:t>
            </w:r>
            <w:r>
              <w:rPr>
                <w:rFonts w:hint="eastAsia" w:ascii="Times New Roman" w:hAnsi="Times New Roman" w:eastAsia="宋体"/>
                <w:strike w:val="0"/>
                <w:dstrike w:val="0"/>
                <w:color w:val="auto"/>
                <w:kern w:val="2"/>
                <w:sz w:val="21"/>
                <w:szCs w:val="21"/>
                <w:highlight w:val="none"/>
                <w:vertAlign w:val="superscript"/>
              </w:rPr>
              <w:t>3</w:t>
            </w:r>
            <w:r>
              <w:rPr>
                <w:rFonts w:hint="eastAsia" w:ascii="Times New Roman" w:hAnsi="Times New Roman" w:eastAsia="宋体"/>
                <w:strike w:val="0"/>
                <w:dstrike w:val="0"/>
                <w:color w:val="auto"/>
                <w:kern w:val="2"/>
                <w:sz w:val="21"/>
                <w:szCs w:val="21"/>
                <w:highlight w:val="none"/>
              </w:rPr>
              <w:t>）</w:t>
            </w:r>
          </w:p>
        </w:tc>
      </w:tr>
      <w:tr w14:paraId="15A5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pct"/>
            <w:vAlign w:val="center"/>
          </w:tcPr>
          <w:p w14:paraId="35A881B8">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lang w:val="en-US" w:eastAsia="zh-CN"/>
              </w:rPr>
              <w:t>1</w:t>
            </w:r>
          </w:p>
        </w:tc>
        <w:tc>
          <w:tcPr>
            <w:tcW w:w="1746" w:type="pct"/>
            <w:vAlign w:val="center"/>
          </w:tcPr>
          <w:p w14:paraId="1E1BCDCF">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NH</w:t>
            </w:r>
            <w:r>
              <w:rPr>
                <w:rFonts w:hint="eastAsia" w:ascii="Times New Roman" w:hAnsi="Times New Roman" w:eastAsia="宋体"/>
                <w:strike w:val="0"/>
                <w:dstrike w:val="0"/>
                <w:color w:val="auto"/>
                <w:kern w:val="2"/>
                <w:sz w:val="21"/>
                <w:szCs w:val="21"/>
                <w:highlight w:val="none"/>
                <w:vertAlign w:val="subscript"/>
              </w:rPr>
              <w:t>3</w:t>
            </w:r>
          </w:p>
        </w:tc>
        <w:tc>
          <w:tcPr>
            <w:tcW w:w="2607" w:type="pct"/>
            <w:vAlign w:val="center"/>
          </w:tcPr>
          <w:p w14:paraId="7FD09DC3">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w:t>
            </w:r>
          </w:p>
        </w:tc>
      </w:tr>
      <w:tr w14:paraId="3A38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2DB64DD2">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2</w:t>
            </w:r>
          </w:p>
        </w:tc>
        <w:tc>
          <w:tcPr>
            <w:tcW w:w="1746" w:type="pct"/>
            <w:vAlign w:val="center"/>
          </w:tcPr>
          <w:p w14:paraId="7804EB70">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硫化氢</w:t>
            </w:r>
          </w:p>
        </w:tc>
        <w:tc>
          <w:tcPr>
            <w:tcW w:w="2607" w:type="pct"/>
            <w:vAlign w:val="center"/>
          </w:tcPr>
          <w:p w14:paraId="5C94329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0.01</w:t>
            </w:r>
          </w:p>
        </w:tc>
      </w:tr>
      <w:tr w14:paraId="48DB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2FC4551A">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3</w:t>
            </w:r>
          </w:p>
        </w:tc>
        <w:tc>
          <w:tcPr>
            <w:tcW w:w="1746" w:type="pct"/>
            <w:vAlign w:val="center"/>
          </w:tcPr>
          <w:p w14:paraId="6407D5F6">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TSP</w:t>
            </w:r>
          </w:p>
        </w:tc>
        <w:tc>
          <w:tcPr>
            <w:tcW w:w="2607" w:type="pct"/>
            <w:vAlign w:val="center"/>
          </w:tcPr>
          <w:p w14:paraId="7C950048">
            <w:pPr>
              <w:spacing w:line="240" w:lineRule="auto"/>
              <w:ind w:firstLine="0" w:firstLineChars="0"/>
              <w:jc w:val="center"/>
              <w:rPr>
                <w:rFonts w:hint="default" w:ascii="Times New Roman" w:hAnsi="Times New Roman" w:eastAsia="宋体"/>
                <w:strike w:val="0"/>
                <w:dstrike w:val="0"/>
                <w:color w:val="auto"/>
                <w:kern w:val="2"/>
                <w:sz w:val="21"/>
                <w:szCs w:val="21"/>
                <w:highlight w:val="none"/>
                <w:vertAlign w:val="superscript"/>
                <w:lang w:val="en-US" w:eastAsia="zh-CN"/>
              </w:rPr>
            </w:pPr>
            <w:r>
              <w:rPr>
                <w:rFonts w:hint="eastAsia" w:ascii="Times New Roman" w:hAnsi="Times New Roman" w:eastAsia="宋体"/>
                <w:strike w:val="0"/>
                <w:dstrike w:val="0"/>
                <w:color w:val="auto"/>
                <w:kern w:val="2"/>
                <w:sz w:val="21"/>
                <w:szCs w:val="21"/>
                <w:highlight w:val="none"/>
                <w:lang w:val="en-US" w:eastAsia="zh-CN"/>
              </w:rPr>
              <w:t>日均值0.3</w:t>
            </w:r>
          </w:p>
        </w:tc>
      </w:tr>
      <w:tr w14:paraId="4C46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5" w:type="pct"/>
            <w:vAlign w:val="center"/>
          </w:tcPr>
          <w:p w14:paraId="07A6665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4</w:t>
            </w:r>
          </w:p>
        </w:tc>
        <w:tc>
          <w:tcPr>
            <w:tcW w:w="1746" w:type="pct"/>
            <w:vAlign w:val="center"/>
          </w:tcPr>
          <w:p w14:paraId="295D0D60">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臭气浓度</w:t>
            </w:r>
          </w:p>
        </w:tc>
        <w:tc>
          <w:tcPr>
            <w:tcW w:w="2607" w:type="pct"/>
            <w:vAlign w:val="center"/>
          </w:tcPr>
          <w:p w14:paraId="2F500950">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20（无量纲）</w:t>
            </w:r>
          </w:p>
        </w:tc>
      </w:tr>
    </w:tbl>
    <w:p w14:paraId="179220F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（3）评价方法</w:t>
      </w:r>
    </w:p>
    <w:p w14:paraId="4B1BBA5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采用标准指数法评价大气污染物在评价区域内的环境质量现状，计算公式如下：</w:t>
      </w:r>
    </w:p>
    <w:p w14:paraId="25A1828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object>
          <v:shape id="_x0000_i1027" o:spt="75" type="#_x0000_t75" style="height:35.8pt;width:72pt;" o:ole="t" filled="f" o:preferrelative="t" stroked="f" coordsize="21600,21600">
            <v:path/>
            <v:fill on="f" focussize="0,0"/>
            <v:stroke on="f" joinstyle="miter"/>
            <v:imagedata r:id="rId35" o:title=""/>
            <o:lock v:ext="edit" aspectratio="t"/>
            <w10:wrap type="none"/>
            <w10:anchorlock/>
          </v:shape>
          <o:OLEObject Type="Embed" ProgID="Equation.AxMath" ShapeID="_x0000_i1027" DrawAspect="Content" ObjectID="_1468075727" r:id="rId34">
            <o:LockedField>false</o:LockedField>
          </o:OLEObject>
        </w:object>
      </w:r>
    </w:p>
    <w:p w14:paraId="18767A0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——污染物i的单项污染指数，%；</w:t>
      </w:r>
    </w:p>
    <w:p w14:paraId="1AA43854">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——污染物i的监测浓度值，</w:t>
      </w:r>
      <w:r>
        <w:rPr>
          <w:rFonts w:ascii="Times New Roman" w:hAnsi="Times New Roman" w:eastAsia="宋体"/>
          <w:strike w:val="0"/>
          <w:dstrike w:val="0"/>
          <w:color w:val="auto"/>
          <w:highlight w:val="none"/>
        </w:rPr>
        <w:t>μg/m</w:t>
      </w:r>
      <w:r>
        <w:rPr>
          <w:rFonts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w:t>
      </w:r>
    </w:p>
    <w:p w14:paraId="4D8A3A51">
      <w:pPr>
        <w:ind w:firstLine="1200" w:firstLineChars="50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0i</w:t>
      </w:r>
      <w:r>
        <w:rPr>
          <w:rFonts w:hint="eastAsia" w:ascii="Times New Roman" w:hAnsi="Times New Roman" w:eastAsia="宋体"/>
          <w:strike w:val="0"/>
          <w:dstrike w:val="0"/>
          <w:color w:val="auto"/>
          <w:highlight w:val="none"/>
        </w:rPr>
        <w:t>——污染物i的环境空气质量浓度标准，μg/m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lang w:eastAsia="zh-CN"/>
        </w:rPr>
        <w:t>。</w:t>
      </w:r>
    </w:p>
    <w:p w14:paraId="389235D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≥1时，说明环境中i污染物含量超过标准值，当P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&lt;1时，则说明i污染物符合标准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某污染物的P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值越大，则污染相对越严重</w:t>
      </w:r>
      <w:r>
        <w:rPr>
          <w:rFonts w:hint="eastAsia" w:ascii="Times New Roman" w:hAnsi="Times New Roman" w:eastAsia="宋体"/>
          <w:strike w:val="0"/>
          <w:dstrike w:val="0"/>
          <w:color w:val="auto"/>
          <w:highlight w:val="none"/>
          <w:lang w:eastAsia="zh-CN"/>
        </w:rPr>
        <w:t>。</w:t>
      </w:r>
    </w:p>
    <w:p w14:paraId="53B4254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（4）监测结果分析及评价</w:t>
      </w:r>
    </w:p>
    <w:p w14:paraId="7A42226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NH</w:t>
      </w:r>
      <w:r>
        <w:rPr>
          <w:rFonts w:ascii="Times New Roman" w:hAnsi="Times New Roman" w:eastAsia="宋体"/>
          <w:strike w:val="0"/>
          <w:dstrike w:val="0"/>
          <w:color w:val="auto"/>
          <w:highlight w:val="none"/>
          <w:vertAlign w:val="subscript"/>
        </w:rPr>
        <w:t>3</w:t>
      </w:r>
      <w:r>
        <w:rPr>
          <w:rFonts w:hint="eastAsia" w:ascii="Times New Roman" w:hAnsi="Times New Roman" w:eastAsia="宋体"/>
          <w:strike w:val="0"/>
          <w:dstrike w:val="0"/>
          <w:color w:val="auto"/>
          <w:highlight w:val="none"/>
          <w:vertAlign w:val="baseline"/>
          <w:lang w:eastAsia="zh-CN"/>
        </w:rPr>
        <w:t>、</w:t>
      </w:r>
      <w:r>
        <w:rPr>
          <w:rFonts w:hint="eastAsia" w:ascii="Times New Roman" w:hAnsi="Times New Roman" w:eastAsia="宋体"/>
          <w:strike w:val="0"/>
          <w:dstrike w:val="0"/>
          <w:color w:val="auto"/>
          <w:highlight w:val="none"/>
          <w:vertAlign w:val="baseline"/>
          <w:lang w:val="en-US" w:eastAsia="zh-CN"/>
        </w:rPr>
        <w:t>TSP</w:t>
      </w:r>
      <w:r>
        <w:rPr>
          <w:rFonts w:hint="eastAsia" w:ascii="Times New Roman" w:hAnsi="Times New Roman" w:eastAsia="宋体"/>
          <w:strike w:val="0"/>
          <w:dstrike w:val="0"/>
          <w:color w:val="auto"/>
          <w:highlight w:val="none"/>
        </w:rPr>
        <w:t>监测结果见表4.2-4，</w:t>
      </w:r>
      <w:r>
        <w:rPr>
          <w:rFonts w:hint="eastAsia" w:ascii="Times New Roman" w:hAnsi="Times New Roman" w:eastAsia="宋体"/>
          <w:strike w:val="0"/>
          <w:dstrike w:val="0"/>
          <w:color w:val="auto"/>
          <w:highlight w:val="none"/>
          <w:lang w:val="en-US" w:eastAsia="zh-CN"/>
        </w:rPr>
        <w:t>硫化氢</w:t>
      </w:r>
      <w:r>
        <w:rPr>
          <w:rFonts w:hint="eastAsia" w:ascii="Times New Roman" w:hAnsi="Times New Roman" w:eastAsia="宋体"/>
          <w:strike w:val="0"/>
          <w:dstrike w:val="0"/>
          <w:color w:val="auto"/>
          <w:highlight w:val="none"/>
        </w:rPr>
        <w:t>评价结果见表4.2-5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臭气监测结果见表4.2-6</w:t>
      </w:r>
      <w:r>
        <w:rPr>
          <w:rFonts w:hint="eastAsia" w:ascii="Times New Roman" w:hAnsi="Times New Roman" w:eastAsia="宋体"/>
          <w:strike w:val="0"/>
          <w:dstrike w:val="0"/>
          <w:color w:val="auto"/>
          <w:highlight w:val="none"/>
          <w:lang w:eastAsia="zh-CN"/>
        </w:rPr>
        <w:t>。</w:t>
      </w:r>
    </w:p>
    <w:p w14:paraId="09FF2F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表4.2-4NH3</w:t>
      </w:r>
      <w:bookmarkStart w:id="203" w:name="_Hlk106060003"/>
      <w:r>
        <w:rPr>
          <w:rFonts w:hint="eastAsia" w:ascii="Times New Roman" w:hAnsi="Times New Roman" w:eastAsia="宋体"/>
          <w:b/>
          <w:bCs/>
          <w:strike w:val="0"/>
          <w:dstrike w:val="0"/>
          <w:color w:val="auto"/>
          <w:highlight w:val="none"/>
          <w:lang w:val="en-US" w:eastAsia="zh-CN"/>
        </w:rPr>
        <w:t>、TSP</w:t>
      </w:r>
      <w:bookmarkEnd w:id="203"/>
      <w:r>
        <w:rPr>
          <w:rFonts w:hint="eastAsia" w:ascii="Times New Roman" w:hAnsi="Times New Roman" w:eastAsia="宋体"/>
          <w:b/>
          <w:bCs/>
          <w:strike w:val="0"/>
          <w:dstrike w:val="0"/>
          <w:color w:val="auto"/>
          <w:highlight w:val="none"/>
          <w:lang w:val="en-US" w:eastAsia="zh-CN"/>
        </w:rPr>
        <w:t>监测结果表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2687"/>
        <w:gridCol w:w="1797"/>
        <w:gridCol w:w="1411"/>
        <w:gridCol w:w="1217"/>
      </w:tblGrid>
      <w:tr w14:paraId="6BF5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4E93F7B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采样点位</w:t>
            </w:r>
          </w:p>
        </w:tc>
        <w:tc>
          <w:tcPr>
            <w:tcW w:w="1577" w:type="pct"/>
            <w:vMerge w:val="restart"/>
            <w:vAlign w:val="center"/>
          </w:tcPr>
          <w:p w14:paraId="1632197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采样时间</w:t>
            </w:r>
          </w:p>
        </w:tc>
        <w:tc>
          <w:tcPr>
            <w:tcW w:w="1055" w:type="pct"/>
            <w:vMerge w:val="restart"/>
            <w:vAlign w:val="center"/>
          </w:tcPr>
          <w:p w14:paraId="75D8BC9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采样频次</w:t>
            </w:r>
          </w:p>
        </w:tc>
        <w:tc>
          <w:tcPr>
            <w:tcW w:w="1542" w:type="pct"/>
            <w:gridSpan w:val="2"/>
            <w:vAlign w:val="center"/>
          </w:tcPr>
          <w:p w14:paraId="312C166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检测项目（mg/m</w:t>
            </w:r>
            <w:r>
              <w:rPr>
                <w:rFonts w:ascii="Times New Roman" w:hAnsi="Times New Roman" w:eastAsia="宋体"/>
                <w:strike w:val="0"/>
                <w:dstrike w:val="0"/>
                <w:color w:val="auto"/>
                <w:kern w:val="2"/>
                <w:sz w:val="21"/>
                <w:szCs w:val="21"/>
                <w:highlight w:val="none"/>
                <w:vertAlign w:val="superscript"/>
              </w:rPr>
              <w:t>3</w:t>
            </w:r>
            <w:r>
              <w:rPr>
                <w:rFonts w:ascii="Times New Roman" w:hAnsi="Times New Roman" w:eastAsia="宋体"/>
                <w:strike w:val="0"/>
                <w:dstrike w:val="0"/>
                <w:color w:val="auto"/>
                <w:kern w:val="2"/>
                <w:sz w:val="21"/>
                <w:szCs w:val="21"/>
                <w:highlight w:val="none"/>
              </w:rPr>
              <w:t>）</w:t>
            </w:r>
          </w:p>
        </w:tc>
      </w:tr>
      <w:tr w14:paraId="50A0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0C1097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B478B8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055" w:type="pct"/>
            <w:vMerge w:val="continue"/>
            <w:vAlign w:val="center"/>
          </w:tcPr>
          <w:p w14:paraId="08F91C7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828" w:type="pct"/>
            <w:vAlign w:val="center"/>
          </w:tcPr>
          <w:p w14:paraId="5F8093F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lang w:val="en-US" w:eastAsia="zh-CN"/>
              </w:rPr>
              <w:t>NH</w:t>
            </w:r>
            <w:r>
              <w:rPr>
                <w:rFonts w:hint="eastAsia" w:ascii="Times New Roman" w:hAnsi="Times New Roman" w:eastAsia="宋体"/>
                <w:strike w:val="0"/>
                <w:dstrike w:val="0"/>
                <w:color w:val="auto"/>
                <w:sz w:val="21"/>
                <w:szCs w:val="21"/>
                <w:highlight w:val="none"/>
                <w:vertAlign w:val="subscript"/>
                <w:lang w:val="en-US" w:eastAsia="zh-CN"/>
              </w:rPr>
              <w:t>3</w:t>
            </w:r>
          </w:p>
        </w:tc>
        <w:tc>
          <w:tcPr>
            <w:tcW w:w="714" w:type="pct"/>
            <w:vAlign w:val="center"/>
          </w:tcPr>
          <w:p w14:paraId="3CFE41C7">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vertAlign w:val="superscript"/>
                <w:lang w:val="en-US" w:eastAsia="zh-CN"/>
              </w:rPr>
            </w:pPr>
            <w:r>
              <w:rPr>
                <w:rFonts w:hint="eastAsia" w:ascii="Times New Roman" w:hAnsi="Times New Roman" w:eastAsia="宋体"/>
                <w:strike w:val="0"/>
                <w:dstrike w:val="0"/>
                <w:color w:val="auto"/>
                <w:kern w:val="2"/>
                <w:sz w:val="21"/>
                <w:szCs w:val="21"/>
                <w:highlight w:val="none"/>
                <w:lang w:val="en-US" w:eastAsia="zh-CN"/>
              </w:rPr>
              <w:t>TSP</w:t>
            </w:r>
            <w:r>
              <w:rPr>
                <w:rFonts w:hint="eastAsia" w:ascii="Times New Roman" w:hAnsi="Times New Roman" w:eastAsia="宋体" w:cs="Times New Roman"/>
                <w:strike w:val="0"/>
                <w:dstrike w:val="0"/>
                <w:color w:val="auto"/>
                <w:kern w:val="0"/>
                <w:szCs w:val="21"/>
                <w:lang w:val="en-US" w:eastAsia="zh-CN" w:bidi="ar"/>
              </w:rPr>
              <w:t>m</w:t>
            </w:r>
            <w:r>
              <w:rPr>
                <w:rFonts w:hint="default" w:ascii="Times New Roman" w:hAnsi="Times New Roman" w:eastAsia="宋体" w:cs="Times New Roman"/>
                <w:strike w:val="0"/>
                <w:dstrike w:val="0"/>
                <w:color w:val="auto"/>
                <w:kern w:val="0"/>
                <w:szCs w:val="21"/>
                <w:lang w:bidi="ar"/>
              </w:rPr>
              <w:t>g/m</w:t>
            </w:r>
            <w:r>
              <w:rPr>
                <w:rFonts w:hint="default" w:ascii="Times New Roman" w:hAnsi="Times New Roman" w:eastAsia="宋体" w:cs="Times New Roman"/>
                <w:strike w:val="0"/>
                <w:dstrike w:val="0"/>
                <w:color w:val="auto"/>
                <w:kern w:val="0"/>
                <w:szCs w:val="21"/>
                <w:vertAlign w:val="superscript"/>
                <w:lang w:bidi="ar"/>
              </w:rPr>
              <w:t>3</w:t>
            </w:r>
          </w:p>
        </w:tc>
      </w:tr>
      <w:tr w14:paraId="4CA1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7DE149C2">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项目区下风向1#（</w:t>
            </w:r>
            <w:r>
              <w:rPr>
                <w:rFonts w:hint="default" w:ascii="Times New Roman" w:hAnsi="Times New Roman" w:eastAsia="宋体" w:cs="Times New Roman"/>
                <w:strike w:val="0"/>
                <w:dstrike w:val="0"/>
                <w:color w:val="auto"/>
                <w:kern w:val="2"/>
                <w:sz w:val="21"/>
                <w:szCs w:val="21"/>
                <w:highlight w:val="none"/>
                <w:lang w:val="en-US" w:eastAsia="zh-CN"/>
              </w:rPr>
              <w:t>N:</w:t>
            </w:r>
            <w:r>
              <w:rPr>
                <w:rFonts w:hint="eastAsia" w:ascii="Times New Roman" w:hAnsi="Times New Roman" w:eastAsia="宋体" w:cs="Times New Roman"/>
                <w:strike w:val="0"/>
                <w:dstrike w:val="0"/>
                <w:color w:val="auto"/>
                <w:kern w:val="2"/>
                <w:sz w:val="21"/>
                <w:szCs w:val="21"/>
                <w:highlight w:val="none"/>
                <w:lang w:val="en-US" w:eastAsia="zh-CN"/>
              </w:rPr>
              <w:t>43</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44</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57.10</w:t>
            </w:r>
            <w:r>
              <w:rPr>
                <w:rFonts w:hint="default" w:ascii="Times New Roman" w:hAnsi="Times New Roman" w:eastAsia="宋体" w:cs="Times New Roman"/>
                <w:strike w:val="0"/>
                <w:dstrike w:val="0"/>
                <w:color w:val="auto"/>
                <w:kern w:val="2"/>
                <w:sz w:val="21"/>
                <w:szCs w:val="21"/>
                <w:highlight w:val="none"/>
                <w:lang w:val="en-US" w:eastAsia="zh-CN"/>
              </w:rPr>
              <w:t>″E:</w:t>
            </w:r>
            <w:r>
              <w:rPr>
                <w:rFonts w:hint="eastAsia" w:ascii="Times New Roman" w:hAnsi="Times New Roman" w:eastAsia="宋体" w:cs="Times New Roman"/>
                <w:strike w:val="0"/>
                <w:dstrike w:val="0"/>
                <w:color w:val="auto"/>
                <w:kern w:val="2"/>
                <w:sz w:val="21"/>
                <w:szCs w:val="21"/>
                <w:highlight w:val="none"/>
                <w:lang w:val="en-US" w:eastAsia="zh-CN"/>
              </w:rPr>
              <w:t>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36</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09.90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w:t>
            </w:r>
          </w:p>
        </w:tc>
        <w:tc>
          <w:tcPr>
            <w:tcW w:w="1577" w:type="pct"/>
            <w:vMerge w:val="restart"/>
            <w:vAlign w:val="center"/>
          </w:tcPr>
          <w:p w14:paraId="6C468B3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2026.05.13</w:t>
            </w:r>
          </w:p>
          <w:p w14:paraId="650C6D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-2026.05.14</w:t>
            </w:r>
          </w:p>
        </w:tc>
        <w:tc>
          <w:tcPr>
            <w:tcW w:w="1055" w:type="pct"/>
            <w:vAlign w:val="center"/>
          </w:tcPr>
          <w:p w14:paraId="58CA007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14:00-15:00</w:t>
            </w:r>
          </w:p>
        </w:tc>
        <w:tc>
          <w:tcPr>
            <w:tcW w:w="828" w:type="pct"/>
            <w:vAlign w:val="center"/>
          </w:tcPr>
          <w:p w14:paraId="3F31AC8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restart"/>
            <w:vAlign w:val="center"/>
          </w:tcPr>
          <w:p w14:paraId="7CFA023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0.208</w:t>
            </w:r>
          </w:p>
        </w:tc>
      </w:tr>
      <w:tr w14:paraId="2BE0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128D43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8A37F9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DFEF2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20:00-21:00</w:t>
            </w:r>
          </w:p>
        </w:tc>
        <w:tc>
          <w:tcPr>
            <w:tcW w:w="828" w:type="pct"/>
            <w:vAlign w:val="center"/>
          </w:tcPr>
          <w:p w14:paraId="0E15762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362EC54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ED2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8EF34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B18953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0A3137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02:00-03:00</w:t>
            </w:r>
          </w:p>
        </w:tc>
        <w:tc>
          <w:tcPr>
            <w:tcW w:w="828" w:type="pct"/>
            <w:vAlign w:val="center"/>
          </w:tcPr>
          <w:p w14:paraId="677C3A5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2EA60D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5CB2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B96EC1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CD9BBF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E8CA5E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08:00-09:00</w:t>
            </w:r>
          </w:p>
        </w:tc>
        <w:tc>
          <w:tcPr>
            <w:tcW w:w="828" w:type="pct"/>
            <w:vAlign w:val="center"/>
          </w:tcPr>
          <w:p w14:paraId="579EFF7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0.08</w:t>
            </w:r>
          </w:p>
        </w:tc>
        <w:tc>
          <w:tcPr>
            <w:tcW w:w="714" w:type="pct"/>
            <w:vMerge w:val="continue"/>
            <w:vAlign w:val="center"/>
          </w:tcPr>
          <w:p w14:paraId="1F6B9C2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46A1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F5B087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31A2C20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2026.05.14</w:t>
            </w:r>
          </w:p>
          <w:p w14:paraId="16596AE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-2026.05.15</w:t>
            </w:r>
          </w:p>
        </w:tc>
        <w:tc>
          <w:tcPr>
            <w:tcW w:w="1055" w:type="pct"/>
            <w:vAlign w:val="center"/>
          </w:tcPr>
          <w:p w14:paraId="474479C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14:05-15:05</w:t>
            </w:r>
          </w:p>
        </w:tc>
        <w:tc>
          <w:tcPr>
            <w:tcW w:w="828" w:type="pct"/>
            <w:vAlign w:val="center"/>
          </w:tcPr>
          <w:p w14:paraId="2B906693">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restart"/>
            <w:vAlign w:val="center"/>
          </w:tcPr>
          <w:p w14:paraId="4817862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0.210</w:t>
            </w:r>
          </w:p>
        </w:tc>
      </w:tr>
      <w:tr w14:paraId="7E6C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342EB6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A01E53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25E186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20:05-21:05</w:t>
            </w:r>
          </w:p>
        </w:tc>
        <w:tc>
          <w:tcPr>
            <w:tcW w:w="828" w:type="pct"/>
            <w:vAlign w:val="center"/>
          </w:tcPr>
          <w:p w14:paraId="2F97B83A">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359005E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71F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21AEBE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6E3B75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188AAE1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02:05-03:05</w:t>
            </w:r>
          </w:p>
        </w:tc>
        <w:tc>
          <w:tcPr>
            <w:tcW w:w="828" w:type="pct"/>
            <w:vAlign w:val="center"/>
          </w:tcPr>
          <w:p w14:paraId="210742E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556DA97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12C4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8229C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029A8F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34CB110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08:05-09:05</w:t>
            </w:r>
          </w:p>
        </w:tc>
        <w:tc>
          <w:tcPr>
            <w:tcW w:w="828" w:type="pct"/>
            <w:vAlign w:val="center"/>
          </w:tcPr>
          <w:p w14:paraId="62A2CAE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1BFBC0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4F91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607DCD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57809E7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2026.05.15</w:t>
            </w:r>
          </w:p>
          <w:p w14:paraId="2F72A7C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-2026.05.16</w:t>
            </w:r>
          </w:p>
        </w:tc>
        <w:tc>
          <w:tcPr>
            <w:tcW w:w="1055" w:type="pct"/>
            <w:vAlign w:val="center"/>
          </w:tcPr>
          <w:p w14:paraId="3D498B4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14:07-15:07</w:t>
            </w:r>
          </w:p>
        </w:tc>
        <w:tc>
          <w:tcPr>
            <w:tcW w:w="828" w:type="pct"/>
            <w:vAlign w:val="center"/>
          </w:tcPr>
          <w:p w14:paraId="6DC909C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0.04</w:t>
            </w:r>
          </w:p>
        </w:tc>
        <w:tc>
          <w:tcPr>
            <w:tcW w:w="714" w:type="pct"/>
            <w:vMerge w:val="restart"/>
            <w:vAlign w:val="center"/>
          </w:tcPr>
          <w:p w14:paraId="73545AE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0.188</w:t>
            </w:r>
          </w:p>
        </w:tc>
      </w:tr>
      <w:tr w14:paraId="4DD83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BDB669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1F7BD7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F3705F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20:07-21:07</w:t>
            </w:r>
          </w:p>
        </w:tc>
        <w:tc>
          <w:tcPr>
            <w:tcW w:w="828" w:type="pct"/>
            <w:vAlign w:val="center"/>
          </w:tcPr>
          <w:p w14:paraId="7CBAB5E8">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756DAE2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1539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2D0A82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0A6D67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3F23EDA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02:07-03:07</w:t>
            </w:r>
          </w:p>
        </w:tc>
        <w:tc>
          <w:tcPr>
            <w:tcW w:w="828" w:type="pct"/>
            <w:vAlign w:val="center"/>
          </w:tcPr>
          <w:p w14:paraId="76A0176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04A5EE1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2F49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4AD912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9B9C9A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6D1F1C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08:07-09:07</w:t>
            </w:r>
          </w:p>
        </w:tc>
        <w:tc>
          <w:tcPr>
            <w:tcW w:w="828" w:type="pct"/>
            <w:vAlign w:val="center"/>
          </w:tcPr>
          <w:p w14:paraId="5F68FFF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5EA0232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6A40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CF4E6C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1A10D7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2026.05.16</w:t>
            </w:r>
          </w:p>
          <w:p w14:paraId="4E50B7F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-2026.05.17</w:t>
            </w:r>
          </w:p>
        </w:tc>
        <w:tc>
          <w:tcPr>
            <w:tcW w:w="1055" w:type="pct"/>
            <w:vAlign w:val="center"/>
          </w:tcPr>
          <w:p w14:paraId="6DF4B04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14:10-15:10</w:t>
            </w:r>
          </w:p>
        </w:tc>
        <w:tc>
          <w:tcPr>
            <w:tcW w:w="828" w:type="pct"/>
            <w:vAlign w:val="center"/>
          </w:tcPr>
          <w:p w14:paraId="65FA7F0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restart"/>
            <w:vAlign w:val="center"/>
          </w:tcPr>
          <w:p w14:paraId="2E214E6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0.199</w:t>
            </w:r>
          </w:p>
        </w:tc>
      </w:tr>
      <w:tr w14:paraId="5816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AEB1BA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893C22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9496A3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20:10-21:10</w:t>
            </w:r>
          </w:p>
        </w:tc>
        <w:tc>
          <w:tcPr>
            <w:tcW w:w="828" w:type="pct"/>
            <w:vAlign w:val="center"/>
          </w:tcPr>
          <w:p w14:paraId="3CA5F4E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0.05</w:t>
            </w:r>
          </w:p>
        </w:tc>
        <w:tc>
          <w:tcPr>
            <w:tcW w:w="714" w:type="pct"/>
            <w:vMerge w:val="continue"/>
            <w:vAlign w:val="center"/>
          </w:tcPr>
          <w:p w14:paraId="02F569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1D3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BC965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116BF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298318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02:10-03:10</w:t>
            </w:r>
          </w:p>
        </w:tc>
        <w:tc>
          <w:tcPr>
            <w:tcW w:w="828" w:type="pct"/>
            <w:vAlign w:val="center"/>
          </w:tcPr>
          <w:p w14:paraId="6449967F">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37FA4E4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52E6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D87D5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BBC30D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9EB5CE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08:10-09:10</w:t>
            </w:r>
          </w:p>
        </w:tc>
        <w:tc>
          <w:tcPr>
            <w:tcW w:w="828" w:type="pct"/>
            <w:vAlign w:val="center"/>
          </w:tcPr>
          <w:p w14:paraId="6F7B6FC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45B6D79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22F7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2F5587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2209776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2026.05.17</w:t>
            </w:r>
          </w:p>
          <w:p w14:paraId="633CE19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-2026.05.18</w:t>
            </w:r>
          </w:p>
        </w:tc>
        <w:tc>
          <w:tcPr>
            <w:tcW w:w="1055" w:type="pct"/>
            <w:vAlign w:val="center"/>
          </w:tcPr>
          <w:p w14:paraId="15DD18F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14:13-15:13</w:t>
            </w:r>
          </w:p>
        </w:tc>
        <w:tc>
          <w:tcPr>
            <w:tcW w:w="828" w:type="pct"/>
            <w:vAlign w:val="center"/>
          </w:tcPr>
          <w:p w14:paraId="079492A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0.03</w:t>
            </w:r>
          </w:p>
        </w:tc>
        <w:tc>
          <w:tcPr>
            <w:tcW w:w="714" w:type="pct"/>
            <w:vMerge w:val="restart"/>
            <w:vAlign w:val="center"/>
          </w:tcPr>
          <w:p w14:paraId="27E37E1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0.199</w:t>
            </w:r>
          </w:p>
        </w:tc>
      </w:tr>
      <w:tr w14:paraId="7663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920308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A8024A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637BC3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20:13-21:13</w:t>
            </w:r>
          </w:p>
        </w:tc>
        <w:tc>
          <w:tcPr>
            <w:tcW w:w="828" w:type="pct"/>
            <w:vAlign w:val="center"/>
          </w:tcPr>
          <w:p w14:paraId="0200C66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2FC1DD1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4A72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4E6970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2FDF93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7E68B9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02:13-03:13</w:t>
            </w:r>
          </w:p>
        </w:tc>
        <w:tc>
          <w:tcPr>
            <w:tcW w:w="828" w:type="pct"/>
            <w:vAlign w:val="center"/>
          </w:tcPr>
          <w:p w14:paraId="3E41A407">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662A3D1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3075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F1CB61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5DF9D9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11664F6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08:13-09:13</w:t>
            </w:r>
          </w:p>
        </w:tc>
        <w:tc>
          <w:tcPr>
            <w:tcW w:w="828" w:type="pct"/>
            <w:vAlign w:val="center"/>
          </w:tcPr>
          <w:p w14:paraId="14851180">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056D7A1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7AC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8E748E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8D7337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2026.05.18</w:t>
            </w:r>
          </w:p>
          <w:p w14:paraId="382C931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-2026.05.19</w:t>
            </w:r>
          </w:p>
        </w:tc>
        <w:tc>
          <w:tcPr>
            <w:tcW w:w="1055" w:type="pct"/>
            <w:vAlign w:val="center"/>
          </w:tcPr>
          <w:p w14:paraId="4FD63E5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14:15-15:15</w:t>
            </w:r>
          </w:p>
        </w:tc>
        <w:tc>
          <w:tcPr>
            <w:tcW w:w="828" w:type="pct"/>
            <w:vAlign w:val="center"/>
          </w:tcPr>
          <w:p w14:paraId="408EB365">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0.04</w:t>
            </w:r>
          </w:p>
        </w:tc>
        <w:tc>
          <w:tcPr>
            <w:tcW w:w="714" w:type="pct"/>
            <w:vMerge w:val="restart"/>
            <w:vAlign w:val="center"/>
          </w:tcPr>
          <w:p w14:paraId="76778725">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0.111</w:t>
            </w:r>
          </w:p>
        </w:tc>
      </w:tr>
      <w:tr w14:paraId="0CD2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3D33A6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3AF65D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370C25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20:15-21:15</w:t>
            </w:r>
          </w:p>
        </w:tc>
        <w:tc>
          <w:tcPr>
            <w:tcW w:w="828" w:type="pct"/>
            <w:vAlign w:val="center"/>
          </w:tcPr>
          <w:p w14:paraId="468CFDD2">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0.07</w:t>
            </w:r>
          </w:p>
        </w:tc>
        <w:tc>
          <w:tcPr>
            <w:tcW w:w="714" w:type="pct"/>
            <w:vMerge w:val="continue"/>
            <w:vAlign w:val="center"/>
          </w:tcPr>
          <w:p w14:paraId="07C34FF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347E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7C0902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D49CFF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18915A7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02:15-03:15</w:t>
            </w:r>
          </w:p>
        </w:tc>
        <w:tc>
          <w:tcPr>
            <w:tcW w:w="828" w:type="pct"/>
            <w:vAlign w:val="center"/>
          </w:tcPr>
          <w:p w14:paraId="2C5E968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57502BE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0283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A99FB8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6B17D4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96D26D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08:15-09:15</w:t>
            </w:r>
          </w:p>
        </w:tc>
        <w:tc>
          <w:tcPr>
            <w:tcW w:w="828" w:type="pct"/>
            <w:vAlign w:val="center"/>
          </w:tcPr>
          <w:p w14:paraId="75E5C91F">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6EAB01E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p>
        </w:tc>
      </w:tr>
      <w:tr w14:paraId="576A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5F02BA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E4748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2026.05.19</w:t>
            </w:r>
          </w:p>
          <w:p w14:paraId="3E322C3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-2026.05.20</w:t>
            </w:r>
          </w:p>
        </w:tc>
        <w:tc>
          <w:tcPr>
            <w:tcW w:w="1055" w:type="pct"/>
            <w:vAlign w:val="center"/>
          </w:tcPr>
          <w:p w14:paraId="4AF5E4C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14:19-15:19</w:t>
            </w:r>
          </w:p>
        </w:tc>
        <w:tc>
          <w:tcPr>
            <w:tcW w:w="828" w:type="pct"/>
            <w:vAlign w:val="center"/>
          </w:tcPr>
          <w:p w14:paraId="5827547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0.04</w:t>
            </w:r>
          </w:p>
        </w:tc>
        <w:tc>
          <w:tcPr>
            <w:tcW w:w="714" w:type="pct"/>
            <w:vMerge w:val="restart"/>
            <w:vAlign w:val="center"/>
          </w:tcPr>
          <w:p w14:paraId="37F1DDC0">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0.201</w:t>
            </w:r>
          </w:p>
        </w:tc>
      </w:tr>
      <w:tr w14:paraId="0AFE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0888E7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14671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7975F32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20:19-21:19</w:t>
            </w:r>
          </w:p>
        </w:tc>
        <w:tc>
          <w:tcPr>
            <w:tcW w:w="828" w:type="pct"/>
            <w:vAlign w:val="center"/>
          </w:tcPr>
          <w:p w14:paraId="01F2B0A6">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276C3A9F">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p>
        </w:tc>
      </w:tr>
      <w:tr w14:paraId="4F2F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F5898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ACA314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5601138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02:19-03:19</w:t>
            </w:r>
          </w:p>
        </w:tc>
        <w:tc>
          <w:tcPr>
            <w:tcW w:w="828" w:type="pct"/>
            <w:vAlign w:val="center"/>
          </w:tcPr>
          <w:p w14:paraId="11F128FC">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6D914740">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p>
        </w:tc>
      </w:tr>
      <w:tr w14:paraId="2908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30B73C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27649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001E96D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08:19-09:19</w:t>
            </w:r>
          </w:p>
        </w:tc>
        <w:tc>
          <w:tcPr>
            <w:tcW w:w="828" w:type="pct"/>
            <w:vAlign w:val="center"/>
          </w:tcPr>
          <w:p w14:paraId="45D58D9C">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0.06</w:t>
            </w:r>
          </w:p>
        </w:tc>
        <w:tc>
          <w:tcPr>
            <w:tcW w:w="714" w:type="pct"/>
            <w:vMerge w:val="continue"/>
            <w:vAlign w:val="center"/>
          </w:tcPr>
          <w:p w14:paraId="3C0F3CA1">
            <w:pPr>
              <w:keepNext w:val="0"/>
              <w:keepLines w:val="0"/>
              <w:pageBreakBefore w:val="0"/>
              <w:widowControl/>
              <w:suppressLineNumbers w:val="0"/>
              <w:kinsoku/>
              <w:wordWrap/>
              <w:overflowPunct/>
              <w:topLinePunct w:val="0"/>
              <w:autoSpaceDE/>
              <w:autoSpaceDN/>
              <w:bidi w:val="0"/>
              <w:adjustRightInd/>
              <w:snapToGrid/>
              <w:spacing w:line="480" w:lineRule="exact"/>
              <w:ind w:firstLine="0" w:firstLineChars="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p>
        </w:tc>
      </w:tr>
    </w:tbl>
    <w:p w14:paraId="1D9E00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表4.2-5硫化氢监测结果表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2687"/>
        <w:gridCol w:w="1798"/>
        <w:gridCol w:w="2628"/>
      </w:tblGrid>
      <w:tr w14:paraId="297B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12C2A65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采样点位</w:t>
            </w:r>
          </w:p>
        </w:tc>
        <w:tc>
          <w:tcPr>
            <w:tcW w:w="1577" w:type="pct"/>
            <w:vMerge w:val="restart"/>
            <w:vAlign w:val="center"/>
          </w:tcPr>
          <w:p w14:paraId="7E1358E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采样时间</w:t>
            </w:r>
          </w:p>
        </w:tc>
        <w:tc>
          <w:tcPr>
            <w:tcW w:w="1055" w:type="pct"/>
            <w:vMerge w:val="restart"/>
            <w:vAlign w:val="center"/>
          </w:tcPr>
          <w:p w14:paraId="6FF55E5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采样频次</w:t>
            </w:r>
          </w:p>
        </w:tc>
        <w:tc>
          <w:tcPr>
            <w:tcW w:w="1542" w:type="pct"/>
            <w:vAlign w:val="center"/>
          </w:tcPr>
          <w:p w14:paraId="4B8CF40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检测项目（mg/m</w:t>
            </w:r>
            <w:r>
              <w:rPr>
                <w:rFonts w:ascii="Times New Roman" w:hAnsi="Times New Roman" w:eastAsia="宋体"/>
                <w:strike w:val="0"/>
                <w:dstrike w:val="0"/>
                <w:color w:val="auto"/>
                <w:kern w:val="2"/>
                <w:sz w:val="21"/>
                <w:szCs w:val="21"/>
                <w:highlight w:val="none"/>
                <w:vertAlign w:val="superscript"/>
              </w:rPr>
              <w:t>3</w:t>
            </w:r>
            <w:r>
              <w:rPr>
                <w:rFonts w:ascii="Times New Roman" w:hAnsi="Times New Roman" w:eastAsia="宋体"/>
                <w:strike w:val="0"/>
                <w:dstrike w:val="0"/>
                <w:color w:val="auto"/>
                <w:kern w:val="2"/>
                <w:sz w:val="21"/>
                <w:szCs w:val="21"/>
                <w:highlight w:val="none"/>
              </w:rPr>
              <w:t>）</w:t>
            </w:r>
          </w:p>
        </w:tc>
      </w:tr>
      <w:tr w14:paraId="4319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12E1A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FB62D3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055" w:type="pct"/>
            <w:vMerge w:val="continue"/>
            <w:vAlign w:val="center"/>
          </w:tcPr>
          <w:p w14:paraId="649FAF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42" w:type="pct"/>
            <w:vAlign w:val="center"/>
          </w:tcPr>
          <w:p w14:paraId="73265E9E">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硫化氢</w:t>
            </w:r>
          </w:p>
        </w:tc>
      </w:tr>
      <w:tr w14:paraId="7D3B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1B3E175C">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项目区下风向1#（</w:t>
            </w:r>
            <w:r>
              <w:rPr>
                <w:rFonts w:hint="default" w:ascii="Times New Roman" w:hAnsi="Times New Roman" w:eastAsia="宋体" w:cs="Times New Roman"/>
                <w:strike w:val="0"/>
                <w:dstrike w:val="0"/>
                <w:color w:val="auto"/>
                <w:kern w:val="2"/>
                <w:sz w:val="21"/>
                <w:szCs w:val="21"/>
                <w:highlight w:val="none"/>
                <w:lang w:val="en-US" w:eastAsia="zh-CN"/>
              </w:rPr>
              <w:t>N:</w:t>
            </w:r>
            <w:r>
              <w:rPr>
                <w:rFonts w:hint="eastAsia" w:ascii="Times New Roman" w:hAnsi="Times New Roman" w:eastAsia="宋体" w:cs="Times New Roman"/>
                <w:strike w:val="0"/>
                <w:dstrike w:val="0"/>
                <w:color w:val="auto"/>
                <w:kern w:val="2"/>
                <w:sz w:val="21"/>
                <w:szCs w:val="21"/>
                <w:highlight w:val="none"/>
                <w:lang w:val="en-US" w:eastAsia="zh-CN"/>
              </w:rPr>
              <w:t>43</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44</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57.10</w:t>
            </w:r>
            <w:r>
              <w:rPr>
                <w:rFonts w:hint="default" w:ascii="Times New Roman" w:hAnsi="Times New Roman" w:eastAsia="宋体" w:cs="Times New Roman"/>
                <w:strike w:val="0"/>
                <w:dstrike w:val="0"/>
                <w:color w:val="auto"/>
                <w:kern w:val="2"/>
                <w:sz w:val="21"/>
                <w:szCs w:val="21"/>
                <w:highlight w:val="none"/>
                <w:lang w:val="en-US" w:eastAsia="zh-CN"/>
              </w:rPr>
              <w:t>″E:</w:t>
            </w:r>
            <w:r>
              <w:rPr>
                <w:rFonts w:hint="eastAsia" w:ascii="Times New Roman" w:hAnsi="Times New Roman" w:eastAsia="宋体" w:cs="Times New Roman"/>
                <w:strike w:val="0"/>
                <w:dstrike w:val="0"/>
                <w:color w:val="auto"/>
                <w:kern w:val="2"/>
                <w:sz w:val="21"/>
                <w:szCs w:val="21"/>
                <w:highlight w:val="none"/>
                <w:lang w:val="en-US" w:eastAsia="zh-CN"/>
              </w:rPr>
              <w:t>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36</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09.90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w:t>
            </w:r>
          </w:p>
        </w:tc>
        <w:tc>
          <w:tcPr>
            <w:tcW w:w="1577" w:type="pct"/>
            <w:vMerge w:val="restart"/>
            <w:vAlign w:val="center"/>
          </w:tcPr>
          <w:p w14:paraId="15E6141B">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1</w:t>
            </w:r>
          </w:p>
          <w:p w14:paraId="5341852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2</w:t>
            </w:r>
          </w:p>
        </w:tc>
        <w:tc>
          <w:tcPr>
            <w:tcW w:w="1055" w:type="pct"/>
            <w:vAlign w:val="center"/>
          </w:tcPr>
          <w:p w14:paraId="61E8E1B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14:01-14:03</w:t>
            </w:r>
          </w:p>
        </w:tc>
        <w:tc>
          <w:tcPr>
            <w:tcW w:w="1542" w:type="pct"/>
            <w:vAlign w:val="center"/>
          </w:tcPr>
          <w:p w14:paraId="24948EAD">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4851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C953A8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CDA8D5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BFCFCE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20:02-20:04</w:t>
            </w:r>
          </w:p>
        </w:tc>
        <w:tc>
          <w:tcPr>
            <w:tcW w:w="1542" w:type="pct"/>
            <w:vAlign w:val="center"/>
          </w:tcPr>
          <w:p w14:paraId="4857F547">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742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0E3740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936712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11D749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02:04-02:06</w:t>
            </w:r>
          </w:p>
        </w:tc>
        <w:tc>
          <w:tcPr>
            <w:tcW w:w="1542" w:type="pct"/>
            <w:vAlign w:val="center"/>
          </w:tcPr>
          <w:p w14:paraId="5C937F73">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85A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976C4F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46AE34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4F76A9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08:05-08:07</w:t>
            </w:r>
          </w:p>
        </w:tc>
        <w:tc>
          <w:tcPr>
            <w:tcW w:w="1542" w:type="pct"/>
            <w:vAlign w:val="center"/>
          </w:tcPr>
          <w:p w14:paraId="7378EEE2">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366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4B44CC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4C66E75A">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2</w:t>
            </w:r>
          </w:p>
          <w:p w14:paraId="090ACCD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3</w:t>
            </w:r>
          </w:p>
        </w:tc>
        <w:tc>
          <w:tcPr>
            <w:tcW w:w="1055" w:type="pct"/>
            <w:vAlign w:val="center"/>
          </w:tcPr>
          <w:p w14:paraId="45FC62C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14:02-14:04</w:t>
            </w:r>
          </w:p>
        </w:tc>
        <w:tc>
          <w:tcPr>
            <w:tcW w:w="1542" w:type="pct"/>
            <w:vAlign w:val="center"/>
          </w:tcPr>
          <w:p w14:paraId="7FF44415">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F8D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369C6C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6CA65D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3720DCC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20:06-20:08</w:t>
            </w:r>
          </w:p>
        </w:tc>
        <w:tc>
          <w:tcPr>
            <w:tcW w:w="1542" w:type="pct"/>
            <w:vAlign w:val="center"/>
          </w:tcPr>
          <w:p w14:paraId="35A9E07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7535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7DBED9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E1FFE5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05D06B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02:00-02:02</w:t>
            </w:r>
          </w:p>
        </w:tc>
        <w:tc>
          <w:tcPr>
            <w:tcW w:w="1542" w:type="pct"/>
            <w:vAlign w:val="center"/>
          </w:tcPr>
          <w:p w14:paraId="2BD62BA5">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8A9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73F080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0C5B09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4195ED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08:03-08:05</w:t>
            </w:r>
          </w:p>
        </w:tc>
        <w:tc>
          <w:tcPr>
            <w:tcW w:w="1542" w:type="pct"/>
            <w:vAlign w:val="center"/>
          </w:tcPr>
          <w:p w14:paraId="7C56B32B">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002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69C340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3403947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3</w:t>
            </w:r>
          </w:p>
          <w:p w14:paraId="35A0E71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4</w:t>
            </w:r>
          </w:p>
        </w:tc>
        <w:tc>
          <w:tcPr>
            <w:tcW w:w="1055" w:type="pct"/>
            <w:vAlign w:val="center"/>
          </w:tcPr>
          <w:p w14:paraId="5D4471E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14:02-14:04</w:t>
            </w:r>
          </w:p>
        </w:tc>
        <w:tc>
          <w:tcPr>
            <w:tcW w:w="1542" w:type="pct"/>
            <w:vAlign w:val="center"/>
          </w:tcPr>
          <w:p w14:paraId="6C40F870">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B7B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05E71C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C75ED7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A0F986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20:03-20:05</w:t>
            </w:r>
          </w:p>
        </w:tc>
        <w:tc>
          <w:tcPr>
            <w:tcW w:w="1542" w:type="pct"/>
            <w:vAlign w:val="center"/>
          </w:tcPr>
          <w:p w14:paraId="753E55E3">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1B99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554028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E1FDF4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CA969A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02:04-02:06</w:t>
            </w:r>
          </w:p>
        </w:tc>
        <w:tc>
          <w:tcPr>
            <w:tcW w:w="1542" w:type="pct"/>
            <w:vAlign w:val="center"/>
          </w:tcPr>
          <w:p w14:paraId="668D940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259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8149FB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AB5996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DF7EA0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08:04-08:06</w:t>
            </w:r>
          </w:p>
        </w:tc>
        <w:tc>
          <w:tcPr>
            <w:tcW w:w="1542" w:type="pct"/>
            <w:vAlign w:val="center"/>
          </w:tcPr>
          <w:p w14:paraId="5B42B7E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394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12CAC8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6378E64">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4</w:t>
            </w:r>
          </w:p>
          <w:p w14:paraId="5CC9B46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5</w:t>
            </w:r>
          </w:p>
        </w:tc>
        <w:tc>
          <w:tcPr>
            <w:tcW w:w="1055" w:type="pct"/>
            <w:vAlign w:val="center"/>
          </w:tcPr>
          <w:p w14:paraId="583262CB">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14:03-14:05</w:t>
            </w:r>
          </w:p>
        </w:tc>
        <w:tc>
          <w:tcPr>
            <w:tcW w:w="1542" w:type="pct"/>
            <w:vAlign w:val="center"/>
          </w:tcPr>
          <w:p w14:paraId="6FE0F523">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6DD9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A9D518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7B057E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8E86A6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20:04-20:06</w:t>
            </w:r>
          </w:p>
        </w:tc>
        <w:tc>
          <w:tcPr>
            <w:tcW w:w="1542" w:type="pct"/>
            <w:vAlign w:val="center"/>
          </w:tcPr>
          <w:p w14:paraId="17688A37">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63C1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4446CD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CB38E5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0ED6541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02:02-02:04</w:t>
            </w:r>
          </w:p>
        </w:tc>
        <w:tc>
          <w:tcPr>
            <w:tcW w:w="1542" w:type="pct"/>
            <w:vAlign w:val="center"/>
          </w:tcPr>
          <w:p w14:paraId="4364CFF1">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1BCD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E6CE65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560332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255DFA6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08:01-08:03</w:t>
            </w:r>
          </w:p>
        </w:tc>
        <w:tc>
          <w:tcPr>
            <w:tcW w:w="1542" w:type="pct"/>
            <w:vAlign w:val="center"/>
          </w:tcPr>
          <w:p w14:paraId="2277D041">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0C62A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6E3624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D333993">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5</w:t>
            </w:r>
          </w:p>
          <w:p w14:paraId="5C9B50C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6</w:t>
            </w:r>
          </w:p>
        </w:tc>
        <w:tc>
          <w:tcPr>
            <w:tcW w:w="1055" w:type="pct"/>
            <w:vAlign w:val="center"/>
          </w:tcPr>
          <w:p w14:paraId="7656270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14:03-14:05</w:t>
            </w:r>
          </w:p>
        </w:tc>
        <w:tc>
          <w:tcPr>
            <w:tcW w:w="1542" w:type="pct"/>
            <w:vAlign w:val="center"/>
          </w:tcPr>
          <w:p w14:paraId="7D88AAC0">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0BAE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F3EF13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911E6C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45AFE66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20:02-20:04</w:t>
            </w:r>
          </w:p>
        </w:tc>
        <w:tc>
          <w:tcPr>
            <w:tcW w:w="1542" w:type="pct"/>
            <w:vAlign w:val="center"/>
          </w:tcPr>
          <w:p w14:paraId="681CD5FB">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1386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B670E31">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8C03EA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682FC4A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02:02-02:04</w:t>
            </w:r>
          </w:p>
        </w:tc>
        <w:tc>
          <w:tcPr>
            <w:tcW w:w="1542" w:type="pct"/>
            <w:vAlign w:val="center"/>
          </w:tcPr>
          <w:p w14:paraId="58F512D8">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B54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0B77ED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4AE44F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78179AC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08:01-08:03</w:t>
            </w:r>
          </w:p>
        </w:tc>
        <w:tc>
          <w:tcPr>
            <w:tcW w:w="1542" w:type="pct"/>
            <w:vAlign w:val="center"/>
          </w:tcPr>
          <w:p w14:paraId="267EDC4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27EF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2B086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B95939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6</w:t>
            </w:r>
          </w:p>
          <w:p w14:paraId="1DD5D07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7</w:t>
            </w:r>
          </w:p>
        </w:tc>
        <w:tc>
          <w:tcPr>
            <w:tcW w:w="1055" w:type="pct"/>
            <w:vAlign w:val="center"/>
          </w:tcPr>
          <w:p w14:paraId="2EADDE5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14:01-14:03</w:t>
            </w:r>
          </w:p>
        </w:tc>
        <w:tc>
          <w:tcPr>
            <w:tcW w:w="1542" w:type="pct"/>
            <w:vAlign w:val="center"/>
          </w:tcPr>
          <w:p w14:paraId="2BCA4667">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79A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F93E84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338892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5058BE6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20:07-20:09</w:t>
            </w:r>
          </w:p>
        </w:tc>
        <w:tc>
          <w:tcPr>
            <w:tcW w:w="1542" w:type="pct"/>
            <w:vAlign w:val="center"/>
          </w:tcPr>
          <w:p w14:paraId="53554209">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6E2E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FFA8B0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0DFFAF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2EE76B2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02:05-02:07</w:t>
            </w:r>
          </w:p>
        </w:tc>
        <w:tc>
          <w:tcPr>
            <w:tcW w:w="1542" w:type="pct"/>
            <w:vAlign w:val="center"/>
          </w:tcPr>
          <w:p w14:paraId="51C46324">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4760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FF3716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D37F61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055" w:type="pct"/>
            <w:vAlign w:val="center"/>
          </w:tcPr>
          <w:p w14:paraId="200749D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08:04-08:06</w:t>
            </w:r>
          </w:p>
        </w:tc>
        <w:tc>
          <w:tcPr>
            <w:tcW w:w="1542" w:type="pct"/>
            <w:vAlign w:val="center"/>
          </w:tcPr>
          <w:p w14:paraId="69BB3EBA">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414F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0CEB45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43397388">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7</w:t>
            </w:r>
          </w:p>
          <w:p w14:paraId="1B18C00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8</w:t>
            </w:r>
          </w:p>
        </w:tc>
        <w:tc>
          <w:tcPr>
            <w:tcW w:w="1055" w:type="pct"/>
            <w:vAlign w:val="center"/>
          </w:tcPr>
          <w:p w14:paraId="7B7A7B1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14:02-14:04</w:t>
            </w:r>
          </w:p>
        </w:tc>
        <w:tc>
          <w:tcPr>
            <w:tcW w:w="1542" w:type="pct"/>
            <w:vAlign w:val="center"/>
          </w:tcPr>
          <w:p w14:paraId="4272D03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34A5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5AF1BE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FE3FE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6AA579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20:01-20:03</w:t>
            </w:r>
          </w:p>
        </w:tc>
        <w:tc>
          <w:tcPr>
            <w:tcW w:w="1542" w:type="pct"/>
            <w:vAlign w:val="center"/>
          </w:tcPr>
          <w:p w14:paraId="09496CB2">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5830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410F14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90869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4D33E70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02:03-02:05</w:t>
            </w:r>
          </w:p>
        </w:tc>
        <w:tc>
          <w:tcPr>
            <w:tcW w:w="1542" w:type="pct"/>
            <w:vAlign w:val="center"/>
          </w:tcPr>
          <w:p w14:paraId="2C7006EE">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r w14:paraId="2744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99EEE0D">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95340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055" w:type="pct"/>
            <w:vAlign w:val="center"/>
          </w:tcPr>
          <w:p w14:paraId="1A04F5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08:06-08:08</w:t>
            </w:r>
          </w:p>
        </w:tc>
        <w:tc>
          <w:tcPr>
            <w:tcW w:w="1542" w:type="pct"/>
            <w:vAlign w:val="center"/>
          </w:tcPr>
          <w:p w14:paraId="438624F0">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r>
    </w:tbl>
    <w:p w14:paraId="4A947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表4.2-6臭气浓度监测结果表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2687"/>
        <w:gridCol w:w="1798"/>
        <w:gridCol w:w="2628"/>
      </w:tblGrid>
      <w:tr w14:paraId="3B46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4A4EF04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采样点位</w:t>
            </w:r>
          </w:p>
        </w:tc>
        <w:tc>
          <w:tcPr>
            <w:tcW w:w="1577" w:type="pct"/>
            <w:vMerge w:val="restart"/>
            <w:vAlign w:val="center"/>
          </w:tcPr>
          <w:p w14:paraId="323F9D4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采样时间</w:t>
            </w:r>
          </w:p>
        </w:tc>
        <w:tc>
          <w:tcPr>
            <w:tcW w:w="1055" w:type="pct"/>
            <w:vMerge w:val="restart"/>
            <w:vAlign w:val="center"/>
          </w:tcPr>
          <w:p w14:paraId="12CF997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采样频次</w:t>
            </w:r>
          </w:p>
        </w:tc>
        <w:tc>
          <w:tcPr>
            <w:tcW w:w="1542" w:type="pct"/>
            <w:vAlign w:val="center"/>
          </w:tcPr>
          <w:p w14:paraId="56661E7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检测项目（</w:t>
            </w:r>
            <w:r>
              <w:rPr>
                <w:rFonts w:hint="eastAsia" w:ascii="Times New Roman" w:hAnsi="Times New Roman" w:eastAsia="宋体"/>
                <w:strike w:val="0"/>
                <w:dstrike w:val="0"/>
                <w:color w:val="auto"/>
                <w:kern w:val="2"/>
                <w:sz w:val="21"/>
                <w:szCs w:val="21"/>
                <w:highlight w:val="none"/>
                <w:lang w:val="en-US" w:eastAsia="zh-CN"/>
              </w:rPr>
              <w:t>无量纲</w:t>
            </w:r>
            <w:r>
              <w:rPr>
                <w:rFonts w:ascii="Times New Roman" w:hAnsi="Times New Roman" w:eastAsia="宋体"/>
                <w:strike w:val="0"/>
                <w:dstrike w:val="0"/>
                <w:color w:val="auto"/>
                <w:kern w:val="2"/>
                <w:sz w:val="21"/>
                <w:szCs w:val="21"/>
                <w:highlight w:val="none"/>
              </w:rPr>
              <w:t>）</w:t>
            </w:r>
          </w:p>
        </w:tc>
      </w:tr>
      <w:tr w14:paraId="7879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37D86F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655F02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055" w:type="pct"/>
            <w:vMerge w:val="continue"/>
            <w:vAlign w:val="center"/>
          </w:tcPr>
          <w:p w14:paraId="62BADD19">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42" w:type="pct"/>
            <w:vAlign w:val="center"/>
          </w:tcPr>
          <w:p w14:paraId="0729BE75">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臭气浓度</w:t>
            </w:r>
          </w:p>
        </w:tc>
      </w:tr>
      <w:tr w14:paraId="21CE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restart"/>
            <w:vAlign w:val="center"/>
          </w:tcPr>
          <w:p w14:paraId="63A800C1">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项目区下风向1#（</w:t>
            </w:r>
            <w:r>
              <w:rPr>
                <w:rFonts w:hint="default" w:ascii="Times New Roman" w:hAnsi="Times New Roman" w:eastAsia="宋体" w:cs="Times New Roman"/>
                <w:strike w:val="0"/>
                <w:dstrike w:val="0"/>
                <w:color w:val="auto"/>
                <w:kern w:val="2"/>
                <w:sz w:val="21"/>
                <w:szCs w:val="21"/>
                <w:highlight w:val="none"/>
                <w:lang w:val="en-US" w:eastAsia="zh-CN"/>
              </w:rPr>
              <w:t>N:</w:t>
            </w:r>
            <w:r>
              <w:rPr>
                <w:rFonts w:hint="eastAsia" w:ascii="Times New Roman" w:hAnsi="Times New Roman" w:eastAsia="宋体" w:cs="Times New Roman"/>
                <w:strike w:val="0"/>
                <w:dstrike w:val="0"/>
                <w:color w:val="auto"/>
                <w:kern w:val="2"/>
                <w:sz w:val="21"/>
                <w:szCs w:val="21"/>
                <w:highlight w:val="none"/>
                <w:lang w:val="en-US" w:eastAsia="zh-CN"/>
              </w:rPr>
              <w:t>43</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44</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57.10</w:t>
            </w:r>
            <w:r>
              <w:rPr>
                <w:rFonts w:hint="default" w:ascii="Times New Roman" w:hAnsi="Times New Roman" w:eastAsia="宋体" w:cs="Times New Roman"/>
                <w:strike w:val="0"/>
                <w:dstrike w:val="0"/>
                <w:color w:val="auto"/>
                <w:kern w:val="2"/>
                <w:sz w:val="21"/>
                <w:szCs w:val="21"/>
                <w:highlight w:val="none"/>
                <w:lang w:val="en-US" w:eastAsia="zh-CN"/>
              </w:rPr>
              <w:t>″E:</w:t>
            </w:r>
            <w:r>
              <w:rPr>
                <w:rFonts w:hint="eastAsia" w:ascii="Times New Roman" w:hAnsi="Times New Roman" w:eastAsia="宋体" w:cs="Times New Roman"/>
                <w:strike w:val="0"/>
                <w:dstrike w:val="0"/>
                <w:color w:val="auto"/>
                <w:kern w:val="2"/>
                <w:sz w:val="21"/>
                <w:szCs w:val="21"/>
                <w:highlight w:val="none"/>
                <w:lang w:val="en-US" w:eastAsia="zh-CN"/>
              </w:rPr>
              <w:t>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36</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09.90</w:t>
            </w:r>
            <w:r>
              <w:rPr>
                <w:rFonts w:hint="default" w:ascii="Times New Roman" w:hAnsi="Times New Roman" w:eastAsia="宋体" w:cs="Times New Roman"/>
                <w:strike w:val="0"/>
                <w:dstrike w:val="0"/>
                <w:color w:val="auto"/>
                <w:kern w:val="2"/>
                <w:sz w:val="21"/>
                <w:szCs w:val="21"/>
                <w:highlight w:val="none"/>
                <w:lang w:val="en-US" w:eastAsia="zh-CN"/>
              </w:rPr>
              <w:t>″</w:t>
            </w:r>
            <w:r>
              <w:rPr>
                <w:rFonts w:hint="eastAsia" w:ascii="Times New Roman" w:hAnsi="Times New Roman" w:eastAsia="宋体" w:cs="Times New Roman"/>
                <w:strike w:val="0"/>
                <w:dstrike w:val="0"/>
                <w:color w:val="auto"/>
                <w:kern w:val="2"/>
                <w:sz w:val="21"/>
                <w:szCs w:val="21"/>
                <w:highlight w:val="none"/>
                <w:lang w:val="en-US" w:eastAsia="zh-CN"/>
              </w:rPr>
              <w:t>）</w:t>
            </w:r>
          </w:p>
        </w:tc>
        <w:tc>
          <w:tcPr>
            <w:tcW w:w="1577" w:type="pct"/>
            <w:vMerge w:val="restart"/>
            <w:vAlign w:val="center"/>
          </w:tcPr>
          <w:p w14:paraId="290D4851">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1</w:t>
            </w:r>
          </w:p>
          <w:p w14:paraId="3B6AA7E9">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2</w:t>
            </w:r>
          </w:p>
        </w:tc>
        <w:tc>
          <w:tcPr>
            <w:tcW w:w="1798" w:type="dxa"/>
            <w:vAlign w:val="center"/>
          </w:tcPr>
          <w:p w14:paraId="4DF7D0E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14:05-14:10</w:t>
            </w:r>
          </w:p>
        </w:tc>
        <w:tc>
          <w:tcPr>
            <w:tcW w:w="1542" w:type="pct"/>
            <w:vAlign w:val="center"/>
          </w:tcPr>
          <w:p w14:paraId="62020812">
            <w:pPr>
              <w:keepNext w:val="0"/>
              <w:keepLines w:val="0"/>
              <w:pageBreakBefore w:val="0"/>
              <w:kinsoku/>
              <w:wordWrap/>
              <w:overflowPunct/>
              <w:topLinePunct w:val="0"/>
              <w:autoSpaceDE/>
              <w:autoSpaceDN/>
              <w:bidi w:val="0"/>
              <w:adjustRightInd/>
              <w:snapToGrid/>
              <w:spacing w:line="480" w:lineRule="exact"/>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6D6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C96C8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E598C4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77893F1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20:06-20:11</w:t>
            </w:r>
          </w:p>
        </w:tc>
        <w:tc>
          <w:tcPr>
            <w:tcW w:w="1542" w:type="pct"/>
            <w:vAlign w:val="center"/>
          </w:tcPr>
          <w:p w14:paraId="54DD1120">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E8E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FAFDB8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387F21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3EAF586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02:07-02:12</w:t>
            </w:r>
          </w:p>
        </w:tc>
        <w:tc>
          <w:tcPr>
            <w:tcW w:w="1542" w:type="pct"/>
            <w:vAlign w:val="center"/>
          </w:tcPr>
          <w:p w14:paraId="51CFEE27">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7B1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D82FDF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3BA370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757A1B4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08:18-08:23</w:t>
            </w:r>
          </w:p>
        </w:tc>
        <w:tc>
          <w:tcPr>
            <w:tcW w:w="1542" w:type="pct"/>
            <w:vAlign w:val="center"/>
          </w:tcPr>
          <w:p w14:paraId="240B06D5">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9FA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191C9E7">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4EF84298">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2</w:t>
            </w:r>
          </w:p>
          <w:p w14:paraId="16CB27B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3</w:t>
            </w:r>
          </w:p>
        </w:tc>
        <w:tc>
          <w:tcPr>
            <w:tcW w:w="1798" w:type="dxa"/>
            <w:vAlign w:val="center"/>
          </w:tcPr>
          <w:p w14:paraId="2DF4002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14:06-14:11</w:t>
            </w:r>
          </w:p>
        </w:tc>
        <w:tc>
          <w:tcPr>
            <w:tcW w:w="1542" w:type="pct"/>
            <w:vAlign w:val="center"/>
          </w:tcPr>
          <w:p w14:paraId="1040179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7BF3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29A706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94F27A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7F6888E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20:10-20:15</w:t>
            </w:r>
          </w:p>
        </w:tc>
        <w:tc>
          <w:tcPr>
            <w:tcW w:w="1542" w:type="pct"/>
            <w:vAlign w:val="center"/>
          </w:tcPr>
          <w:p w14:paraId="3F3466CB">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527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DD8FC1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75007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229FC1D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02:04-02:09</w:t>
            </w:r>
          </w:p>
        </w:tc>
        <w:tc>
          <w:tcPr>
            <w:tcW w:w="1542" w:type="pct"/>
            <w:vAlign w:val="center"/>
          </w:tcPr>
          <w:p w14:paraId="2E3D2E61">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AF5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DB43560">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5350D3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263CACA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08:06-08:11</w:t>
            </w:r>
          </w:p>
        </w:tc>
        <w:tc>
          <w:tcPr>
            <w:tcW w:w="1542" w:type="pct"/>
            <w:vAlign w:val="center"/>
          </w:tcPr>
          <w:p w14:paraId="7FBB140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5221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2347AD2">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4B2C36E">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3</w:t>
            </w:r>
          </w:p>
          <w:p w14:paraId="52EFB84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4</w:t>
            </w:r>
          </w:p>
        </w:tc>
        <w:tc>
          <w:tcPr>
            <w:tcW w:w="1798" w:type="dxa"/>
            <w:vAlign w:val="center"/>
          </w:tcPr>
          <w:p w14:paraId="2C1F07B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14:07-14:12</w:t>
            </w:r>
          </w:p>
        </w:tc>
        <w:tc>
          <w:tcPr>
            <w:tcW w:w="1542" w:type="pct"/>
            <w:vAlign w:val="center"/>
          </w:tcPr>
          <w:p w14:paraId="5C6B11C6">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7B6C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60FF48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A6676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5AB17D8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20:15-20:20</w:t>
            </w:r>
          </w:p>
        </w:tc>
        <w:tc>
          <w:tcPr>
            <w:tcW w:w="1542" w:type="pct"/>
            <w:vAlign w:val="center"/>
          </w:tcPr>
          <w:p w14:paraId="4A2F2494">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A16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0D830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8A6E2E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3652229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02:11-02:16</w:t>
            </w:r>
          </w:p>
        </w:tc>
        <w:tc>
          <w:tcPr>
            <w:tcW w:w="1542" w:type="pct"/>
            <w:vAlign w:val="center"/>
          </w:tcPr>
          <w:p w14:paraId="1BC49BE9">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C97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807A6E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59F8FCE1">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15E2FBD7">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08:08-08:13</w:t>
            </w:r>
          </w:p>
        </w:tc>
        <w:tc>
          <w:tcPr>
            <w:tcW w:w="1542" w:type="pct"/>
            <w:vAlign w:val="center"/>
          </w:tcPr>
          <w:p w14:paraId="6829CE0F">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A2E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7D7D57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11DEB3C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4</w:t>
            </w:r>
          </w:p>
          <w:p w14:paraId="7434658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5</w:t>
            </w:r>
          </w:p>
        </w:tc>
        <w:tc>
          <w:tcPr>
            <w:tcW w:w="1798" w:type="dxa"/>
            <w:vAlign w:val="center"/>
          </w:tcPr>
          <w:p w14:paraId="0430834A">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14:07-14:12</w:t>
            </w:r>
          </w:p>
        </w:tc>
        <w:tc>
          <w:tcPr>
            <w:tcW w:w="1542" w:type="pct"/>
            <w:vAlign w:val="center"/>
          </w:tcPr>
          <w:p w14:paraId="335E20FC">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4A2F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FB048F8">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D27102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BDECB0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20:08-20:13</w:t>
            </w:r>
          </w:p>
        </w:tc>
        <w:tc>
          <w:tcPr>
            <w:tcW w:w="1542" w:type="pct"/>
            <w:vAlign w:val="center"/>
          </w:tcPr>
          <w:p w14:paraId="02583CDE">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63C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3AA2F7F">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21BD4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1341C45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02:06-02:11</w:t>
            </w:r>
          </w:p>
        </w:tc>
        <w:tc>
          <w:tcPr>
            <w:tcW w:w="1542" w:type="pct"/>
            <w:vAlign w:val="center"/>
          </w:tcPr>
          <w:p w14:paraId="007566B8">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76A36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1F2DBB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273EA8A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60AB8E7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08:05-08:10</w:t>
            </w:r>
          </w:p>
        </w:tc>
        <w:tc>
          <w:tcPr>
            <w:tcW w:w="1542" w:type="pct"/>
            <w:vAlign w:val="center"/>
          </w:tcPr>
          <w:p w14:paraId="7CE5088F">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10B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79576FC">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2BD6DA9D">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5</w:t>
            </w:r>
          </w:p>
          <w:p w14:paraId="73E4FAD3">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6</w:t>
            </w:r>
          </w:p>
        </w:tc>
        <w:tc>
          <w:tcPr>
            <w:tcW w:w="1798" w:type="dxa"/>
            <w:vAlign w:val="center"/>
          </w:tcPr>
          <w:p w14:paraId="256C17BE">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14:07-14:12</w:t>
            </w:r>
          </w:p>
        </w:tc>
        <w:tc>
          <w:tcPr>
            <w:tcW w:w="1542" w:type="pct"/>
            <w:vAlign w:val="center"/>
          </w:tcPr>
          <w:p w14:paraId="5BC4643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80E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2AA765C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462F81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2A0EFA1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20:06-20:11</w:t>
            </w:r>
          </w:p>
        </w:tc>
        <w:tc>
          <w:tcPr>
            <w:tcW w:w="1542" w:type="pct"/>
            <w:vAlign w:val="center"/>
          </w:tcPr>
          <w:p w14:paraId="16F2EACE">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35C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48A344C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B9367E8">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ABA47E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02:06-02:11</w:t>
            </w:r>
          </w:p>
        </w:tc>
        <w:tc>
          <w:tcPr>
            <w:tcW w:w="1542" w:type="pct"/>
            <w:vAlign w:val="center"/>
          </w:tcPr>
          <w:p w14:paraId="6DE52D40">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C60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687D7D5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3656EF8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52A0D4E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08:05-08:10</w:t>
            </w:r>
          </w:p>
        </w:tc>
        <w:tc>
          <w:tcPr>
            <w:tcW w:w="1542" w:type="pct"/>
            <w:vAlign w:val="center"/>
          </w:tcPr>
          <w:p w14:paraId="20BC4E34">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1919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EC35EA3">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7CDF3055">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6</w:t>
            </w:r>
          </w:p>
          <w:p w14:paraId="0F297FFC">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7</w:t>
            </w:r>
          </w:p>
        </w:tc>
        <w:tc>
          <w:tcPr>
            <w:tcW w:w="1798" w:type="dxa"/>
            <w:vAlign w:val="center"/>
          </w:tcPr>
          <w:p w14:paraId="1926BAF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14:05-14:10</w:t>
            </w:r>
          </w:p>
        </w:tc>
        <w:tc>
          <w:tcPr>
            <w:tcW w:w="1542" w:type="pct"/>
            <w:vAlign w:val="center"/>
          </w:tcPr>
          <w:p w14:paraId="3F726A02">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2E00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35FE7065">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1E41F8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1706294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20:10-20:15</w:t>
            </w:r>
          </w:p>
        </w:tc>
        <w:tc>
          <w:tcPr>
            <w:tcW w:w="1542" w:type="pct"/>
            <w:vAlign w:val="center"/>
          </w:tcPr>
          <w:p w14:paraId="67DFBBEC">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65ED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576C1B4">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6F855D1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D90DEC0">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02:08-02:13</w:t>
            </w:r>
          </w:p>
        </w:tc>
        <w:tc>
          <w:tcPr>
            <w:tcW w:w="1542" w:type="pct"/>
            <w:vAlign w:val="center"/>
          </w:tcPr>
          <w:p w14:paraId="1F8ACC53">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5C41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737FAF3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103FDCB9">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p>
        </w:tc>
        <w:tc>
          <w:tcPr>
            <w:tcW w:w="1798" w:type="dxa"/>
            <w:vAlign w:val="center"/>
          </w:tcPr>
          <w:p w14:paraId="45EE2D92">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08:08-08:13</w:t>
            </w:r>
          </w:p>
        </w:tc>
        <w:tc>
          <w:tcPr>
            <w:tcW w:w="1542" w:type="pct"/>
            <w:vAlign w:val="center"/>
          </w:tcPr>
          <w:p w14:paraId="1243992D">
            <w:pPr>
              <w:spacing w:line="240" w:lineRule="auto"/>
              <w:ind w:firstLine="420" w:firstLineChars="20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47D8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5C4D40DE">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restart"/>
            <w:vAlign w:val="center"/>
          </w:tcPr>
          <w:p w14:paraId="2FA2CAE3">
            <w:pPr>
              <w:spacing w:line="240" w:lineRule="auto"/>
              <w:ind w:firstLine="0" w:firstLineChars="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7</w:t>
            </w:r>
          </w:p>
          <w:p w14:paraId="7BED591D">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rPr>
            </w:pPr>
            <w:r>
              <w:rPr>
                <w:rFonts w:hint="eastAsia" w:ascii="Times New Roman" w:hAnsi="Times New Roman" w:eastAsia="宋体" w:cs="Times New Roman"/>
                <w:strike w:val="0"/>
                <w:dstrike w:val="0"/>
                <w:color w:val="auto"/>
                <w:kern w:val="2"/>
                <w:sz w:val="21"/>
                <w:szCs w:val="21"/>
                <w:highlight w:val="none"/>
                <w:lang w:val="en-US" w:eastAsia="zh-CN"/>
              </w:rPr>
              <w:t>-2026.0</w:t>
            </w:r>
            <w:r>
              <w:rPr>
                <w:rFonts w:hint="eastAsia" w:ascii="Times New Roman" w:hAnsi="Times New Roman" w:eastAsia="宋体" w:cs="Times New Roman"/>
                <w:strike w:val="0"/>
                <w:dstrike w:val="0"/>
                <w:color w:val="auto"/>
                <w:kern w:val="2"/>
                <w:sz w:val="21"/>
                <w:szCs w:val="21"/>
                <w:highlight w:val="none"/>
                <w:lang w:val="en-US" w:eastAsia="zh-CN"/>
              </w:rPr>
              <w:t>6</w:t>
            </w:r>
            <w:r>
              <w:rPr>
                <w:rFonts w:hint="eastAsia" w:ascii="Times New Roman" w:hAnsi="Times New Roman" w:eastAsia="宋体" w:cs="Times New Roman"/>
                <w:strike w:val="0"/>
                <w:dstrike w:val="0"/>
                <w:color w:val="auto"/>
                <w:kern w:val="2"/>
                <w:sz w:val="21"/>
                <w:szCs w:val="21"/>
                <w:highlight w:val="none"/>
                <w:lang w:val="en-US" w:eastAsia="zh-CN"/>
              </w:rPr>
              <w:t>.1</w:t>
            </w:r>
            <w:r>
              <w:rPr>
                <w:rFonts w:hint="eastAsia" w:ascii="Times New Roman" w:hAnsi="Times New Roman" w:eastAsia="宋体" w:cs="Times New Roman"/>
                <w:strike w:val="0"/>
                <w:dstrike w:val="0"/>
                <w:color w:val="auto"/>
                <w:kern w:val="2"/>
                <w:sz w:val="21"/>
                <w:szCs w:val="21"/>
                <w:highlight w:val="none"/>
                <w:lang w:val="en-US" w:eastAsia="zh-CN"/>
              </w:rPr>
              <w:t>8</w:t>
            </w:r>
          </w:p>
        </w:tc>
        <w:tc>
          <w:tcPr>
            <w:tcW w:w="1798" w:type="dxa"/>
            <w:vAlign w:val="center"/>
          </w:tcPr>
          <w:p w14:paraId="1F253505">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14:06-14:11</w:t>
            </w:r>
          </w:p>
        </w:tc>
        <w:tc>
          <w:tcPr>
            <w:tcW w:w="1542" w:type="pct"/>
            <w:vAlign w:val="center"/>
          </w:tcPr>
          <w:p w14:paraId="1C0B24C0">
            <w:pPr>
              <w:spacing w:line="240" w:lineRule="auto"/>
              <w:ind w:firstLine="420" w:firstLineChars="200"/>
              <w:jc w:val="center"/>
              <w:rPr>
                <w:rFonts w:hint="default" w:ascii="Times New Roman" w:hAnsi="Times New Roman" w:eastAsia="宋体" w:cs="Times New Roman"/>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47B0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1AA5755B">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73EDDDC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798" w:type="dxa"/>
            <w:vAlign w:val="center"/>
          </w:tcPr>
          <w:p w14:paraId="07D20AF6">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20:05-20:10</w:t>
            </w:r>
          </w:p>
        </w:tc>
        <w:tc>
          <w:tcPr>
            <w:tcW w:w="1542" w:type="pct"/>
            <w:vAlign w:val="center"/>
          </w:tcPr>
          <w:p w14:paraId="12FD8442">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&lt;10</w:t>
            </w:r>
          </w:p>
        </w:tc>
      </w:tr>
      <w:tr w14:paraId="1176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2FF43F6">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40DFD73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798" w:type="dxa"/>
            <w:vAlign w:val="center"/>
          </w:tcPr>
          <w:p w14:paraId="408C5C5F">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02:07-02:12</w:t>
            </w:r>
          </w:p>
        </w:tc>
        <w:tc>
          <w:tcPr>
            <w:tcW w:w="1542" w:type="pct"/>
            <w:vAlign w:val="center"/>
          </w:tcPr>
          <w:p w14:paraId="581A1A10">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&lt;10</w:t>
            </w:r>
          </w:p>
        </w:tc>
      </w:tr>
      <w:tr w14:paraId="7473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5" w:type="pct"/>
            <w:vMerge w:val="continue"/>
            <w:vAlign w:val="center"/>
          </w:tcPr>
          <w:p w14:paraId="063B531A">
            <w:pPr>
              <w:keepNext w:val="0"/>
              <w:keepLines w:val="0"/>
              <w:pageBreakBefore w:val="0"/>
              <w:kinsoku/>
              <w:wordWrap/>
              <w:overflowPunct/>
              <w:topLinePunct w:val="0"/>
              <w:autoSpaceDE/>
              <w:autoSpaceDN/>
              <w:bidi w:val="0"/>
              <w:adjustRightInd/>
              <w:snapToGrid/>
              <w:spacing w:line="480" w:lineRule="exact"/>
              <w:ind w:firstLine="0" w:firstLineChars="0"/>
              <w:jc w:val="center"/>
              <w:rPr>
                <w:rFonts w:ascii="Times New Roman" w:hAnsi="Times New Roman" w:eastAsia="宋体"/>
                <w:strike w:val="0"/>
                <w:dstrike w:val="0"/>
                <w:color w:val="auto"/>
                <w:kern w:val="2"/>
                <w:sz w:val="21"/>
                <w:szCs w:val="21"/>
                <w:highlight w:val="none"/>
              </w:rPr>
            </w:pPr>
          </w:p>
        </w:tc>
        <w:tc>
          <w:tcPr>
            <w:tcW w:w="1577" w:type="pct"/>
            <w:vMerge w:val="continue"/>
            <w:vAlign w:val="center"/>
          </w:tcPr>
          <w:p w14:paraId="0036829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Times New Roman" w:hAnsi="Times New Roman" w:eastAsia="宋体"/>
                <w:strike w:val="0"/>
                <w:dstrike w:val="0"/>
                <w:color w:val="auto"/>
                <w:kern w:val="2"/>
                <w:sz w:val="21"/>
                <w:szCs w:val="21"/>
                <w:highlight w:val="none"/>
              </w:rPr>
            </w:pPr>
          </w:p>
        </w:tc>
        <w:tc>
          <w:tcPr>
            <w:tcW w:w="1798" w:type="dxa"/>
            <w:vAlign w:val="center"/>
          </w:tcPr>
          <w:p w14:paraId="74BEA6A4">
            <w:pPr>
              <w:spacing w:line="240" w:lineRule="auto"/>
              <w:ind w:firstLine="0" w:firstLineChars="0"/>
              <w:jc w:val="center"/>
              <w:rPr>
                <w:rFonts w:hint="eastAsia" w:ascii="Times New Roman" w:hAnsi="Times New Roman" w:eastAsia="宋体" w:cs="Times New Roman"/>
                <w:strike w:val="0"/>
                <w:dstrike w:val="0"/>
                <w:color w:val="auto"/>
                <w:kern w:val="2"/>
                <w:sz w:val="21"/>
                <w:szCs w:val="21"/>
                <w:highlight w:val="none"/>
                <w:lang w:val="en-US" w:eastAsia="zh-CN"/>
              </w:rPr>
            </w:pPr>
            <w:r>
              <w:rPr>
                <w:rFonts w:hint="default" w:ascii="Times New Roman" w:hAnsi="Times New Roman" w:eastAsia="宋体" w:cs="Times New Roman"/>
                <w:strike w:val="0"/>
                <w:dstrike w:val="0"/>
                <w:color w:val="auto"/>
                <w:kern w:val="2"/>
                <w:sz w:val="21"/>
                <w:szCs w:val="21"/>
                <w:highlight w:val="none"/>
                <w:lang w:val="en-US" w:eastAsia="zh-CN"/>
              </w:rPr>
              <w:t>08:10-08:15</w:t>
            </w:r>
          </w:p>
        </w:tc>
        <w:tc>
          <w:tcPr>
            <w:tcW w:w="1542" w:type="pct"/>
            <w:vAlign w:val="center"/>
          </w:tcPr>
          <w:p w14:paraId="532FBD02">
            <w:pPr>
              <w:keepNext w:val="0"/>
              <w:keepLines w:val="0"/>
              <w:pageBreakBefore w:val="0"/>
              <w:widowControl/>
              <w:suppressLineNumbers w:val="0"/>
              <w:kinsoku/>
              <w:wordWrap/>
              <w:overflowPunct/>
              <w:topLinePunct w:val="0"/>
              <w:autoSpaceDE/>
              <w:autoSpaceDN/>
              <w:bidi w:val="0"/>
              <w:adjustRightInd/>
              <w:snapToGrid/>
              <w:spacing w:line="480" w:lineRule="exact"/>
              <w:ind w:firstLine="420" w:firstLineChars="200"/>
              <w:jc w:val="center"/>
              <w:textAlignment w:val="center"/>
              <w:rPr>
                <w:rFonts w:hint="eastAsia" w:ascii="Times New Roman" w:hAnsi="Times New Roman" w:eastAsia="宋体" w:cs="Times New Roman"/>
                <w:i w:val="0"/>
                <w:strike w:val="0"/>
                <w:dstrike w:val="0"/>
                <w:color w:val="auto"/>
                <w:kern w:val="0"/>
                <w:sz w:val="21"/>
                <w:szCs w:val="21"/>
                <w:highlight w:val="none"/>
                <w:u w:val="none"/>
                <w:lang w:val="en-US" w:eastAsia="zh-CN" w:bidi="ar"/>
              </w:rPr>
            </w:pPr>
            <w:r>
              <w:rPr>
                <w:rFonts w:hint="eastAsia" w:ascii="Times New Roman" w:hAnsi="Times New Roman" w:eastAsia="宋体"/>
                <w:strike w:val="0"/>
                <w:dstrike w:val="0"/>
                <w:color w:val="auto"/>
                <w:kern w:val="2"/>
                <w:sz w:val="21"/>
                <w:szCs w:val="21"/>
                <w:highlight w:val="none"/>
                <w:lang w:val="en-US" w:eastAsia="zh-CN"/>
              </w:rPr>
              <w:t>&lt;10</w:t>
            </w:r>
          </w:p>
        </w:tc>
      </w:tr>
    </w:tbl>
    <w:p w14:paraId="405C34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表4.2-7 NH3、TSP、硫化氢、臭气浓度评价结果表</w:t>
      </w:r>
    </w:p>
    <w:tbl>
      <w:tblPr>
        <w:tblStyle w:val="3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683"/>
        <w:gridCol w:w="1439"/>
        <w:gridCol w:w="1441"/>
        <w:gridCol w:w="1441"/>
        <w:gridCol w:w="1441"/>
      </w:tblGrid>
      <w:tr w14:paraId="5B45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30" w:type="pct"/>
            <w:vAlign w:val="center"/>
          </w:tcPr>
          <w:p w14:paraId="6F110212">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监测点</w:t>
            </w:r>
          </w:p>
        </w:tc>
        <w:tc>
          <w:tcPr>
            <w:tcW w:w="987" w:type="pct"/>
            <w:vAlign w:val="center"/>
          </w:tcPr>
          <w:p w14:paraId="2BD39A8B">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项目</w:t>
            </w:r>
          </w:p>
        </w:tc>
        <w:tc>
          <w:tcPr>
            <w:tcW w:w="844" w:type="pct"/>
            <w:vAlign w:val="center"/>
          </w:tcPr>
          <w:p w14:paraId="1F6EABE4">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sz w:val="21"/>
                <w:szCs w:val="21"/>
                <w:highlight w:val="none"/>
                <w:lang w:val="en-US" w:eastAsia="zh-CN"/>
              </w:rPr>
              <w:t>NH</w:t>
            </w:r>
            <w:r>
              <w:rPr>
                <w:rFonts w:hint="eastAsia" w:ascii="Times New Roman" w:hAnsi="Times New Roman" w:eastAsia="宋体"/>
                <w:strike w:val="0"/>
                <w:dstrike w:val="0"/>
                <w:color w:val="auto"/>
                <w:sz w:val="21"/>
                <w:szCs w:val="21"/>
                <w:highlight w:val="none"/>
                <w:vertAlign w:val="subscript"/>
                <w:lang w:val="en-US" w:eastAsia="zh-CN"/>
              </w:rPr>
              <w:t>3</w:t>
            </w:r>
          </w:p>
        </w:tc>
        <w:tc>
          <w:tcPr>
            <w:tcW w:w="845" w:type="pct"/>
            <w:vAlign w:val="center"/>
          </w:tcPr>
          <w:p w14:paraId="42EFA65A">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TSP</w:t>
            </w:r>
          </w:p>
        </w:tc>
        <w:tc>
          <w:tcPr>
            <w:tcW w:w="845" w:type="pct"/>
            <w:vAlign w:val="center"/>
          </w:tcPr>
          <w:p w14:paraId="06AB2461">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硫化氢</w:t>
            </w:r>
          </w:p>
        </w:tc>
        <w:tc>
          <w:tcPr>
            <w:tcW w:w="845" w:type="pct"/>
            <w:vAlign w:val="center"/>
          </w:tcPr>
          <w:p w14:paraId="1DB18A7F">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臭气浓度</w:t>
            </w:r>
          </w:p>
        </w:tc>
      </w:tr>
      <w:tr w14:paraId="32BC1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restart"/>
            <w:vAlign w:val="center"/>
          </w:tcPr>
          <w:p w14:paraId="7E11F9D6">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rPr>
              <w:t>W1：</w:t>
            </w:r>
            <w:r>
              <w:rPr>
                <w:rFonts w:hint="eastAsia" w:ascii="Times New Roman" w:hAnsi="Times New Roman" w:eastAsia="宋体"/>
                <w:strike w:val="0"/>
                <w:dstrike w:val="0"/>
                <w:color w:val="auto"/>
                <w:kern w:val="2"/>
                <w:sz w:val="21"/>
                <w:szCs w:val="21"/>
                <w:highlight w:val="none"/>
                <w:lang w:val="en-US" w:eastAsia="zh-CN"/>
              </w:rPr>
              <w:t>下风向</w:t>
            </w:r>
          </w:p>
        </w:tc>
        <w:tc>
          <w:tcPr>
            <w:tcW w:w="987" w:type="pct"/>
            <w:vAlign w:val="center"/>
          </w:tcPr>
          <w:p w14:paraId="050F1F77">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有效日数</w:t>
            </w:r>
          </w:p>
        </w:tc>
        <w:tc>
          <w:tcPr>
            <w:tcW w:w="844" w:type="pct"/>
            <w:vAlign w:val="center"/>
          </w:tcPr>
          <w:p w14:paraId="0E748950">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7</w:t>
            </w:r>
          </w:p>
        </w:tc>
        <w:tc>
          <w:tcPr>
            <w:tcW w:w="845" w:type="pct"/>
            <w:vAlign w:val="center"/>
          </w:tcPr>
          <w:p w14:paraId="0911A711">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7</w:t>
            </w:r>
          </w:p>
        </w:tc>
        <w:tc>
          <w:tcPr>
            <w:tcW w:w="845" w:type="pct"/>
            <w:vAlign w:val="center"/>
          </w:tcPr>
          <w:p w14:paraId="65548695">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7</w:t>
            </w:r>
          </w:p>
        </w:tc>
        <w:tc>
          <w:tcPr>
            <w:tcW w:w="845" w:type="pct"/>
            <w:vAlign w:val="center"/>
          </w:tcPr>
          <w:p w14:paraId="4842F9FC">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7</w:t>
            </w:r>
          </w:p>
        </w:tc>
      </w:tr>
      <w:tr w14:paraId="38AA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37177CF9">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0741A2D5">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浓度范围（mg/m</w:t>
            </w:r>
            <w:r>
              <w:rPr>
                <w:rFonts w:hint="eastAsia" w:ascii="Times New Roman" w:hAnsi="Times New Roman" w:eastAsia="宋体"/>
                <w:strike w:val="0"/>
                <w:dstrike w:val="0"/>
                <w:color w:val="auto"/>
                <w:kern w:val="2"/>
                <w:sz w:val="21"/>
                <w:szCs w:val="21"/>
                <w:highlight w:val="none"/>
                <w:vertAlign w:val="superscript"/>
              </w:rPr>
              <w:t>3</w:t>
            </w:r>
            <w:r>
              <w:rPr>
                <w:rFonts w:hint="eastAsia" w:ascii="Times New Roman" w:hAnsi="Times New Roman" w:eastAsia="宋体"/>
                <w:strike w:val="0"/>
                <w:dstrike w:val="0"/>
                <w:color w:val="auto"/>
                <w:kern w:val="2"/>
                <w:sz w:val="21"/>
                <w:szCs w:val="21"/>
                <w:highlight w:val="none"/>
              </w:rPr>
              <w:t>）</w:t>
            </w:r>
          </w:p>
        </w:tc>
        <w:tc>
          <w:tcPr>
            <w:tcW w:w="844" w:type="pct"/>
            <w:vAlign w:val="center"/>
          </w:tcPr>
          <w:p w14:paraId="687CCDEF">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ascii="Times New Roman" w:hAnsi="Times New Roman" w:eastAsia="宋体"/>
                <w:strike w:val="0"/>
                <w:dstrike w:val="0"/>
                <w:color w:val="auto"/>
                <w:kern w:val="2"/>
                <w:sz w:val="21"/>
                <w:szCs w:val="21"/>
                <w:highlight w:val="none"/>
              </w:rPr>
              <w:t>0</w:t>
            </w:r>
            <w:r>
              <w:rPr>
                <w:rFonts w:hint="eastAsia" w:ascii="Times New Roman" w:hAnsi="Times New Roman" w:eastAsia="宋体"/>
                <w:strike w:val="0"/>
                <w:dstrike w:val="0"/>
                <w:color w:val="auto"/>
                <w:kern w:val="2"/>
                <w:sz w:val="21"/>
                <w:szCs w:val="21"/>
                <w:highlight w:val="none"/>
                <w:lang w:val="en-US" w:eastAsia="zh-CN"/>
              </w:rPr>
              <w:t>.04</w:t>
            </w:r>
            <w:r>
              <w:rPr>
                <w:rFonts w:ascii="Times New Roman" w:hAnsi="Times New Roman" w:eastAsia="宋体"/>
                <w:strike w:val="0"/>
                <w:dstrike w:val="0"/>
                <w:color w:val="auto"/>
                <w:kern w:val="2"/>
                <w:sz w:val="21"/>
                <w:szCs w:val="21"/>
                <w:highlight w:val="none"/>
              </w:rPr>
              <w:t>-0.</w:t>
            </w:r>
            <w:r>
              <w:rPr>
                <w:rFonts w:hint="eastAsia" w:ascii="Times New Roman" w:hAnsi="Times New Roman" w:eastAsia="宋体"/>
                <w:strike w:val="0"/>
                <w:dstrike w:val="0"/>
                <w:color w:val="auto"/>
                <w:kern w:val="2"/>
                <w:sz w:val="21"/>
                <w:szCs w:val="21"/>
                <w:highlight w:val="none"/>
                <w:lang w:val="en-US" w:eastAsia="zh-CN"/>
              </w:rPr>
              <w:t>08</w:t>
            </w:r>
          </w:p>
        </w:tc>
        <w:tc>
          <w:tcPr>
            <w:tcW w:w="845" w:type="pct"/>
            <w:vAlign w:val="center"/>
          </w:tcPr>
          <w:p w14:paraId="5D6E1E16">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0.111-0.210</w:t>
            </w:r>
          </w:p>
        </w:tc>
        <w:tc>
          <w:tcPr>
            <w:tcW w:w="845" w:type="pct"/>
            <w:vAlign w:val="center"/>
          </w:tcPr>
          <w:p w14:paraId="41F3FCAD">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w:t>
            </w:r>
            <w:r>
              <w:rPr>
                <w:rFonts w:hint="default" w:ascii="Times New Roman" w:hAnsi="Times New Roman" w:eastAsia="宋体" w:cs="Arial"/>
                <w:strike w:val="0"/>
                <w:dstrike w:val="0"/>
                <w:color w:val="auto"/>
                <w:kern w:val="2"/>
                <w:sz w:val="21"/>
                <w:szCs w:val="21"/>
                <w:highlight w:val="none"/>
                <w:lang w:val="en-US" w:eastAsia="zh-CN"/>
              </w:rPr>
              <w:t>×</w:t>
            </w:r>
            <w:r>
              <w:rPr>
                <w:rFonts w:hint="eastAsia" w:ascii="Times New Roman" w:hAnsi="Times New Roman" w:eastAsia="宋体"/>
                <w:strike w:val="0"/>
                <w:dstrike w:val="0"/>
                <w:color w:val="auto"/>
                <w:kern w:val="2"/>
                <w:sz w:val="21"/>
                <w:szCs w:val="21"/>
                <w:highlight w:val="none"/>
                <w:lang w:val="en-US" w:eastAsia="zh-CN"/>
              </w:rPr>
              <w:t>10</w:t>
            </w:r>
            <w:r>
              <w:rPr>
                <w:rFonts w:hint="eastAsia" w:ascii="Times New Roman" w:hAnsi="Times New Roman" w:eastAsia="宋体"/>
                <w:strike w:val="0"/>
                <w:dstrike w:val="0"/>
                <w:color w:val="auto"/>
                <w:kern w:val="2"/>
                <w:sz w:val="21"/>
                <w:szCs w:val="21"/>
                <w:highlight w:val="none"/>
                <w:vertAlign w:val="superscript"/>
                <w:lang w:val="en-US" w:eastAsia="zh-CN"/>
              </w:rPr>
              <w:t>-3</w:t>
            </w:r>
          </w:p>
        </w:tc>
        <w:tc>
          <w:tcPr>
            <w:tcW w:w="845" w:type="pct"/>
            <w:vAlign w:val="center"/>
          </w:tcPr>
          <w:p w14:paraId="3B2AEFE0">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&lt;10</w:t>
            </w:r>
          </w:p>
        </w:tc>
      </w:tr>
      <w:tr w14:paraId="3872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08BB3420">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3CE15A78">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超标率（%）</w:t>
            </w:r>
          </w:p>
        </w:tc>
        <w:tc>
          <w:tcPr>
            <w:tcW w:w="844" w:type="pct"/>
            <w:vAlign w:val="center"/>
          </w:tcPr>
          <w:p w14:paraId="170E4543">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w:t>
            </w:r>
          </w:p>
        </w:tc>
        <w:tc>
          <w:tcPr>
            <w:tcW w:w="845" w:type="pct"/>
            <w:vAlign w:val="center"/>
          </w:tcPr>
          <w:p w14:paraId="1DB94677">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3F87B2E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6C16F44E">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r>
      <w:tr w14:paraId="3791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085A24FF">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7946EC0B">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最大超标倍数</w:t>
            </w:r>
          </w:p>
        </w:tc>
        <w:tc>
          <w:tcPr>
            <w:tcW w:w="844" w:type="pct"/>
            <w:vAlign w:val="center"/>
          </w:tcPr>
          <w:p w14:paraId="59911045">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w:t>
            </w:r>
          </w:p>
        </w:tc>
        <w:tc>
          <w:tcPr>
            <w:tcW w:w="845" w:type="pct"/>
            <w:vAlign w:val="center"/>
          </w:tcPr>
          <w:p w14:paraId="5803419E">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12016307">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c>
          <w:tcPr>
            <w:tcW w:w="845" w:type="pct"/>
            <w:vAlign w:val="center"/>
          </w:tcPr>
          <w:p w14:paraId="71C3942B">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0</w:t>
            </w:r>
          </w:p>
        </w:tc>
      </w:tr>
      <w:tr w14:paraId="344A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vAlign w:val="center"/>
          </w:tcPr>
          <w:p w14:paraId="09FA5DC1">
            <w:pPr>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987" w:type="pct"/>
            <w:vAlign w:val="center"/>
          </w:tcPr>
          <w:p w14:paraId="46F89995">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P</w:t>
            </w:r>
            <w:r>
              <w:rPr>
                <w:rFonts w:hint="eastAsia" w:ascii="Times New Roman" w:hAnsi="Times New Roman" w:eastAsia="宋体"/>
                <w:strike w:val="0"/>
                <w:dstrike w:val="0"/>
                <w:color w:val="auto"/>
                <w:kern w:val="2"/>
                <w:sz w:val="21"/>
                <w:szCs w:val="21"/>
                <w:highlight w:val="none"/>
                <w:vertAlign w:val="subscript"/>
              </w:rPr>
              <w:t>i</w:t>
            </w:r>
          </w:p>
        </w:tc>
        <w:tc>
          <w:tcPr>
            <w:tcW w:w="844" w:type="pct"/>
            <w:vAlign w:val="center"/>
          </w:tcPr>
          <w:p w14:paraId="78C8BC81">
            <w:pPr>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lang w:val="en-US" w:eastAsia="zh-CN"/>
              </w:rPr>
              <w:t>20%～40%</w:t>
            </w:r>
          </w:p>
        </w:tc>
        <w:tc>
          <w:tcPr>
            <w:tcW w:w="845" w:type="pct"/>
            <w:vAlign w:val="center"/>
          </w:tcPr>
          <w:p w14:paraId="54995656">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37%～70%</w:t>
            </w:r>
          </w:p>
        </w:tc>
        <w:tc>
          <w:tcPr>
            <w:tcW w:w="845" w:type="pct"/>
            <w:vAlign w:val="center"/>
          </w:tcPr>
          <w:p w14:paraId="4BEC6A54">
            <w:pPr>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&lt;20%</w:t>
            </w:r>
          </w:p>
        </w:tc>
        <w:tc>
          <w:tcPr>
            <w:tcW w:w="845" w:type="pct"/>
            <w:vAlign w:val="center"/>
          </w:tcPr>
          <w:p w14:paraId="68995868">
            <w:pPr>
              <w:spacing w:line="240" w:lineRule="auto"/>
              <w:ind w:firstLine="0" w:firstLineChars="0"/>
              <w:jc w:val="center"/>
              <w:rPr>
                <w:rFonts w:hint="eastAsia"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lang w:val="en-US" w:eastAsia="zh-CN"/>
              </w:rPr>
              <w:t>&lt;50%</w:t>
            </w:r>
          </w:p>
        </w:tc>
      </w:tr>
    </w:tbl>
    <w:p w14:paraId="52570C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根据监测结果，特征污染物</w:t>
      </w:r>
      <w:r>
        <w:rPr>
          <w:rFonts w:hint="eastAsia" w:ascii="Times New Roman" w:hAnsi="Times New Roman" w:eastAsia="宋体"/>
          <w:strike w:val="0"/>
          <w:dstrike w:val="0"/>
          <w:color w:val="auto"/>
          <w:highlight w:val="none"/>
          <w:lang w:val="en-US" w:eastAsia="zh-CN"/>
        </w:rPr>
        <w:t>TSP</w:t>
      </w:r>
      <w:r>
        <w:rPr>
          <w:rFonts w:hint="eastAsia" w:ascii="Times New Roman" w:hAnsi="Times New Roman" w:eastAsia="宋体"/>
          <w:strike w:val="0"/>
          <w:dstrike w:val="0"/>
          <w:color w:val="auto"/>
          <w:highlight w:val="none"/>
          <w:lang w:val="en-US" w:eastAsia="zh-CN"/>
        </w:rPr>
        <w:t>满足</w:t>
      </w:r>
      <w:r>
        <w:rPr>
          <w:rFonts w:hint="eastAsia" w:ascii="Times New Roman" w:hAnsi="Times New Roman" w:eastAsia="宋体"/>
          <w:strike w:val="0"/>
          <w:dstrike w:val="0"/>
          <w:color w:val="auto"/>
          <w:highlight w:val="none"/>
        </w:rPr>
        <w:t>《环境空气质量标准》（GB3095-20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表2环境空气污染物其他项目浓度限值二级标准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在监测时段内浓度值满足《环境影响评价技术导则大气环境》（HJ2.2-2018）附录D中的标准值，</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在监测时段内达标，区域内硫化氢和氨空气质量现状良好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臭气浓度满足《恶臭污染物排放标准》（GB 14554-93）二级标准限值</w:t>
      </w:r>
      <w:r>
        <w:rPr>
          <w:rFonts w:hint="eastAsia" w:ascii="Times New Roman" w:hAnsi="Times New Roman" w:eastAsia="宋体"/>
          <w:strike w:val="0"/>
          <w:dstrike w:val="0"/>
          <w:color w:val="auto"/>
          <w:highlight w:val="none"/>
          <w:lang w:eastAsia="zh-CN"/>
        </w:rPr>
        <w:t>。</w:t>
      </w:r>
    </w:p>
    <w:p w14:paraId="21A49310">
      <w:pPr>
        <w:pStyle w:val="4"/>
        <w:rPr>
          <w:rFonts w:ascii="Times New Roman" w:hAnsi="Times New Roman" w:eastAsia="宋体"/>
          <w:strike w:val="0"/>
          <w:dstrike w:val="0"/>
          <w:color w:val="auto"/>
          <w:highlight w:val="none"/>
        </w:rPr>
      </w:pPr>
      <w:bookmarkStart w:id="204" w:name="_Toc106663487"/>
      <w:bookmarkStart w:id="205" w:name="_Toc24583"/>
      <w:r>
        <w:rPr>
          <w:rFonts w:hint="eastAsia" w:ascii="Times New Roman" w:hAnsi="Times New Roman" w:eastAsia="宋体"/>
          <w:strike w:val="0"/>
          <w:dstrike w:val="0"/>
          <w:color w:val="auto"/>
          <w:highlight w:val="none"/>
        </w:rPr>
        <w:t>4.2.2地表水环境质量现状评价</w:t>
      </w:r>
      <w:bookmarkEnd w:id="204"/>
      <w:bookmarkEnd w:id="205"/>
    </w:p>
    <w:p w14:paraId="2DC29ED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根据《环境影响评价技术导则地表水环境》（HJ2.3-2018），项目地表水评价等级判定为三级B，结合本项目工程特点，运营期废水</w:t>
      </w:r>
      <w:r>
        <w:rPr>
          <w:rFonts w:hint="eastAsia" w:ascii="Times New Roman" w:hAnsi="Times New Roman" w:eastAsia="宋体"/>
          <w:strike w:val="0"/>
          <w:dstrike w:val="0"/>
          <w:color w:val="auto"/>
          <w:highlight w:val="none"/>
          <w:lang w:val="en-US" w:eastAsia="zh-CN"/>
        </w:rPr>
        <w:t>不外排，</w:t>
      </w:r>
      <w:r>
        <w:rPr>
          <w:rFonts w:hint="eastAsia" w:ascii="Times New Roman" w:hAnsi="Times New Roman" w:eastAsia="宋体"/>
          <w:strike w:val="0"/>
          <w:dstrike w:val="0"/>
          <w:color w:val="auto"/>
          <w:highlight w:val="none"/>
        </w:rPr>
        <w:t>因此不对本项目地表水进行现状评价</w:t>
      </w:r>
      <w:r>
        <w:rPr>
          <w:rFonts w:hint="eastAsia" w:ascii="Times New Roman" w:hAnsi="Times New Roman" w:eastAsia="宋体"/>
          <w:strike w:val="0"/>
          <w:dstrike w:val="0"/>
          <w:color w:val="auto"/>
          <w:highlight w:val="none"/>
          <w:lang w:eastAsia="zh-CN"/>
        </w:rPr>
        <w:t>。</w:t>
      </w:r>
    </w:p>
    <w:p w14:paraId="0AA8DAAE">
      <w:pPr>
        <w:pStyle w:val="4"/>
        <w:rPr>
          <w:rFonts w:ascii="Times New Roman" w:hAnsi="Times New Roman" w:eastAsia="宋体"/>
          <w:strike w:val="0"/>
          <w:dstrike w:val="0"/>
          <w:color w:val="auto"/>
          <w:highlight w:val="none"/>
        </w:rPr>
      </w:pPr>
      <w:bookmarkStart w:id="206" w:name="_Toc30582"/>
      <w:bookmarkStart w:id="207" w:name="_Toc106663488"/>
      <w:r>
        <w:rPr>
          <w:rFonts w:hint="eastAsia" w:ascii="Times New Roman" w:hAnsi="Times New Roman" w:eastAsia="宋体"/>
          <w:strike w:val="0"/>
          <w:dstrike w:val="0"/>
          <w:color w:val="auto"/>
          <w:highlight w:val="none"/>
        </w:rPr>
        <w:t>4.2.3地下水环境现状调查与评价</w:t>
      </w:r>
      <w:bookmarkEnd w:id="206"/>
      <w:bookmarkEnd w:id="207"/>
    </w:p>
    <w:p w14:paraId="24D8E84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4.2.3.1数据来源</w:t>
      </w:r>
    </w:p>
    <w:p w14:paraId="654A4372">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本项目地下水环境现状调查数据委托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进行现场监测，</w:t>
      </w:r>
      <w:r>
        <w:rPr>
          <w:rFonts w:hint="eastAsia" w:ascii="Times New Roman" w:hAnsi="Times New Roman" w:eastAsia="宋体"/>
          <w:strike w:val="0"/>
          <w:dstrike w:val="0"/>
          <w:color w:val="auto"/>
          <w:highlight w:val="none"/>
          <w:lang w:val="en-US" w:eastAsia="zh-CN"/>
        </w:rPr>
        <w:t>取样水井为灌溉井。</w:t>
      </w:r>
      <w:r>
        <w:rPr>
          <w:rFonts w:hint="eastAsia" w:ascii="Times New Roman" w:hAnsi="Times New Roman" w:eastAsia="宋体"/>
          <w:strike w:val="0"/>
          <w:dstrike w:val="0"/>
          <w:color w:val="auto"/>
          <w:highlight w:val="none"/>
        </w:rPr>
        <w:t>监测时间</w:t>
      </w:r>
      <w:r>
        <w:rPr>
          <w:rFonts w:hint="eastAsia" w:ascii="Times New Roman" w:hAnsi="Times New Roman" w:eastAsia="宋体"/>
          <w:strike w:val="0"/>
          <w:dstrike w:val="0"/>
          <w:color w:val="auto"/>
          <w:highlight w:val="none"/>
          <w:lang w:eastAsia="zh-CN"/>
        </w:rPr>
        <w:t>202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年0</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月</w:t>
      </w:r>
      <w:r>
        <w:rPr>
          <w:rFonts w:hint="eastAsia" w:ascii="Times New Roman" w:hAnsi="Times New Roman" w:eastAsia="宋体"/>
          <w:strike w:val="0"/>
          <w:dstrike w:val="0"/>
          <w:color w:val="auto"/>
          <w:highlight w:val="none"/>
          <w:lang w:val="en-US" w:eastAsia="zh-CN"/>
        </w:rPr>
        <w:t>18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监测点基本情况见表4.2-</w:t>
      </w:r>
      <w:r>
        <w:rPr>
          <w:rFonts w:hint="eastAsia" w:ascii="Times New Roman" w:hAnsi="Times New Roman" w:eastAsia="宋体"/>
          <w:strike w:val="0"/>
          <w:dstrike w:val="0"/>
          <w:color w:val="auto"/>
          <w:highlight w:val="none"/>
          <w:lang w:val="en-US" w:eastAsia="zh-CN"/>
        </w:rPr>
        <w:t>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地下水监测点位见附图4.2-2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木垒县地下水位数据引用木垒县2021年地下水动态监测国控点数据，具体情况见图4.2-1；</w:t>
      </w:r>
    </w:p>
    <w:p w14:paraId="41B0FE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表4.2-8地下水环境质量现状监测点位表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2"/>
        <w:gridCol w:w="4420"/>
      </w:tblGrid>
      <w:tr w14:paraId="3452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07" w:type="pct"/>
            <w:vAlign w:val="center"/>
          </w:tcPr>
          <w:p w14:paraId="5C34BA7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监测点</w:t>
            </w:r>
          </w:p>
        </w:tc>
        <w:tc>
          <w:tcPr>
            <w:tcW w:w="2593" w:type="pct"/>
            <w:vAlign w:val="center"/>
          </w:tcPr>
          <w:p w14:paraId="50654C7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坐标</w:t>
            </w:r>
          </w:p>
        </w:tc>
      </w:tr>
      <w:tr w14:paraId="6377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07" w:type="pct"/>
            <w:vAlign w:val="center"/>
          </w:tcPr>
          <w:p w14:paraId="10668338">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1</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：项目区</w:t>
            </w:r>
            <w:r>
              <w:rPr>
                <w:rFonts w:hint="eastAsia" w:ascii="Times New Roman" w:hAnsi="Times New Roman" w:eastAsia="宋体"/>
                <w:strike w:val="0"/>
                <w:dstrike w:val="0"/>
                <w:color w:val="auto"/>
                <w:sz w:val="21"/>
                <w:szCs w:val="21"/>
                <w:highlight w:val="none"/>
                <w:lang w:val="en-US" w:eastAsia="zh-CN"/>
              </w:rPr>
              <w:t>附近</w:t>
            </w:r>
            <w:r>
              <w:rPr>
                <w:rFonts w:hint="eastAsia" w:ascii="Times New Roman" w:hAnsi="Times New Roman" w:eastAsia="宋体"/>
                <w:strike w:val="0"/>
                <w:dstrike w:val="0"/>
                <w:color w:val="auto"/>
                <w:sz w:val="21"/>
                <w:szCs w:val="21"/>
                <w:highlight w:val="none"/>
              </w:rPr>
              <w:t>地下水井</w:t>
            </w:r>
          </w:p>
        </w:tc>
        <w:tc>
          <w:tcPr>
            <w:tcW w:w="2593" w:type="pct"/>
            <w:vAlign w:val="center"/>
          </w:tcPr>
          <w:p w14:paraId="59F53930">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strike w:val="0"/>
                <w:dstrike w:val="0"/>
                <w:color w:val="auto"/>
                <w:sz w:val="21"/>
                <w:szCs w:val="21"/>
                <w:highlight w:val="none"/>
                <w:lang w:val="en-US" w:eastAsia="zh-CN"/>
              </w:rPr>
              <w:t>E</w:t>
            </w:r>
            <w:r>
              <w:rPr>
                <w:rFonts w:hint="eastAsia" w:ascii="Times New Roman" w:hAnsi="Times New Roman" w:eastAsia="宋体"/>
                <w:strike w:val="0"/>
                <w:dstrike w:val="0"/>
                <w:color w:val="auto"/>
                <w:sz w:val="21"/>
                <w:szCs w:val="21"/>
                <w:highlight w:val="none"/>
                <w:lang w:val="en-US" w:eastAsia="zh-CN"/>
              </w:rPr>
              <w:t>:90</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36</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26.71</w:t>
            </w:r>
            <w:r>
              <w:rPr>
                <w:rFonts w:hint="default" w:ascii="Times New Roman" w:hAnsi="Times New Roman" w:eastAsia="宋体"/>
                <w:strike w:val="0"/>
                <w:dstrike w:val="0"/>
                <w:color w:val="auto"/>
                <w:sz w:val="21"/>
                <w:szCs w:val="21"/>
                <w:highlight w:val="none"/>
                <w:lang w:val="en-US" w:eastAsia="zh-CN"/>
              </w:rPr>
              <w:t>″N</w:t>
            </w:r>
            <w:r>
              <w:rPr>
                <w:rFonts w:hint="eastAsia" w:ascii="Times New Roman" w:hAnsi="Times New Roman" w:eastAsia="宋体"/>
                <w:strike w:val="0"/>
                <w:dstrike w:val="0"/>
                <w:color w:val="auto"/>
                <w:sz w:val="21"/>
                <w:szCs w:val="21"/>
                <w:highlight w:val="none"/>
                <w:lang w:val="en-US" w:eastAsia="zh-CN"/>
              </w:rPr>
              <w:t>:43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42</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00.40</w:t>
            </w:r>
            <w:r>
              <w:rPr>
                <w:rFonts w:hint="default" w:ascii="Times New Roman" w:hAnsi="Times New Roman" w:eastAsia="宋体"/>
                <w:strike w:val="0"/>
                <w:dstrike w:val="0"/>
                <w:color w:val="auto"/>
                <w:sz w:val="21"/>
                <w:szCs w:val="21"/>
                <w:highlight w:val="none"/>
                <w:lang w:val="en-US" w:eastAsia="zh-CN"/>
              </w:rPr>
              <w:t>″</w:t>
            </w:r>
          </w:p>
        </w:tc>
      </w:tr>
      <w:tr w14:paraId="5619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07" w:type="pct"/>
            <w:vAlign w:val="center"/>
          </w:tcPr>
          <w:p w14:paraId="6CF0EAF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2</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：项目区上游地下水井</w:t>
            </w:r>
          </w:p>
        </w:tc>
        <w:tc>
          <w:tcPr>
            <w:tcW w:w="2593" w:type="pct"/>
            <w:vAlign w:val="center"/>
          </w:tcPr>
          <w:p w14:paraId="59D5BB33">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strike w:val="0"/>
                <w:dstrike w:val="0"/>
                <w:color w:val="auto"/>
                <w:sz w:val="21"/>
                <w:szCs w:val="21"/>
                <w:highlight w:val="none"/>
                <w:lang w:val="en-US" w:eastAsia="zh-CN"/>
              </w:rPr>
              <w:t>E</w:t>
            </w:r>
            <w:r>
              <w:rPr>
                <w:rFonts w:hint="eastAsia"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39</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22.87</w:t>
            </w:r>
            <w:r>
              <w:rPr>
                <w:rFonts w:hint="default" w:ascii="Times New Roman" w:hAnsi="Times New Roman" w:eastAsia="宋体"/>
                <w:strike w:val="0"/>
                <w:dstrike w:val="0"/>
                <w:color w:val="auto"/>
                <w:sz w:val="21"/>
                <w:szCs w:val="21"/>
                <w:highlight w:val="none"/>
                <w:lang w:val="en-US" w:eastAsia="zh-CN"/>
              </w:rPr>
              <w:t>″N</w:t>
            </w:r>
            <w:r>
              <w:rPr>
                <w:rFonts w:hint="eastAsia"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41</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51.16</w:t>
            </w:r>
            <w:r>
              <w:rPr>
                <w:rFonts w:hint="default" w:ascii="Times New Roman" w:hAnsi="Times New Roman" w:eastAsia="宋体"/>
                <w:strike w:val="0"/>
                <w:dstrike w:val="0"/>
                <w:color w:val="auto"/>
                <w:sz w:val="21"/>
                <w:szCs w:val="21"/>
                <w:highlight w:val="none"/>
                <w:lang w:val="en-US" w:eastAsia="zh-CN"/>
              </w:rPr>
              <w:t>″</w:t>
            </w:r>
          </w:p>
        </w:tc>
      </w:tr>
      <w:tr w14:paraId="11C5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07" w:type="pct"/>
            <w:vAlign w:val="center"/>
          </w:tcPr>
          <w:p w14:paraId="6D480B0E">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3</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：项目区下游地下水井</w:t>
            </w:r>
          </w:p>
        </w:tc>
        <w:tc>
          <w:tcPr>
            <w:tcW w:w="2593" w:type="pct"/>
            <w:vAlign w:val="center"/>
          </w:tcPr>
          <w:p w14:paraId="34E28DC2">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strike w:val="0"/>
                <w:dstrike w:val="0"/>
                <w:color w:val="auto"/>
                <w:sz w:val="21"/>
                <w:szCs w:val="21"/>
                <w:highlight w:val="none"/>
                <w:lang w:val="en-US" w:eastAsia="zh-CN"/>
              </w:rPr>
              <w:t>E</w:t>
            </w:r>
            <w:r>
              <w:rPr>
                <w:rFonts w:hint="eastAsia" w:ascii="Times New Roman" w:hAnsi="Times New Roman" w:eastAsia="宋体"/>
                <w:strike w:val="0"/>
                <w:dstrike w:val="0"/>
                <w:color w:val="auto"/>
                <w:sz w:val="21"/>
                <w:szCs w:val="21"/>
                <w:highlight w:val="none"/>
                <w:lang w:val="en-US" w:eastAsia="zh-CN"/>
              </w:rPr>
              <w:t>:90</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41</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11.13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N</w:t>
            </w:r>
            <w:r>
              <w:rPr>
                <w:rFonts w:hint="eastAsia"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eastAsia="zh-CN"/>
              </w:rPr>
              <w:t>4</w:t>
            </w:r>
            <w:r>
              <w:rPr>
                <w:rFonts w:hint="eastAsia" w:ascii="Times New Roman" w:hAnsi="Times New Roman" w:eastAsia="宋体"/>
                <w:strike w:val="0"/>
                <w:dstrike w:val="0"/>
                <w:color w:val="auto"/>
                <w:sz w:val="21"/>
                <w:szCs w:val="21"/>
                <w:highlight w:val="none"/>
                <w:lang w:val="en-US" w:eastAsia="zh-CN"/>
              </w:rPr>
              <w:t>3</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44</w:t>
            </w:r>
            <w:r>
              <w:rPr>
                <w:rFonts w:hint="default" w:ascii="Times New Roman" w:hAnsi="Times New Roman" w:eastAsia="宋体"/>
                <w:strike w:val="0"/>
                <w:dstrike w:val="0"/>
                <w:color w:val="auto"/>
                <w:sz w:val="21"/>
                <w:szCs w:val="21"/>
                <w:highlight w:val="none"/>
                <w:lang w:val="en-US" w:eastAsia="zh-CN"/>
              </w:rPr>
              <w:t>′</w:t>
            </w:r>
            <w:r>
              <w:rPr>
                <w:rFonts w:hint="eastAsia" w:ascii="Times New Roman" w:hAnsi="Times New Roman" w:eastAsia="宋体"/>
                <w:strike w:val="0"/>
                <w:dstrike w:val="0"/>
                <w:color w:val="auto"/>
                <w:sz w:val="21"/>
                <w:szCs w:val="21"/>
                <w:highlight w:val="none"/>
                <w:lang w:val="en-US" w:eastAsia="zh-CN"/>
              </w:rPr>
              <w:t>15.52</w:t>
            </w:r>
            <w:r>
              <w:rPr>
                <w:rFonts w:hint="default" w:ascii="Times New Roman" w:hAnsi="Times New Roman" w:eastAsia="宋体"/>
                <w:strike w:val="0"/>
                <w:dstrike w:val="0"/>
                <w:color w:val="auto"/>
                <w:sz w:val="21"/>
                <w:szCs w:val="21"/>
                <w:highlight w:val="none"/>
                <w:lang w:val="en-US" w:eastAsia="zh-CN"/>
              </w:rPr>
              <w:t>″</w:t>
            </w:r>
          </w:p>
        </w:tc>
      </w:tr>
    </w:tbl>
    <w:p w14:paraId="4E058F15">
      <w:pPr>
        <w:keepNext/>
        <w:keepLines/>
        <w:pageBreakBefore w:val="0"/>
        <w:widowControl w:val="0"/>
        <w:kinsoku/>
        <w:wordWrap/>
        <w:overflowPunct/>
        <w:topLinePunct w:val="0"/>
        <w:autoSpaceDE/>
        <w:autoSpaceDN/>
        <w:bidi w:val="0"/>
        <w:adjustRightInd/>
        <w:snapToGrid/>
        <w:spacing w:line="240" w:lineRule="auto"/>
        <w:ind w:firstLine="0" w:firstLineChars="0"/>
        <w:textAlignment w:val="auto"/>
        <w:outlineLvl w:val="9"/>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drawing>
          <wp:inline distT="0" distB="0" distL="114300" distR="114300">
            <wp:extent cx="5269230" cy="4150995"/>
            <wp:effectExtent l="0" t="0" r="7620" b="1905"/>
            <wp:docPr id="78" name="图片 78" descr="1607e5605096d91204f14c9dfedaff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1607e5605096d91204f14c9dfedaff23"/>
                    <pic:cNvPicPr>
                      <a:picLocks noChangeAspect="1"/>
                    </pic:cNvPicPr>
                  </pic:nvPicPr>
                  <pic:blipFill>
                    <a:blip r:embed="rId36"/>
                    <a:stretch>
                      <a:fillRect/>
                    </a:stretch>
                  </pic:blipFill>
                  <pic:spPr>
                    <a:xfrm>
                      <a:off x="0" y="0"/>
                      <a:ext cx="5269230" cy="4150995"/>
                    </a:xfrm>
                    <a:prstGeom prst="rect">
                      <a:avLst/>
                    </a:prstGeom>
                  </pic:spPr>
                </pic:pic>
              </a:graphicData>
            </a:graphic>
          </wp:inline>
        </w:drawing>
      </w:r>
    </w:p>
    <w:p w14:paraId="5F221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图4.2-1 木垒县2021年地下水位埋深数据</w:t>
      </w:r>
    </w:p>
    <w:p w14:paraId="0039A300">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4.2.3.2监测项目及分析方法</w:t>
      </w:r>
    </w:p>
    <w:p w14:paraId="30CF37D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监测项目：pH、耗氧量、溶解性总固体、挥发性酚类、阴离子表面活性剂、氯化物、硫化物、石油类、汞、镉、砷、六价铬、铅、总大肠菌群、菌落总数</w:t>
      </w:r>
      <w:r>
        <w:rPr>
          <w:rFonts w:hint="eastAsia" w:ascii="Times New Roman" w:hAnsi="Times New Roman" w:eastAsia="宋体"/>
          <w:strike w:val="0"/>
          <w:dstrike w:val="0"/>
          <w:color w:val="auto"/>
          <w:highlight w:val="none"/>
          <w:lang w:eastAsia="zh-CN"/>
        </w:rPr>
        <w:t>。</w:t>
      </w:r>
    </w:p>
    <w:p w14:paraId="228E516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本次环评水质现状监测、采样及分析方法按《地下水环境监测技术规范》（HJ/T164-2004）、《环境水质监测质量保证手册》及《水和废水监测分析方法》有关规定和要求执行</w:t>
      </w:r>
      <w:r>
        <w:rPr>
          <w:rFonts w:hint="eastAsia" w:ascii="Times New Roman" w:hAnsi="Times New Roman" w:eastAsia="宋体"/>
          <w:strike w:val="0"/>
          <w:dstrike w:val="0"/>
          <w:color w:val="auto"/>
          <w:highlight w:val="none"/>
          <w:lang w:eastAsia="zh-CN"/>
        </w:rPr>
        <w:t>。</w:t>
      </w:r>
    </w:p>
    <w:p w14:paraId="4BD7235B">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4.2.3.3评价标准及方法</w:t>
      </w:r>
    </w:p>
    <w:p w14:paraId="0109444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w:t>
      </w:r>
      <w:r>
        <w:rPr>
          <w:rFonts w:ascii="Times New Roman" w:hAnsi="Times New Roman" w:eastAsia="宋体"/>
          <w:strike w:val="0"/>
          <w:dstrike w:val="0"/>
          <w:color w:val="auto"/>
          <w:highlight w:val="none"/>
        </w:rPr>
        <w:t>评价标准</w:t>
      </w:r>
    </w:p>
    <w:p w14:paraId="6147CBF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采用《地下水质量标准》（GB</w:t>
      </w:r>
      <w:r>
        <w:rPr>
          <w:rFonts w:hint="eastAsia" w:ascii="Times New Roman" w:hAnsi="Times New Roman" w:eastAsia="宋体"/>
          <w:strike w:val="0"/>
          <w:dstrike w:val="0"/>
          <w:color w:val="auto"/>
          <w:highlight w:val="none"/>
        </w:rPr>
        <w:t>/</w:t>
      </w:r>
      <w:r>
        <w:rPr>
          <w:rFonts w:ascii="Times New Roman" w:hAnsi="Times New Roman" w:eastAsia="宋体"/>
          <w:strike w:val="0"/>
          <w:dstrike w:val="0"/>
          <w:color w:val="auto"/>
          <w:highlight w:val="none"/>
        </w:rPr>
        <w:t>T14848-2017）</w:t>
      </w:r>
      <w:r>
        <w:rPr>
          <w:rFonts w:hint="eastAsia" w:ascii="Times New Roman" w:hAnsi="Times New Roman" w:eastAsia="宋体" w:cs="宋体"/>
          <w:strike w:val="0"/>
          <w:dstrike w:val="0"/>
          <w:color w:val="auto"/>
          <w:highlight w:val="none"/>
        </w:rPr>
        <w:t>Ⅲ</w:t>
      </w:r>
      <w:r>
        <w:rPr>
          <w:rFonts w:ascii="Times New Roman" w:hAnsi="Times New Roman" w:eastAsia="宋体"/>
          <w:strike w:val="0"/>
          <w:dstrike w:val="0"/>
          <w:color w:val="auto"/>
          <w:highlight w:val="none"/>
        </w:rPr>
        <w:t>类标准对各监测点位地下水水质进行评价</w:t>
      </w:r>
      <w:r>
        <w:rPr>
          <w:rFonts w:hint="eastAsia" w:ascii="Times New Roman" w:hAnsi="Times New Roman" w:eastAsia="宋体"/>
          <w:strike w:val="0"/>
          <w:dstrike w:val="0"/>
          <w:color w:val="auto"/>
          <w:highlight w:val="none"/>
          <w:lang w:eastAsia="zh-CN"/>
        </w:rPr>
        <w:t>。</w:t>
      </w:r>
    </w:p>
    <w:p w14:paraId="1CC23C8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（2）评价方法</w:t>
      </w:r>
    </w:p>
    <w:p w14:paraId="36349C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采用单项标准指数法对地下水进行评价</w:t>
      </w:r>
      <w:r>
        <w:rPr>
          <w:rFonts w:hint="eastAsia" w:ascii="Times New Roman" w:hAnsi="Times New Roman" w:eastAsia="宋体"/>
          <w:strike w:val="0"/>
          <w:dstrike w:val="0"/>
          <w:color w:val="auto"/>
          <w:highlight w:val="none"/>
          <w:lang w:eastAsia="zh-CN"/>
        </w:rPr>
        <w:t>。</w:t>
      </w:r>
    </w:p>
    <w:p w14:paraId="3C1EE267">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28" o:spt="75" type="#_x0000_t75" style="height:38.4pt;width:39.85pt;" o:ole="t" filled="f" o:preferrelative="t" stroked="f" coordsize="21600,21600">
            <v:path/>
            <v:fill on="f" focussize="0,0"/>
            <v:stroke on="f" joinstyle="miter"/>
            <v:imagedata r:id="rId38" o:title=""/>
            <o:lock v:ext="edit" aspectratio="t"/>
            <w10:wrap type="none"/>
            <w10:anchorlock/>
          </v:shape>
          <o:OLEObject Type="Embed" ProgID="Equation.AxMath" ShapeID="_x0000_i1028" DrawAspect="Content" ObjectID="_1468075728" r:id="rId37">
            <o:LockedField>false</o:LockedField>
          </o:OLEObject>
        </w:object>
      </w:r>
    </w:p>
    <w:p w14:paraId="73E1F94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——第i个水质因子的标准指数，无量纲；</w:t>
      </w:r>
    </w:p>
    <w:p w14:paraId="1A10CF51">
      <w:pPr>
        <w:ind w:firstLine="1320" w:firstLineChars="55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i</w:t>
      </w:r>
      <w:r>
        <w:rPr>
          <w:rFonts w:hint="eastAsia" w:ascii="Times New Roman" w:hAnsi="Times New Roman" w:eastAsia="宋体"/>
          <w:strike w:val="0"/>
          <w:dstrike w:val="0"/>
          <w:color w:val="auto"/>
          <w:highlight w:val="none"/>
        </w:rPr>
        <w:t>——第i个水质因子的监测浓度值，mg/L；</w:t>
      </w:r>
    </w:p>
    <w:p w14:paraId="4CADA1F4">
      <w:pPr>
        <w:ind w:firstLine="1320" w:firstLineChars="55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C</w:t>
      </w:r>
      <w:r>
        <w:rPr>
          <w:rFonts w:hint="eastAsia" w:ascii="Times New Roman" w:hAnsi="Times New Roman" w:eastAsia="宋体"/>
          <w:strike w:val="0"/>
          <w:dstrike w:val="0"/>
          <w:color w:val="auto"/>
          <w:highlight w:val="none"/>
          <w:vertAlign w:val="subscript"/>
        </w:rPr>
        <w:t>si</w:t>
      </w:r>
      <w:r>
        <w:rPr>
          <w:rFonts w:hint="eastAsia" w:ascii="Times New Roman" w:hAnsi="Times New Roman" w:eastAsia="宋体"/>
          <w:strike w:val="0"/>
          <w:dstrike w:val="0"/>
          <w:color w:val="auto"/>
          <w:highlight w:val="none"/>
        </w:rPr>
        <w:t>——第i个水质因子的标准浓度值，mg/L</w:t>
      </w:r>
      <w:r>
        <w:rPr>
          <w:rFonts w:hint="eastAsia" w:ascii="Times New Roman" w:hAnsi="Times New Roman" w:eastAsia="宋体"/>
          <w:strike w:val="0"/>
          <w:dstrike w:val="0"/>
          <w:color w:val="auto"/>
          <w:highlight w:val="none"/>
          <w:lang w:eastAsia="zh-CN"/>
        </w:rPr>
        <w:t>。</w:t>
      </w:r>
    </w:p>
    <w:p w14:paraId="60B3CE5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pH的标准指数为：</w:t>
      </w:r>
    </w:p>
    <w:p w14:paraId="1F7CEB3D">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29" o:spt="75" type="#_x0000_t75" style="height:39.85pt;width:159.35pt;" o:ole="t" filled="f" o:preferrelative="t" stroked="f" coordsize="21600,21600">
            <v:path/>
            <v:fill on="f" focussize="0,0"/>
            <v:stroke on="f" joinstyle="miter"/>
            <v:imagedata r:id="rId40" o:title=""/>
            <o:lock v:ext="edit" aspectratio="t"/>
            <w10:wrap type="none"/>
            <w10:anchorlock/>
          </v:shape>
          <o:OLEObject Type="Embed" ProgID="Equation.AxMath" ShapeID="_x0000_i1029" DrawAspect="Content" ObjectID="_1468075729" r:id="rId39">
            <o:LockedField>false</o:LockedField>
          </o:OLEObject>
        </w:object>
      </w:r>
    </w:p>
    <w:p w14:paraId="602BBB61">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30" o:spt="75" type="#_x0000_t75" style="height:38.9pt;width:156.95pt;" o:ole="t" filled="f" o:preferrelative="t" stroked="f" coordsize="21600,21600">
            <v:path/>
            <v:fill on="f" focussize="0,0"/>
            <v:stroke on="f" joinstyle="miter"/>
            <v:imagedata r:id="rId42" o:title=""/>
            <o:lock v:ext="edit" aspectratio="t"/>
            <w10:wrap type="none"/>
            <w10:anchorlock/>
          </v:shape>
          <o:OLEObject Type="Embed" ProgID="Equation.AxMath" ShapeID="_x0000_i1030" DrawAspect="Content" ObjectID="_1468075730" r:id="rId41">
            <o:LockedField>false</o:LockedField>
          </o:OLEObject>
        </w:object>
      </w:r>
    </w:p>
    <w:p w14:paraId="0BD3F3A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式中：P</w:t>
      </w:r>
      <w:r>
        <w:rPr>
          <w:rFonts w:hint="eastAsia" w:ascii="Times New Roman" w:hAnsi="Times New Roman" w:eastAsia="宋体"/>
          <w:strike w:val="0"/>
          <w:dstrike w:val="0"/>
          <w:color w:val="auto"/>
          <w:highlight w:val="none"/>
          <w:vertAlign w:val="subscript"/>
        </w:rPr>
        <w:t>pH</w:t>
      </w:r>
      <w:r>
        <w:rPr>
          <w:rFonts w:hint="eastAsia" w:ascii="Times New Roman" w:hAnsi="Times New Roman" w:eastAsia="宋体"/>
          <w:strike w:val="0"/>
          <w:dstrike w:val="0"/>
          <w:color w:val="auto"/>
          <w:highlight w:val="none"/>
        </w:rPr>
        <w:t>——pH的标准指数，无量纲；</w:t>
      </w:r>
    </w:p>
    <w:p w14:paraId="4DF2D4CB">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pH—pH监测值；</w:t>
      </w:r>
    </w:p>
    <w:p w14:paraId="49927C65">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w:t>
      </w:r>
      <w:r>
        <w:rPr>
          <w:rFonts w:hint="eastAsia" w:ascii="Times New Roman" w:hAnsi="Times New Roman" w:eastAsia="宋体"/>
          <w:strike w:val="0"/>
          <w:dstrike w:val="0"/>
          <w:color w:val="auto"/>
          <w:highlight w:val="none"/>
          <w:vertAlign w:val="subscript"/>
        </w:rPr>
        <w:t>su</w:t>
      </w:r>
      <w:r>
        <w:rPr>
          <w:rFonts w:hint="eastAsia" w:ascii="Times New Roman" w:hAnsi="Times New Roman" w:eastAsia="宋体"/>
          <w:strike w:val="0"/>
          <w:dstrike w:val="0"/>
          <w:color w:val="auto"/>
          <w:highlight w:val="none"/>
        </w:rPr>
        <w:t>——标准中pH的上限值；</w:t>
      </w:r>
    </w:p>
    <w:p w14:paraId="7C528863">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pH</w:t>
      </w:r>
      <w:r>
        <w:rPr>
          <w:rFonts w:hint="eastAsia" w:ascii="Times New Roman" w:hAnsi="Times New Roman" w:eastAsia="宋体"/>
          <w:strike w:val="0"/>
          <w:dstrike w:val="0"/>
          <w:color w:val="auto"/>
          <w:highlight w:val="none"/>
          <w:vertAlign w:val="subscript"/>
        </w:rPr>
        <w:t>sd</w:t>
      </w:r>
      <w:r>
        <w:rPr>
          <w:rFonts w:hint="eastAsia" w:ascii="Times New Roman" w:hAnsi="Times New Roman" w:eastAsia="宋体"/>
          <w:strike w:val="0"/>
          <w:dstrike w:val="0"/>
          <w:color w:val="auto"/>
          <w:highlight w:val="none"/>
        </w:rPr>
        <w:t>——标准中pH的下限值；</w:t>
      </w:r>
    </w:p>
    <w:p w14:paraId="37D8E2F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当P</w:t>
      </w:r>
      <w:r>
        <w:rPr>
          <w:rFonts w:hint="eastAsia" w:ascii="Times New Roman" w:hAnsi="Times New Roman" w:eastAsia="宋体"/>
          <w:strike w:val="0"/>
          <w:dstrike w:val="0"/>
          <w:color w:val="auto"/>
          <w:highlight w:val="none"/>
          <w:vertAlign w:val="subscript"/>
        </w:rPr>
        <w:t>pH</w:t>
      </w:r>
      <w:r>
        <w:rPr>
          <w:rFonts w:hint="eastAsia" w:ascii="Times New Roman" w:hAnsi="Times New Roman" w:eastAsia="宋体"/>
          <w:strike w:val="0"/>
          <w:dstrike w:val="0"/>
          <w:color w:val="auto"/>
          <w:highlight w:val="none"/>
        </w:rPr>
        <w:t>＞1时，表明该水质参数超过了规定的水质标准，P</w:t>
      </w:r>
      <w:r>
        <w:rPr>
          <w:rFonts w:hint="eastAsia" w:ascii="Times New Roman" w:hAnsi="Times New Roman" w:eastAsia="宋体"/>
          <w:strike w:val="0"/>
          <w:dstrike w:val="0"/>
          <w:color w:val="auto"/>
          <w:highlight w:val="none"/>
          <w:vertAlign w:val="subscript"/>
        </w:rPr>
        <w:t>pH</w:t>
      </w:r>
      <w:r>
        <w:rPr>
          <w:rFonts w:hint="eastAsia" w:ascii="Times New Roman" w:hAnsi="Times New Roman" w:eastAsia="宋体"/>
          <w:strike w:val="0"/>
          <w:dstrike w:val="0"/>
          <w:color w:val="auto"/>
          <w:highlight w:val="none"/>
        </w:rPr>
        <w:t>＜1时，说明该水质可以达到规定的水质标准</w:t>
      </w:r>
      <w:r>
        <w:rPr>
          <w:rFonts w:hint="eastAsia" w:ascii="Times New Roman" w:hAnsi="Times New Roman" w:eastAsia="宋体"/>
          <w:strike w:val="0"/>
          <w:dstrike w:val="0"/>
          <w:color w:val="auto"/>
          <w:highlight w:val="none"/>
          <w:lang w:eastAsia="zh-CN"/>
        </w:rPr>
        <w:t>。</w:t>
      </w:r>
    </w:p>
    <w:p w14:paraId="4264E9ED">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4.2.3.4评价结果</w:t>
      </w:r>
    </w:p>
    <w:p w14:paraId="394B1BE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地下水现状评价结果见表4.2-</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lang w:eastAsia="zh-CN"/>
        </w:rPr>
        <w:t>。</w:t>
      </w:r>
    </w:p>
    <w:p w14:paraId="403587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表4.2-9地下水现状评价结果</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1054"/>
        <w:gridCol w:w="1267"/>
        <w:gridCol w:w="1088"/>
        <w:gridCol w:w="1325"/>
        <w:gridCol w:w="1207"/>
        <w:gridCol w:w="1262"/>
        <w:gridCol w:w="860"/>
      </w:tblGrid>
      <w:tr w14:paraId="3D7D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 w:type="pct"/>
            <w:vMerge w:val="restart"/>
            <w:vAlign w:val="center"/>
          </w:tcPr>
          <w:p w14:paraId="20B7B3E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序号</w:t>
            </w:r>
          </w:p>
        </w:tc>
        <w:tc>
          <w:tcPr>
            <w:tcW w:w="618" w:type="pct"/>
            <w:vMerge w:val="restart"/>
            <w:vAlign w:val="center"/>
          </w:tcPr>
          <w:p w14:paraId="4B04889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检测项目</w:t>
            </w:r>
          </w:p>
        </w:tc>
        <w:tc>
          <w:tcPr>
            <w:tcW w:w="743" w:type="pct"/>
            <w:vMerge w:val="restart"/>
            <w:vAlign w:val="center"/>
          </w:tcPr>
          <w:p w14:paraId="389F408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单位</w:t>
            </w:r>
          </w:p>
        </w:tc>
        <w:tc>
          <w:tcPr>
            <w:tcW w:w="2123" w:type="pct"/>
            <w:gridSpan w:val="3"/>
            <w:vAlign w:val="center"/>
          </w:tcPr>
          <w:p w14:paraId="6FE7C2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检测结果</w:t>
            </w:r>
          </w:p>
        </w:tc>
        <w:tc>
          <w:tcPr>
            <w:tcW w:w="1244" w:type="pct"/>
            <w:gridSpan w:val="2"/>
            <w:vAlign w:val="center"/>
          </w:tcPr>
          <w:p w14:paraId="4C2D887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评价结果</w:t>
            </w:r>
          </w:p>
        </w:tc>
      </w:tr>
      <w:tr w14:paraId="5666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Merge w:val="continue"/>
            <w:vAlign w:val="center"/>
          </w:tcPr>
          <w:p w14:paraId="563ACBA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618" w:type="pct"/>
            <w:vMerge w:val="continue"/>
            <w:vAlign w:val="center"/>
          </w:tcPr>
          <w:p w14:paraId="1E125B3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743" w:type="pct"/>
            <w:vMerge w:val="continue"/>
            <w:vAlign w:val="center"/>
          </w:tcPr>
          <w:p w14:paraId="173284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638" w:type="pct"/>
            <w:vAlign w:val="center"/>
          </w:tcPr>
          <w:p w14:paraId="7275D1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1</w:t>
            </w:r>
            <w:r>
              <w:rPr>
                <w:rFonts w:ascii="Times New Roman" w:hAnsi="Times New Roman" w:eastAsia="宋体"/>
                <w:strike w:val="0"/>
                <w:dstrike w:val="0"/>
                <w:color w:val="auto"/>
                <w:kern w:val="0"/>
                <w:sz w:val="21"/>
                <w:szCs w:val="21"/>
                <w:highlight w:val="none"/>
              </w:rPr>
              <w:t>#</w:t>
            </w:r>
          </w:p>
          <w:p w14:paraId="03D828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项目区</w:t>
            </w:r>
          </w:p>
        </w:tc>
        <w:tc>
          <w:tcPr>
            <w:tcW w:w="777" w:type="pct"/>
            <w:vAlign w:val="center"/>
          </w:tcPr>
          <w:p w14:paraId="6CA67DE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2</w:t>
            </w:r>
            <w:r>
              <w:rPr>
                <w:rFonts w:ascii="Times New Roman" w:hAnsi="Times New Roman" w:eastAsia="宋体"/>
                <w:strike w:val="0"/>
                <w:dstrike w:val="0"/>
                <w:color w:val="auto"/>
                <w:kern w:val="0"/>
                <w:sz w:val="21"/>
                <w:szCs w:val="21"/>
                <w:highlight w:val="none"/>
              </w:rPr>
              <w:t>#</w:t>
            </w:r>
          </w:p>
          <w:p w14:paraId="221C795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项目区</w:t>
            </w:r>
          </w:p>
        </w:tc>
        <w:tc>
          <w:tcPr>
            <w:tcW w:w="708" w:type="pct"/>
            <w:vAlign w:val="center"/>
          </w:tcPr>
          <w:p w14:paraId="1D4066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3</w:t>
            </w:r>
            <w:r>
              <w:rPr>
                <w:rFonts w:ascii="Times New Roman" w:hAnsi="Times New Roman" w:eastAsia="宋体"/>
                <w:strike w:val="0"/>
                <w:dstrike w:val="0"/>
                <w:color w:val="auto"/>
                <w:kern w:val="0"/>
                <w:sz w:val="21"/>
                <w:szCs w:val="21"/>
                <w:highlight w:val="none"/>
              </w:rPr>
              <w:t>#</w:t>
            </w:r>
          </w:p>
          <w:p w14:paraId="0F40650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项目区</w:t>
            </w:r>
          </w:p>
        </w:tc>
        <w:tc>
          <w:tcPr>
            <w:tcW w:w="740" w:type="pct"/>
            <w:vAlign w:val="center"/>
          </w:tcPr>
          <w:p w14:paraId="4F6A55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标准限值</w:t>
            </w:r>
          </w:p>
          <w:p w14:paraId="2266E88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eastAsia="zh-CN"/>
              </w:rPr>
              <w:t>(</w:t>
            </w:r>
            <w:r>
              <w:rPr>
                <w:rFonts w:hint="eastAsia" w:ascii="Times New Roman" w:hAnsi="Times New Roman" w:eastAsia="宋体"/>
                <w:strike w:val="0"/>
                <w:dstrike w:val="0"/>
                <w:color w:val="auto"/>
                <w:kern w:val="0"/>
                <w:sz w:val="21"/>
                <w:szCs w:val="21"/>
                <w:highlight w:val="none"/>
              </w:rPr>
              <w:t>mg/L</w:t>
            </w:r>
            <w:r>
              <w:rPr>
                <w:rFonts w:hint="eastAsia" w:ascii="Times New Roman" w:hAnsi="Times New Roman" w:eastAsia="宋体"/>
                <w:strike w:val="0"/>
                <w:dstrike w:val="0"/>
                <w:color w:val="auto"/>
                <w:kern w:val="0"/>
                <w:sz w:val="21"/>
                <w:szCs w:val="21"/>
                <w:highlight w:val="none"/>
                <w:lang w:eastAsia="zh-CN"/>
              </w:rPr>
              <w:t>)</w:t>
            </w:r>
          </w:p>
        </w:tc>
        <w:tc>
          <w:tcPr>
            <w:tcW w:w="503" w:type="pct"/>
            <w:vAlign w:val="center"/>
          </w:tcPr>
          <w:p w14:paraId="303F77B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是否合格</w:t>
            </w:r>
          </w:p>
        </w:tc>
      </w:tr>
      <w:tr w14:paraId="2C35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239C01E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w:t>
            </w:r>
          </w:p>
        </w:tc>
        <w:tc>
          <w:tcPr>
            <w:tcW w:w="618" w:type="pct"/>
            <w:vAlign w:val="center"/>
          </w:tcPr>
          <w:p w14:paraId="0BFB62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pH值</w:t>
            </w:r>
          </w:p>
        </w:tc>
        <w:tc>
          <w:tcPr>
            <w:tcW w:w="743" w:type="pct"/>
            <w:vAlign w:val="center"/>
          </w:tcPr>
          <w:p w14:paraId="29CDBE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无量纲</w:t>
            </w:r>
          </w:p>
        </w:tc>
        <w:tc>
          <w:tcPr>
            <w:tcW w:w="638" w:type="pct"/>
            <w:vAlign w:val="center"/>
          </w:tcPr>
          <w:p w14:paraId="2A6C68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 xml:space="preserve"> 7.8</w:t>
            </w:r>
          </w:p>
        </w:tc>
        <w:tc>
          <w:tcPr>
            <w:tcW w:w="777" w:type="pct"/>
            <w:vAlign w:val="center"/>
          </w:tcPr>
          <w:p w14:paraId="64E56C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7.9</w:t>
            </w:r>
          </w:p>
        </w:tc>
        <w:tc>
          <w:tcPr>
            <w:tcW w:w="708" w:type="pct"/>
            <w:vAlign w:val="center"/>
          </w:tcPr>
          <w:p w14:paraId="48A409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7.6</w:t>
            </w:r>
          </w:p>
        </w:tc>
        <w:tc>
          <w:tcPr>
            <w:tcW w:w="740" w:type="pct"/>
            <w:vAlign w:val="center"/>
          </w:tcPr>
          <w:p w14:paraId="3CFC09D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6.5~8.5</w:t>
            </w:r>
          </w:p>
        </w:tc>
        <w:tc>
          <w:tcPr>
            <w:tcW w:w="503" w:type="pct"/>
            <w:vAlign w:val="center"/>
          </w:tcPr>
          <w:p w14:paraId="36645A3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7FA8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753971F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2</w:t>
            </w:r>
          </w:p>
        </w:tc>
        <w:tc>
          <w:tcPr>
            <w:tcW w:w="618" w:type="pct"/>
            <w:vAlign w:val="center"/>
          </w:tcPr>
          <w:p w14:paraId="115C0A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strike w:val="0"/>
                <w:dstrike w:val="0"/>
                <w:color w:val="auto"/>
                <w:kern w:val="2"/>
                <w:sz w:val="21"/>
                <w:szCs w:val="24"/>
                <w:highlight w:val="none"/>
                <w:lang w:val="en-US" w:eastAsia="zh-CN" w:bidi="ar-SA"/>
              </w:rPr>
              <w:t>水温</w:t>
            </w:r>
          </w:p>
        </w:tc>
        <w:tc>
          <w:tcPr>
            <w:tcW w:w="743" w:type="pct"/>
            <w:vAlign w:val="center"/>
          </w:tcPr>
          <w:p w14:paraId="18525D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w:t>
            </w:r>
          </w:p>
        </w:tc>
        <w:tc>
          <w:tcPr>
            <w:tcW w:w="638" w:type="pct"/>
            <w:vAlign w:val="center"/>
          </w:tcPr>
          <w:p w14:paraId="6ED15E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12.4</w:t>
            </w:r>
          </w:p>
        </w:tc>
        <w:tc>
          <w:tcPr>
            <w:tcW w:w="777" w:type="pct"/>
            <w:vAlign w:val="center"/>
          </w:tcPr>
          <w:p w14:paraId="7441BE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12.6</w:t>
            </w:r>
          </w:p>
        </w:tc>
        <w:tc>
          <w:tcPr>
            <w:tcW w:w="708" w:type="pct"/>
            <w:vAlign w:val="center"/>
          </w:tcPr>
          <w:p w14:paraId="1FD8B5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13.1</w:t>
            </w:r>
          </w:p>
        </w:tc>
        <w:tc>
          <w:tcPr>
            <w:tcW w:w="740" w:type="pct"/>
            <w:vAlign w:val="center"/>
          </w:tcPr>
          <w:p w14:paraId="1884762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0.002</w:t>
            </w:r>
            <w:r>
              <w:rPr>
                <w:rFonts w:ascii="Times New Roman" w:hAnsi="Times New Roman" w:eastAsia="宋体"/>
                <w:strike w:val="0"/>
                <w:dstrike w:val="0"/>
                <w:color w:val="auto"/>
                <w:kern w:val="0"/>
                <w:sz w:val="21"/>
                <w:szCs w:val="21"/>
                <w:highlight w:val="none"/>
              </w:rPr>
              <w:t>mg/L</w:t>
            </w:r>
          </w:p>
        </w:tc>
        <w:tc>
          <w:tcPr>
            <w:tcW w:w="503" w:type="pct"/>
            <w:vAlign w:val="center"/>
          </w:tcPr>
          <w:p w14:paraId="216EE2E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0931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3E82877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3</w:t>
            </w:r>
          </w:p>
        </w:tc>
        <w:tc>
          <w:tcPr>
            <w:tcW w:w="618" w:type="pct"/>
            <w:vAlign w:val="center"/>
          </w:tcPr>
          <w:p w14:paraId="274F8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溶解性总固体</w:t>
            </w:r>
          </w:p>
        </w:tc>
        <w:tc>
          <w:tcPr>
            <w:tcW w:w="743" w:type="pct"/>
            <w:vAlign w:val="center"/>
          </w:tcPr>
          <w:p w14:paraId="3FFDD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7A4A9D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698</w:t>
            </w:r>
          </w:p>
        </w:tc>
        <w:tc>
          <w:tcPr>
            <w:tcW w:w="777" w:type="pct"/>
            <w:vAlign w:val="center"/>
          </w:tcPr>
          <w:p w14:paraId="151D8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883</w:t>
            </w:r>
          </w:p>
        </w:tc>
        <w:tc>
          <w:tcPr>
            <w:tcW w:w="708" w:type="pct"/>
            <w:vAlign w:val="center"/>
          </w:tcPr>
          <w:p w14:paraId="5C2270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824</w:t>
            </w:r>
          </w:p>
        </w:tc>
        <w:tc>
          <w:tcPr>
            <w:tcW w:w="740" w:type="pct"/>
            <w:vAlign w:val="center"/>
          </w:tcPr>
          <w:p w14:paraId="297A1D5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1000</w:t>
            </w:r>
            <w:r>
              <w:rPr>
                <w:rFonts w:ascii="Times New Roman" w:hAnsi="Times New Roman" w:eastAsia="宋体"/>
                <w:strike w:val="0"/>
                <w:dstrike w:val="0"/>
                <w:color w:val="auto"/>
                <w:kern w:val="0"/>
                <w:sz w:val="21"/>
                <w:szCs w:val="21"/>
                <w:highlight w:val="none"/>
              </w:rPr>
              <w:t>mg/L</w:t>
            </w:r>
          </w:p>
        </w:tc>
        <w:tc>
          <w:tcPr>
            <w:tcW w:w="503" w:type="pct"/>
            <w:vAlign w:val="center"/>
          </w:tcPr>
          <w:p w14:paraId="7F5F41F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4166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2BB030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4</w:t>
            </w:r>
          </w:p>
        </w:tc>
        <w:tc>
          <w:tcPr>
            <w:tcW w:w="618" w:type="pct"/>
            <w:vAlign w:val="center"/>
          </w:tcPr>
          <w:p w14:paraId="5AFE4E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高锰酸盐指数</w:t>
            </w:r>
          </w:p>
        </w:tc>
        <w:tc>
          <w:tcPr>
            <w:tcW w:w="743" w:type="pct"/>
            <w:vAlign w:val="center"/>
          </w:tcPr>
          <w:p w14:paraId="2D165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566EBD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0.74</w:t>
            </w:r>
          </w:p>
        </w:tc>
        <w:tc>
          <w:tcPr>
            <w:tcW w:w="777" w:type="pct"/>
            <w:vAlign w:val="center"/>
          </w:tcPr>
          <w:p w14:paraId="4A4D3A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0.82</w:t>
            </w:r>
          </w:p>
        </w:tc>
        <w:tc>
          <w:tcPr>
            <w:tcW w:w="708" w:type="pct"/>
            <w:vAlign w:val="center"/>
          </w:tcPr>
          <w:p w14:paraId="3B0A78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0.72</w:t>
            </w:r>
          </w:p>
        </w:tc>
        <w:tc>
          <w:tcPr>
            <w:tcW w:w="740" w:type="pct"/>
            <w:vAlign w:val="center"/>
          </w:tcPr>
          <w:p w14:paraId="1360280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3</w:t>
            </w:r>
            <w:r>
              <w:rPr>
                <w:rFonts w:ascii="Times New Roman" w:hAnsi="Times New Roman" w:eastAsia="宋体"/>
                <w:strike w:val="0"/>
                <w:dstrike w:val="0"/>
                <w:color w:val="auto"/>
                <w:kern w:val="0"/>
                <w:sz w:val="21"/>
                <w:szCs w:val="21"/>
                <w:highlight w:val="none"/>
              </w:rPr>
              <w:t>mg/L</w:t>
            </w:r>
          </w:p>
        </w:tc>
        <w:tc>
          <w:tcPr>
            <w:tcW w:w="503" w:type="pct"/>
            <w:vAlign w:val="center"/>
          </w:tcPr>
          <w:p w14:paraId="52D7329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0703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438CE68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5</w:t>
            </w:r>
          </w:p>
        </w:tc>
        <w:tc>
          <w:tcPr>
            <w:tcW w:w="618" w:type="pct"/>
            <w:vAlign w:val="center"/>
          </w:tcPr>
          <w:p w14:paraId="1FC5A3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挥发酚</w:t>
            </w:r>
          </w:p>
        </w:tc>
        <w:tc>
          <w:tcPr>
            <w:tcW w:w="743" w:type="pct"/>
            <w:vAlign w:val="center"/>
          </w:tcPr>
          <w:p w14:paraId="73A4FC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6048B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&lt;0.0003</w:t>
            </w:r>
          </w:p>
        </w:tc>
        <w:tc>
          <w:tcPr>
            <w:tcW w:w="777" w:type="pct"/>
            <w:vAlign w:val="center"/>
          </w:tcPr>
          <w:p w14:paraId="31E925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&lt;0.0003</w:t>
            </w:r>
          </w:p>
        </w:tc>
        <w:tc>
          <w:tcPr>
            <w:tcW w:w="708" w:type="pct"/>
            <w:vAlign w:val="center"/>
          </w:tcPr>
          <w:p w14:paraId="60EE1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&lt;0.0003</w:t>
            </w:r>
          </w:p>
        </w:tc>
        <w:tc>
          <w:tcPr>
            <w:tcW w:w="740" w:type="pct"/>
            <w:vAlign w:val="center"/>
          </w:tcPr>
          <w:p w14:paraId="1E3CE35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0.00</w:t>
            </w:r>
            <w:r>
              <w:rPr>
                <w:rFonts w:hint="eastAsia" w:ascii="Times New Roman" w:hAnsi="Times New Roman" w:eastAsia="宋体" w:cs="Times New Roman"/>
                <w:strike w:val="0"/>
                <w:dstrike w:val="0"/>
                <w:color w:val="auto"/>
                <w:kern w:val="0"/>
                <w:sz w:val="21"/>
                <w:szCs w:val="21"/>
                <w:highlight w:val="none"/>
                <w:lang w:val="en-US" w:eastAsia="zh-CN"/>
              </w:rPr>
              <w:t>2</w:t>
            </w:r>
            <w:r>
              <w:rPr>
                <w:rFonts w:ascii="Times New Roman" w:hAnsi="Times New Roman" w:eastAsia="宋体"/>
                <w:strike w:val="0"/>
                <w:dstrike w:val="0"/>
                <w:color w:val="auto"/>
                <w:kern w:val="0"/>
                <w:sz w:val="21"/>
                <w:szCs w:val="21"/>
                <w:highlight w:val="none"/>
              </w:rPr>
              <w:t>mg/L</w:t>
            </w:r>
          </w:p>
        </w:tc>
        <w:tc>
          <w:tcPr>
            <w:tcW w:w="503" w:type="pct"/>
            <w:vAlign w:val="center"/>
          </w:tcPr>
          <w:p w14:paraId="6882D7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6EE3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6D4FA97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6</w:t>
            </w:r>
          </w:p>
        </w:tc>
        <w:tc>
          <w:tcPr>
            <w:tcW w:w="618" w:type="pct"/>
            <w:vAlign w:val="center"/>
          </w:tcPr>
          <w:p w14:paraId="5C3F8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阴离子合成洗涤剂</w:t>
            </w:r>
          </w:p>
        </w:tc>
        <w:tc>
          <w:tcPr>
            <w:tcW w:w="743" w:type="pct"/>
            <w:vAlign w:val="center"/>
          </w:tcPr>
          <w:p w14:paraId="7AA39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21A557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&lt;0.05</w:t>
            </w:r>
          </w:p>
        </w:tc>
        <w:tc>
          <w:tcPr>
            <w:tcW w:w="777" w:type="pct"/>
            <w:vAlign w:val="center"/>
          </w:tcPr>
          <w:p w14:paraId="2DBE51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&lt;0.05</w:t>
            </w:r>
          </w:p>
        </w:tc>
        <w:tc>
          <w:tcPr>
            <w:tcW w:w="708" w:type="pct"/>
            <w:vAlign w:val="center"/>
          </w:tcPr>
          <w:p w14:paraId="499239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&lt;0.05</w:t>
            </w:r>
          </w:p>
        </w:tc>
        <w:tc>
          <w:tcPr>
            <w:tcW w:w="740" w:type="pct"/>
            <w:vAlign w:val="center"/>
          </w:tcPr>
          <w:p w14:paraId="78E9A7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w:t>
            </w:r>
            <w:r>
              <w:rPr>
                <w:rFonts w:hint="eastAsia" w:ascii="Times New Roman" w:hAnsi="Times New Roman" w:eastAsia="宋体" w:cs="Times New Roman"/>
                <w:strike w:val="0"/>
                <w:dstrike w:val="0"/>
                <w:color w:val="auto"/>
                <w:kern w:val="0"/>
                <w:sz w:val="21"/>
                <w:szCs w:val="21"/>
                <w:highlight w:val="none"/>
                <w:lang w:val="en-US" w:eastAsia="zh-CN"/>
              </w:rPr>
              <w:t>3</w:t>
            </w:r>
            <w:r>
              <w:rPr>
                <w:rFonts w:ascii="Times New Roman" w:hAnsi="Times New Roman" w:eastAsia="宋体"/>
                <w:strike w:val="0"/>
                <w:dstrike w:val="0"/>
                <w:color w:val="auto"/>
                <w:kern w:val="0"/>
                <w:sz w:val="21"/>
                <w:szCs w:val="21"/>
                <w:highlight w:val="none"/>
              </w:rPr>
              <w:t>mg/L</w:t>
            </w:r>
          </w:p>
        </w:tc>
        <w:tc>
          <w:tcPr>
            <w:tcW w:w="503" w:type="pct"/>
            <w:vAlign w:val="center"/>
          </w:tcPr>
          <w:p w14:paraId="2C0552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798E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1C6060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7</w:t>
            </w:r>
          </w:p>
        </w:tc>
        <w:tc>
          <w:tcPr>
            <w:tcW w:w="618" w:type="pct"/>
            <w:vAlign w:val="center"/>
          </w:tcPr>
          <w:p w14:paraId="26BC3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氯化物</w:t>
            </w:r>
          </w:p>
        </w:tc>
        <w:tc>
          <w:tcPr>
            <w:tcW w:w="743" w:type="pct"/>
            <w:vAlign w:val="center"/>
          </w:tcPr>
          <w:p w14:paraId="26F78B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4AE3FA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61</w:t>
            </w:r>
          </w:p>
        </w:tc>
        <w:tc>
          <w:tcPr>
            <w:tcW w:w="777" w:type="pct"/>
            <w:vAlign w:val="center"/>
          </w:tcPr>
          <w:p w14:paraId="64FA2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59</w:t>
            </w:r>
          </w:p>
        </w:tc>
        <w:tc>
          <w:tcPr>
            <w:tcW w:w="708" w:type="pct"/>
            <w:vAlign w:val="center"/>
          </w:tcPr>
          <w:p w14:paraId="4715C3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58</w:t>
            </w:r>
          </w:p>
        </w:tc>
        <w:tc>
          <w:tcPr>
            <w:tcW w:w="740" w:type="pct"/>
            <w:vAlign w:val="center"/>
          </w:tcPr>
          <w:p w14:paraId="7892BF6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250</w:t>
            </w:r>
            <w:r>
              <w:rPr>
                <w:rFonts w:ascii="Times New Roman" w:hAnsi="Times New Roman" w:eastAsia="宋体"/>
                <w:strike w:val="0"/>
                <w:dstrike w:val="0"/>
                <w:color w:val="auto"/>
                <w:kern w:val="0"/>
                <w:sz w:val="21"/>
                <w:szCs w:val="21"/>
                <w:highlight w:val="none"/>
              </w:rPr>
              <w:t>mg/L</w:t>
            </w:r>
          </w:p>
        </w:tc>
        <w:tc>
          <w:tcPr>
            <w:tcW w:w="503" w:type="pct"/>
            <w:vAlign w:val="center"/>
          </w:tcPr>
          <w:p w14:paraId="075D4D0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6EDB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19C94F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8</w:t>
            </w:r>
          </w:p>
        </w:tc>
        <w:tc>
          <w:tcPr>
            <w:tcW w:w="618" w:type="pct"/>
            <w:vAlign w:val="center"/>
          </w:tcPr>
          <w:p w14:paraId="5A59C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硫化物</w:t>
            </w:r>
          </w:p>
        </w:tc>
        <w:tc>
          <w:tcPr>
            <w:tcW w:w="743" w:type="pct"/>
            <w:vAlign w:val="center"/>
          </w:tcPr>
          <w:p w14:paraId="6569FA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58A7A7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&lt;0.003</w:t>
            </w:r>
          </w:p>
        </w:tc>
        <w:tc>
          <w:tcPr>
            <w:tcW w:w="777" w:type="pct"/>
            <w:vAlign w:val="center"/>
          </w:tcPr>
          <w:p w14:paraId="079602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&lt;0.003</w:t>
            </w:r>
          </w:p>
        </w:tc>
        <w:tc>
          <w:tcPr>
            <w:tcW w:w="708" w:type="pct"/>
            <w:vAlign w:val="center"/>
          </w:tcPr>
          <w:p w14:paraId="3A4FC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&lt;0.003</w:t>
            </w:r>
          </w:p>
        </w:tc>
        <w:tc>
          <w:tcPr>
            <w:tcW w:w="740" w:type="pct"/>
            <w:vAlign w:val="center"/>
          </w:tcPr>
          <w:p w14:paraId="0A4604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0.02</w:t>
            </w:r>
            <w:r>
              <w:rPr>
                <w:rFonts w:ascii="Times New Roman" w:hAnsi="Times New Roman" w:eastAsia="宋体"/>
                <w:strike w:val="0"/>
                <w:dstrike w:val="0"/>
                <w:color w:val="auto"/>
                <w:kern w:val="0"/>
                <w:sz w:val="21"/>
                <w:szCs w:val="21"/>
                <w:highlight w:val="none"/>
              </w:rPr>
              <w:t>mg/L</w:t>
            </w:r>
          </w:p>
        </w:tc>
        <w:tc>
          <w:tcPr>
            <w:tcW w:w="503" w:type="pct"/>
            <w:vAlign w:val="center"/>
          </w:tcPr>
          <w:p w14:paraId="25E36C1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3E0C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10E8E4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9</w:t>
            </w:r>
          </w:p>
        </w:tc>
        <w:tc>
          <w:tcPr>
            <w:tcW w:w="618" w:type="pct"/>
            <w:vAlign w:val="center"/>
          </w:tcPr>
          <w:p w14:paraId="3CA6B8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汞</w:t>
            </w:r>
          </w:p>
        </w:tc>
        <w:tc>
          <w:tcPr>
            <w:tcW w:w="743" w:type="pct"/>
            <w:vAlign w:val="center"/>
          </w:tcPr>
          <w:p w14:paraId="0E849E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2DE4E5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&lt;0.04</w:t>
            </w:r>
          </w:p>
        </w:tc>
        <w:tc>
          <w:tcPr>
            <w:tcW w:w="777" w:type="pct"/>
            <w:vAlign w:val="center"/>
          </w:tcPr>
          <w:p w14:paraId="6D360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&lt;0.04</w:t>
            </w:r>
          </w:p>
        </w:tc>
        <w:tc>
          <w:tcPr>
            <w:tcW w:w="708" w:type="pct"/>
            <w:vAlign w:val="center"/>
          </w:tcPr>
          <w:p w14:paraId="585D7B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&lt;0.04</w:t>
            </w:r>
          </w:p>
        </w:tc>
        <w:tc>
          <w:tcPr>
            <w:tcW w:w="740" w:type="pct"/>
            <w:vAlign w:val="center"/>
          </w:tcPr>
          <w:p w14:paraId="2D4CED3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0.001</w:t>
            </w:r>
            <w:r>
              <w:rPr>
                <w:rFonts w:ascii="Times New Roman" w:hAnsi="Times New Roman" w:eastAsia="宋体"/>
                <w:strike w:val="0"/>
                <w:dstrike w:val="0"/>
                <w:color w:val="auto"/>
                <w:kern w:val="0"/>
                <w:sz w:val="21"/>
                <w:szCs w:val="21"/>
                <w:highlight w:val="none"/>
              </w:rPr>
              <w:t>mg/L</w:t>
            </w:r>
          </w:p>
        </w:tc>
        <w:tc>
          <w:tcPr>
            <w:tcW w:w="503" w:type="pct"/>
            <w:vAlign w:val="center"/>
          </w:tcPr>
          <w:p w14:paraId="31CCF15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52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9" w:type="pct"/>
            <w:vAlign w:val="center"/>
          </w:tcPr>
          <w:p w14:paraId="49E13CF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10</w:t>
            </w:r>
          </w:p>
        </w:tc>
        <w:tc>
          <w:tcPr>
            <w:tcW w:w="618" w:type="pct"/>
            <w:vAlign w:val="center"/>
          </w:tcPr>
          <w:p w14:paraId="0601E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砷</w:t>
            </w:r>
          </w:p>
        </w:tc>
        <w:tc>
          <w:tcPr>
            <w:tcW w:w="743" w:type="pct"/>
            <w:vAlign w:val="center"/>
          </w:tcPr>
          <w:p w14:paraId="707661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2F95F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0.4</w:t>
            </w:r>
          </w:p>
        </w:tc>
        <w:tc>
          <w:tcPr>
            <w:tcW w:w="777" w:type="pct"/>
            <w:vAlign w:val="center"/>
          </w:tcPr>
          <w:p w14:paraId="5C6A94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0.6</w:t>
            </w:r>
          </w:p>
        </w:tc>
        <w:tc>
          <w:tcPr>
            <w:tcW w:w="708" w:type="pct"/>
            <w:vAlign w:val="center"/>
          </w:tcPr>
          <w:p w14:paraId="10780D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0.5</w:t>
            </w:r>
          </w:p>
        </w:tc>
        <w:tc>
          <w:tcPr>
            <w:tcW w:w="740" w:type="pct"/>
            <w:vAlign w:val="center"/>
          </w:tcPr>
          <w:p w14:paraId="2773EA7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1.00</w:t>
            </w:r>
            <w:r>
              <w:rPr>
                <w:rFonts w:ascii="Times New Roman" w:hAnsi="Times New Roman" w:eastAsia="宋体"/>
                <w:strike w:val="0"/>
                <w:dstrike w:val="0"/>
                <w:color w:val="auto"/>
                <w:kern w:val="0"/>
                <w:sz w:val="21"/>
                <w:szCs w:val="21"/>
                <w:highlight w:val="none"/>
              </w:rPr>
              <w:t>mg/L</w:t>
            </w:r>
          </w:p>
        </w:tc>
        <w:tc>
          <w:tcPr>
            <w:tcW w:w="503" w:type="pct"/>
            <w:vAlign w:val="center"/>
          </w:tcPr>
          <w:p w14:paraId="53686A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37CB2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227A46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11</w:t>
            </w:r>
          </w:p>
        </w:tc>
        <w:tc>
          <w:tcPr>
            <w:tcW w:w="618" w:type="pct"/>
            <w:vAlign w:val="center"/>
          </w:tcPr>
          <w:p w14:paraId="4B717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镉</w:t>
            </w:r>
          </w:p>
        </w:tc>
        <w:tc>
          <w:tcPr>
            <w:tcW w:w="743" w:type="pct"/>
            <w:vAlign w:val="center"/>
          </w:tcPr>
          <w:p w14:paraId="1ACE9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300F56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&lt;0.5</w:t>
            </w:r>
          </w:p>
        </w:tc>
        <w:tc>
          <w:tcPr>
            <w:tcW w:w="777" w:type="pct"/>
            <w:vAlign w:val="center"/>
          </w:tcPr>
          <w:p w14:paraId="1B6D86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&lt;0.5</w:t>
            </w:r>
          </w:p>
        </w:tc>
        <w:tc>
          <w:tcPr>
            <w:tcW w:w="708" w:type="pct"/>
            <w:vAlign w:val="center"/>
          </w:tcPr>
          <w:p w14:paraId="591E51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&lt;0.5</w:t>
            </w:r>
          </w:p>
        </w:tc>
        <w:tc>
          <w:tcPr>
            <w:tcW w:w="740" w:type="pct"/>
            <w:vAlign w:val="center"/>
          </w:tcPr>
          <w:p w14:paraId="25E82D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w:t>
            </w:r>
            <w:r>
              <w:rPr>
                <w:rFonts w:hint="eastAsia" w:ascii="Times New Roman" w:hAnsi="Times New Roman" w:eastAsia="宋体" w:cs="Times New Roman"/>
                <w:strike w:val="0"/>
                <w:dstrike w:val="0"/>
                <w:color w:val="auto"/>
                <w:kern w:val="0"/>
                <w:sz w:val="21"/>
                <w:szCs w:val="21"/>
                <w:highlight w:val="none"/>
                <w:lang w:val="en-US" w:eastAsia="zh-CN"/>
              </w:rPr>
              <w:t>1</w:t>
            </w:r>
            <w:r>
              <w:rPr>
                <w:rFonts w:ascii="Times New Roman" w:hAnsi="Times New Roman" w:eastAsia="宋体"/>
                <w:strike w:val="0"/>
                <w:dstrike w:val="0"/>
                <w:color w:val="auto"/>
                <w:kern w:val="0"/>
                <w:sz w:val="21"/>
                <w:szCs w:val="21"/>
                <w:highlight w:val="none"/>
              </w:rPr>
              <w:t>mg/L</w:t>
            </w:r>
          </w:p>
        </w:tc>
        <w:tc>
          <w:tcPr>
            <w:tcW w:w="503" w:type="pct"/>
            <w:vAlign w:val="center"/>
          </w:tcPr>
          <w:p w14:paraId="7BE2F7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1562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6E4035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12</w:t>
            </w:r>
          </w:p>
        </w:tc>
        <w:tc>
          <w:tcPr>
            <w:tcW w:w="618" w:type="pct"/>
            <w:vAlign w:val="center"/>
          </w:tcPr>
          <w:p w14:paraId="3ED36C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铅</w:t>
            </w:r>
          </w:p>
        </w:tc>
        <w:tc>
          <w:tcPr>
            <w:tcW w:w="743" w:type="pct"/>
            <w:vAlign w:val="center"/>
          </w:tcPr>
          <w:p w14:paraId="7591E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μg/L</w:t>
            </w:r>
          </w:p>
        </w:tc>
        <w:tc>
          <w:tcPr>
            <w:tcW w:w="638" w:type="pct"/>
            <w:vAlign w:val="center"/>
          </w:tcPr>
          <w:p w14:paraId="6CD13C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&lt;2.5</w:t>
            </w:r>
          </w:p>
        </w:tc>
        <w:tc>
          <w:tcPr>
            <w:tcW w:w="777" w:type="pct"/>
            <w:vAlign w:val="center"/>
          </w:tcPr>
          <w:p w14:paraId="46258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&lt;2.5</w:t>
            </w:r>
          </w:p>
        </w:tc>
        <w:tc>
          <w:tcPr>
            <w:tcW w:w="708" w:type="pct"/>
            <w:vAlign w:val="center"/>
          </w:tcPr>
          <w:p w14:paraId="7016D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&lt;2.5</w:t>
            </w:r>
          </w:p>
        </w:tc>
        <w:tc>
          <w:tcPr>
            <w:tcW w:w="740" w:type="pct"/>
            <w:vAlign w:val="center"/>
          </w:tcPr>
          <w:p w14:paraId="74F8603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0.01</w:t>
            </w:r>
            <w:r>
              <w:rPr>
                <w:rFonts w:ascii="Times New Roman" w:hAnsi="Times New Roman" w:eastAsia="宋体"/>
                <w:strike w:val="0"/>
                <w:dstrike w:val="0"/>
                <w:color w:val="auto"/>
                <w:kern w:val="0"/>
                <w:sz w:val="21"/>
                <w:szCs w:val="21"/>
                <w:highlight w:val="none"/>
              </w:rPr>
              <w:t>mg/L</w:t>
            </w:r>
          </w:p>
        </w:tc>
        <w:tc>
          <w:tcPr>
            <w:tcW w:w="503" w:type="pct"/>
            <w:vAlign w:val="center"/>
          </w:tcPr>
          <w:p w14:paraId="4FD6704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1D88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10B880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13</w:t>
            </w:r>
          </w:p>
        </w:tc>
        <w:tc>
          <w:tcPr>
            <w:tcW w:w="618" w:type="pct"/>
            <w:vAlign w:val="center"/>
          </w:tcPr>
          <w:p w14:paraId="5245CC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cs="Times New Roman"/>
                <w:bCs/>
                <w:strike w:val="0"/>
                <w:dstrike w:val="0"/>
                <w:color w:val="auto"/>
                <w:kern w:val="2"/>
                <w:sz w:val="21"/>
                <w:szCs w:val="21"/>
                <w:highlight w:val="none"/>
                <w:lang w:val="en-US" w:eastAsia="zh-CN" w:bidi="ar-SA"/>
              </w:rPr>
              <w:t>六价铬</w:t>
            </w:r>
          </w:p>
        </w:tc>
        <w:tc>
          <w:tcPr>
            <w:tcW w:w="743" w:type="pct"/>
            <w:vAlign w:val="center"/>
          </w:tcPr>
          <w:p w14:paraId="2E957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default" w:ascii="Times New Roman" w:hAnsi="Times New Roman" w:eastAsia="宋体" w:cs="Times New Roman"/>
                <w:strike w:val="0"/>
                <w:dstrike w:val="0"/>
                <w:color w:val="auto"/>
                <w:kern w:val="2"/>
                <w:sz w:val="21"/>
                <w:szCs w:val="21"/>
                <w:lang w:val="en-US" w:eastAsia="zh-CN" w:bidi="ar-SA"/>
              </w:rPr>
              <w:t>mg/L</w:t>
            </w:r>
          </w:p>
        </w:tc>
        <w:tc>
          <w:tcPr>
            <w:tcW w:w="638" w:type="pct"/>
            <w:vAlign w:val="center"/>
          </w:tcPr>
          <w:p w14:paraId="29584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&lt;0.004</w:t>
            </w:r>
          </w:p>
        </w:tc>
        <w:tc>
          <w:tcPr>
            <w:tcW w:w="777" w:type="pct"/>
            <w:vAlign w:val="center"/>
          </w:tcPr>
          <w:p w14:paraId="4C0FA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&lt;0.004</w:t>
            </w:r>
          </w:p>
        </w:tc>
        <w:tc>
          <w:tcPr>
            <w:tcW w:w="708" w:type="pct"/>
            <w:vAlign w:val="center"/>
          </w:tcPr>
          <w:p w14:paraId="6B79D2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&lt;0.004</w:t>
            </w:r>
          </w:p>
        </w:tc>
        <w:tc>
          <w:tcPr>
            <w:tcW w:w="740" w:type="pct"/>
            <w:vAlign w:val="center"/>
          </w:tcPr>
          <w:p w14:paraId="07666DD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default" w:ascii="Times New Roman" w:hAnsi="Times New Roman" w:eastAsia="宋体" w:cs="Times New Roman"/>
                <w:strike w:val="0"/>
                <w:dstrike w:val="0"/>
                <w:color w:val="auto"/>
                <w:kern w:val="0"/>
                <w:sz w:val="21"/>
                <w:szCs w:val="21"/>
                <w:highlight w:val="none"/>
                <w:lang w:val="en-US" w:eastAsia="zh-CN"/>
              </w:rPr>
              <w:t>≤</w:t>
            </w:r>
            <w:r>
              <w:rPr>
                <w:rFonts w:hint="eastAsia" w:ascii="Times New Roman" w:hAnsi="Times New Roman" w:eastAsia="宋体" w:cs="Times New Roman"/>
                <w:strike w:val="0"/>
                <w:dstrike w:val="0"/>
                <w:color w:val="auto"/>
                <w:kern w:val="0"/>
                <w:sz w:val="21"/>
                <w:szCs w:val="21"/>
                <w:highlight w:val="none"/>
                <w:lang w:val="en-US" w:eastAsia="zh-CN"/>
              </w:rPr>
              <w:t>0.05</w:t>
            </w:r>
            <w:r>
              <w:rPr>
                <w:rFonts w:ascii="Times New Roman" w:hAnsi="Times New Roman" w:eastAsia="宋体"/>
                <w:strike w:val="0"/>
                <w:dstrike w:val="0"/>
                <w:color w:val="auto"/>
                <w:kern w:val="0"/>
                <w:sz w:val="21"/>
                <w:szCs w:val="21"/>
                <w:highlight w:val="none"/>
              </w:rPr>
              <w:t>mg/L</w:t>
            </w:r>
          </w:p>
        </w:tc>
        <w:tc>
          <w:tcPr>
            <w:tcW w:w="503" w:type="pct"/>
            <w:vAlign w:val="center"/>
          </w:tcPr>
          <w:p w14:paraId="32D605F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合格</w:t>
            </w:r>
          </w:p>
        </w:tc>
      </w:tr>
      <w:tr w14:paraId="2E4C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 w:type="pct"/>
            <w:vAlign w:val="center"/>
          </w:tcPr>
          <w:p w14:paraId="1CFCB89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14</w:t>
            </w:r>
          </w:p>
        </w:tc>
        <w:tc>
          <w:tcPr>
            <w:tcW w:w="618" w:type="pct"/>
            <w:vAlign w:val="center"/>
          </w:tcPr>
          <w:p w14:paraId="73864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rPr>
            </w:pPr>
            <w:r>
              <w:rPr>
                <w:rFonts w:hint="eastAsia" w:ascii="Times New Roman" w:hAnsi="Times New Roman" w:eastAsia="宋体" w:cs="Times New Roman"/>
                <w:bCs/>
                <w:strike w:val="0"/>
                <w:dstrike w:val="0"/>
                <w:color w:val="auto"/>
                <w:kern w:val="2"/>
                <w:sz w:val="21"/>
                <w:szCs w:val="21"/>
                <w:highlight w:val="none"/>
                <w:lang w:val="en-US" w:eastAsia="zh-CN" w:bidi="ar-SA"/>
              </w:rPr>
              <w:t>总大肠菌数</w:t>
            </w:r>
          </w:p>
        </w:tc>
        <w:tc>
          <w:tcPr>
            <w:tcW w:w="743" w:type="pct"/>
            <w:vAlign w:val="center"/>
          </w:tcPr>
          <w:p w14:paraId="7B9783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MPN</w:t>
            </w:r>
          </w:p>
          <w:p w14:paraId="2CE76C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/100mL</w:t>
            </w:r>
          </w:p>
        </w:tc>
        <w:tc>
          <w:tcPr>
            <w:tcW w:w="638" w:type="pct"/>
            <w:vAlign w:val="center"/>
          </w:tcPr>
          <w:p w14:paraId="02E2AC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未检出</w:t>
            </w:r>
          </w:p>
        </w:tc>
        <w:tc>
          <w:tcPr>
            <w:tcW w:w="777" w:type="pct"/>
            <w:vAlign w:val="center"/>
          </w:tcPr>
          <w:p w14:paraId="1068AE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未检出</w:t>
            </w:r>
          </w:p>
        </w:tc>
        <w:tc>
          <w:tcPr>
            <w:tcW w:w="708" w:type="pct"/>
            <w:vAlign w:val="center"/>
          </w:tcPr>
          <w:p w14:paraId="7BA125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未检出</w:t>
            </w:r>
          </w:p>
        </w:tc>
        <w:tc>
          <w:tcPr>
            <w:tcW w:w="740" w:type="pct"/>
            <w:vAlign w:val="center"/>
          </w:tcPr>
          <w:p w14:paraId="6DA82C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≤3.0</w:t>
            </w:r>
          </w:p>
        </w:tc>
        <w:tc>
          <w:tcPr>
            <w:tcW w:w="503" w:type="pct"/>
            <w:vAlign w:val="center"/>
          </w:tcPr>
          <w:p w14:paraId="2948E20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合格</w:t>
            </w:r>
          </w:p>
        </w:tc>
      </w:tr>
    </w:tbl>
    <w:p w14:paraId="00FF59F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由上表看出，各监测点均满足</w:t>
      </w:r>
      <w:r>
        <w:rPr>
          <w:rFonts w:hint="eastAsia" w:ascii="Times New Roman" w:hAnsi="Times New Roman" w:eastAsia="宋体"/>
          <w:strike w:val="0"/>
          <w:dstrike w:val="0"/>
          <w:color w:val="auto"/>
          <w:spacing w:val="-2"/>
          <w:szCs w:val="24"/>
          <w:highlight w:val="none"/>
          <w:lang w:val="zh-CN"/>
        </w:rPr>
        <w:t>《地下水质量标准》（GB/T14848-2017）中Ⅲ类标准，地下水环境质量现状良好</w:t>
      </w:r>
      <w:r>
        <w:rPr>
          <w:rFonts w:hint="eastAsia" w:ascii="Times New Roman" w:hAnsi="Times New Roman" w:eastAsia="宋体"/>
          <w:strike w:val="0"/>
          <w:dstrike w:val="0"/>
          <w:color w:val="auto"/>
          <w:spacing w:val="-2"/>
          <w:szCs w:val="24"/>
          <w:highlight w:val="none"/>
          <w:lang w:val="zh-CN"/>
        </w:rPr>
        <w:t>。</w:t>
      </w:r>
    </w:p>
    <w:p w14:paraId="47DD40FB">
      <w:pPr>
        <w:pStyle w:val="4"/>
        <w:rPr>
          <w:rFonts w:ascii="Times New Roman" w:hAnsi="Times New Roman" w:eastAsia="宋体"/>
          <w:strike w:val="0"/>
          <w:dstrike w:val="0"/>
          <w:color w:val="auto"/>
          <w:highlight w:val="none"/>
        </w:rPr>
      </w:pPr>
      <w:bookmarkStart w:id="208" w:name="_Toc106663489"/>
      <w:bookmarkStart w:id="209" w:name="_Toc3263"/>
      <w:r>
        <w:rPr>
          <w:rFonts w:hint="eastAsia" w:ascii="Times New Roman" w:hAnsi="Times New Roman" w:eastAsia="宋体"/>
          <w:strike w:val="0"/>
          <w:dstrike w:val="0"/>
          <w:color w:val="auto"/>
          <w:highlight w:val="none"/>
        </w:rPr>
        <w:t>4.2.4声环境质量现状调查与评价</w:t>
      </w:r>
      <w:bookmarkEnd w:id="208"/>
      <w:bookmarkEnd w:id="209"/>
    </w:p>
    <w:p w14:paraId="7981A11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本次声环境质量现状评价委托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对项目所在地声环境质量现状进行了监测，监测时间为</w:t>
      </w:r>
      <w:r>
        <w:rPr>
          <w:rFonts w:hint="eastAsia" w:ascii="Times New Roman" w:hAnsi="Times New Roman" w:eastAsia="宋体"/>
          <w:strike w:val="0"/>
          <w:dstrike w:val="0"/>
          <w:color w:val="auto"/>
          <w:highlight w:val="none"/>
          <w:lang w:val="en-US" w:eastAsia="zh-CN"/>
        </w:rPr>
        <w:t>2026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19</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val="en-US" w:eastAsia="zh-CN"/>
        </w:rPr>
        <w:t>-2026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20</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p>
    <w:p w14:paraId="653E786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（1）监测点位</w:t>
      </w:r>
    </w:p>
    <w:p w14:paraId="3A53231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本项目在厂址四周设置四个监测点位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监测点位示意图见附图4.2-1</w:t>
      </w:r>
      <w:r>
        <w:rPr>
          <w:rFonts w:hint="eastAsia" w:ascii="Times New Roman" w:hAnsi="Times New Roman" w:eastAsia="宋体"/>
          <w:strike w:val="0"/>
          <w:dstrike w:val="0"/>
          <w:color w:val="auto"/>
          <w:highlight w:val="none"/>
          <w:lang w:eastAsia="zh-CN"/>
        </w:rPr>
        <w:t>。</w:t>
      </w:r>
    </w:p>
    <w:p w14:paraId="299C2BE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（2）评价标准</w:t>
      </w:r>
    </w:p>
    <w:p w14:paraId="50B0949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根据《声环境质量标准》（GB3096-2008）适用区域划分规定，项目所在地区域属于</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类标准适用区，执行《声环境质量标准》（GB3096-2008）中</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类标准限值，即昼间</w:t>
      </w:r>
      <w:r>
        <w:rPr>
          <w:rFonts w:hint="eastAsia" w:ascii="Times New Roman" w:hAnsi="Times New Roman" w:eastAsia="宋体"/>
          <w:strike w:val="0"/>
          <w:dstrike w:val="0"/>
          <w:color w:val="auto"/>
          <w:highlight w:val="none"/>
          <w:lang w:val="en-US" w:eastAsia="zh-CN"/>
        </w:rPr>
        <w:t>60</w:t>
      </w:r>
      <w:r>
        <w:rPr>
          <w:rFonts w:hint="eastAsia" w:ascii="Times New Roman" w:hAnsi="Times New Roman" w:eastAsia="宋体"/>
          <w:strike w:val="0"/>
          <w:dstrike w:val="0"/>
          <w:color w:val="auto"/>
          <w:highlight w:val="none"/>
        </w:rPr>
        <w:t>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，夜间</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A</w:t>
      </w:r>
      <w:r>
        <w:rPr>
          <w:rFonts w:hint="eastAsia" w:ascii="Times New Roman" w:hAnsi="Times New Roman" w:eastAsia="宋体"/>
          <w:strike w:val="0"/>
          <w:dstrike w:val="0"/>
          <w:color w:val="auto"/>
          <w:highlight w:val="none"/>
          <w:lang w:eastAsia="zh-CN"/>
        </w:rPr>
        <w:t>）。</w:t>
      </w:r>
    </w:p>
    <w:p w14:paraId="26A6ED4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（3）监测数据及评价结果</w:t>
      </w:r>
    </w:p>
    <w:p w14:paraId="5921B4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项目区噪声监测结果见表4.2-</w:t>
      </w:r>
      <w:r>
        <w:rPr>
          <w:rFonts w:hint="eastAsia" w:ascii="Times New Roman" w:hAnsi="Times New Roman" w:eastAsia="宋体"/>
          <w:strike w:val="0"/>
          <w:dstrike w:val="0"/>
          <w:color w:val="auto"/>
          <w:highlight w:val="none"/>
          <w:lang w:val="en-US" w:eastAsia="zh-CN"/>
        </w:rPr>
        <w:t>10</w:t>
      </w:r>
      <w:r>
        <w:rPr>
          <w:rFonts w:hint="eastAsia" w:ascii="Times New Roman" w:hAnsi="Times New Roman" w:eastAsia="宋体"/>
          <w:strike w:val="0"/>
          <w:dstrike w:val="0"/>
          <w:color w:val="auto"/>
          <w:highlight w:val="none"/>
          <w:lang w:eastAsia="zh-CN"/>
        </w:rPr>
        <w:t>。</w:t>
      </w:r>
    </w:p>
    <w:p w14:paraId="4C6FA0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表4.2-10噪声监测结果单位：dB（A）</w:t>
      </w:r>
    </w:p>
    <w:tbl>
      <w:tblPr>
        <w:tblStyle w:val="39"/>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196"/>
        <w:gridCol w:w="1300"/>
        <w:gridCol w:w="1400"/>
        <w:gridCol w:w="750"/>
        <w:gridCol w:w="1113"/>
        <w:gridCol w:w="1125"/>
        <w:gridCol w:w="1155"/>
      </w:tblGrid>
      <w:tr w14:paraId="72A0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57" w:type="dxa"/>
            <w:vMerge w:val="restart"/>
            <w:noWrap w:val="0"/>
            <w:vAlign w:val="center"/>
          </w:tcPr>
          <w:p w14:paraId="2AA6A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测点编号</w:t>
            </w:r>
          </w:p>
        </w:tc>
        <w:tc>
          <w:tcPr>
            <w:tcW w:w="1196" w:type="dxa"/>
            <w:vMerge w:val="restart"/>
            <w:noWrap w:val="0"/>
            <w:vAlign w:val="center"/>
          </w:tcPr>
          <w:p w14:paraId="05E3A2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测点位置</w:t>
            </w:r>
          </w:p>
        </w:tc>
        <w:tc>
          <w:tcPr>
            <w:tcW w:w="2700" w:type="dxa"/>
            <w:gridSpan w:val="2"/>
            <w:vMerge w:val="restart"/>
            <w:noWrap w:val="0"/>
            <w:vAlign w:val="center"/>
          </w:tcPr>
          <w:p w14:paraId="52093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0"/>
                <w:szCs w:val="21"/>
              </w:rPr>
            </w:pPr>
            <w:r>
              <w:rPr>
                <w:rFonts w:hint="default" w:ascii="Times New Roman" w:hAnsi="Times New Roman" w:eastAsia="宋体" w:cs="Times New Roman"/>
                <w:strike w:val="0"/>
                <w:dstrike w:val="0"/>
                <w:color w:val="auto"/>
                <w:kern w:val="0"/>
                <w:szCs w:val="21"/>
              </w:rPr>
              <w:t>测量时间</w:t>
            </w:r>
          </w:p>
        </w:tc>
        <w:tc>
          <w:tcPr>
            <w:tcW w:w="750" w:type="dxa"/>
            <w:vMerge w:val="restart"/>
            <w:noWrap w:val="0"/>
            <w:vAlign w:val="center"/>
          </w:tcPr>
          <w:p w14:paraId="2213E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主要声源</w:t>
            </w:r>
          </w:p>
        </w:tc>
        <w:tc>
          <w:tcPr>
            <w:tcW w:w="1113" w:type="dxa"/>
            <w:vMerge w:val="restart"/>
            <w:noWrap w:val="0"/>
            <w:vAlign w:val="center"/>
          </w:tcPr>
          <w:p w14:paraId="772494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测量结果</w:t>
            </w:r>
          </w:p>
          <w:p w14:paraId="0053A0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trike w:val="0"/>
                <w:dstrike w:val="0"/>
                <w:color w:val="auto"/>
                <w:szCs w:val="21"/>
                <w:lang w:val="en-US" w:eastAsia="zh-CN"/>
              </w:rPr>
            </w:pPr>
            <w:r>
              <w:rPr>
                <w:rFonts w:hint="eastAsia" w:ascii="Times New Roman" w:hAnsi="Times New Roman" w:eastAsia="宋体"/>
                <w:strike w:val="0"/>
                <w:dstrike w:val="0"/>
                <w:color w:val="auto"/>
                <w:szCs w:val="21"/>
              </w:rPr>
              <w:t>[Leq:dB(A)]</w:t>
            </w:r>
          </w:p>
        </w:tc>
        <w:tc>
          <w:tcPr>
            <w:tcW w:w="2280" w:type="dxa"/>
            <w:gridSpan w:val="2"/>
            <w:noWrap w:val="0"/>
            <w:vAlign w:val="center"/>
          </w:tcPr>
          <w:p w14:paraId="4F710EA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strike w:val="0"/>
                <w:dstrike w:val="0"/>
                <w:color w:val="auto"/>
                <w:szCs w:val="21"/>
              </w:rPr>
            </w:pPr>
            <w:r>
              <w:rPr>
                <w:rFonts w:hint="eastAsia" w:ascii="Times New Roman" w:hAnsi="Times New Roman" w:eastAsia="宋体"/>
                <w:strike w:val="0"/>
                <w:dstrike w:val="0"/>
                <w:color w:val="auto"/>
                <w:kern w:val="0"/>
                <w:sz w:val="21"/>
                <w:szCs w:val="21"/>
                <w:highlight w:val="none"/>
              </w:rPr>
              <w:t>评价结果</w:t>
            </w:r>
          </w:p>
        </w:tc>
      </w:tr>
      <w:tr w14:paraId="3B00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57" w:type="dxa"/>
            <w:vMerge w:val="continue"/>
            <w:noWrap w:val="0"/>
            <w:vAlign w:val="center"/>
          </w:tcPr>
          <w:p w14:paraId="6B1A1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1196" w:type="dxa"/>
            <w:vMerge w:val="continue"/>
            <w:noWrap w:val="0"/>
            <w:vAlign w:val="center"/>
          </w:tcPr>
          <w:p w14:paraId="26A3A7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2700" w:type="dxa"/>
            <w:gridSpan w:val="2"/>
            <w:vMerge w:val="continue"/>
            <w:noWrap w:val="0"/>
            <w:vAlign w:val="center"/>
          </w:tcPr>
          <w:p w14:paraId="35929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750" w:type="dxa"/>
            <w:vMerge w:val="continue"/>
            <w:noWrap w:val="0"/>
            <w:vAlign w:val="center"/>
          </w:tcPr>
          <w:p w14:paraId="5E434E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1113" w:type="dxa"/>
            <w:vMerge w:val="continue"/>
            <w:noWrap w:val="0"/>
            <w:vAlign w:val="center"/>
          </w:tcPr>
          <w:p w14:paraId="1B330C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rPr>
            </w:pPr>
          </w:p>
        </w:tc>
        <w:tc>
          <w:tcPr>
            <w:tcW w:w="1125" w:type="dxa"/>
            <w:noWrap w:val="0"/>
            <w:vAlign w:val="center"/>
          </w:tcPr>
          <w:p w14:paraId="13FE6D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rPr>
            </w:pPr>
            <w:r>
              <w:rPr>
                <w:rFonts w:hint="eastAsia" w:ascii="Times New Roman" w:hAnsi="Times New Roman" w:eastAsia="宋体"/>
                <w:strike w:val="0"/>
                <w:dstrike w:val="0"/>
                <w:color w:val="auto"/>
                <w:kern w:val="0"/>
                <w:sz w:val="21"/>
                <w:szCs w:val="21"/>
                <w:highlight w:val="none"/>
              </w:rPr>
              <w:t>标准限值</w:t>
            </w:r>
          </w:p>
        </w:tc>
        <w:tc>
          <w:tcPr>
            <w:tcW w:w="1155" w:type="dxa"/>
            <w:noWrap w:val="0"/>
            <w:vAlign w:val="center"/>
          </w:tcPr>
          <w:p w14:paraId="0DADB28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strike w:val="0"/>
                <w:dstrike w:val="0"/>
                <w:color w:val="auto"/>
              </w:rPr>
            </w:pPr>
            <w:r>
              <w:rPr>
                <w:rFonts w:hint="eastAsia" w:ascii="Times New Roman" w:hAnsi="Times New Roman" w:eastAsia="宋体"/>
                <w:strike w:val="0"/>
                <w:dstrike w:val="0"/>
                <w:color w:val="auto"/>
                <w:kern w:val="0"/>
                <w:sz w:val="21"/>
                <w:szCs w:val="21"/>
                <w:highlight w:val="none"/>
              </w:rPr>
              <w:t>是否合格</w:t>
            </w:r>
          </w:p>
        </w:tc>
      </w:tr>
      <w:tr w14:paraId="5C39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142ECB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1#</w:t>
            </w:r>
          </w:p>
        </w:tc>
        <w:tc>
          <w:tcPr>
            <w:tcW w:w="1196" w:type="dxa"/>
            <w:vMerge w:val="restart"/>
            <w:noWrap w:val="0"/>
            <w:vAlign w:val="center"/>
          </w:tcPr>
          <w:p w14:paraId="602C9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厂界西侧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p>
        </w:tc>
        <w:tc>
          <w:tcPr>
            <w:tcW w:w="1300" w:type="dxa"/>
            <w:noWrap w:val="0"/>
            <w:vAlign w:val="center"/>
          </w:tcPr>
          <w:p w14:paraId="3F7E8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20F9EF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17:26-17:31</w:t>
            </w:r>
          </w:p>
        </w:tc>
        <w:tc>
          <w:tcPr>
            <w:tcW w:w="750" w:type="dxa"/>
            <w:noWrap w:val="0"/>
            <w:vAlign w:val="center"/>
          </w:tcPr>
          <w:p w14:paraId="603E8E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5AB21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49</w:t>
            </w:r>
          </w:p>
        </w:tc>
        <w:tc>
          <w:tcPr>
            <w:tcW w:w="1125" w:type="dxa"/>
            <w:noWrap w:val="0"/>
            <w:vAlign w:val="center"/>
          </w:tcPr>
          <w:p w14:paraId="34F3B3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6F200D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75C6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4D652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31335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5BB934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25651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00:01-00:06</w:t>
            </w:r>
          </w:p>
        </w:tc>
        <w:tc>
          <w:tcPr>
            <w:tcW w:w="750" w:type="dxa"/>
            <w:noWrap w:val="0"/>
            <w:vAlign w:val="center"/>
          </w:tcPr>
          <w:p w14:paraId="78D7B2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048340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42</w:t>
            </w:r>
          </w:p>
        </w:tc>
        <w:tc>
          <w:tcPr>
            <w:tcW w:w="1125" w:type="dxa"/>
            <w:noWrap w:val="0"/>
            <w:vAlign w:val="center"/>
          </w:tcPr>
          <w:p w14:paraId="2C482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469E95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6536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5991E9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rPr>
            </w:pPr>
            <w:r>
              <w:rPr>
                <w:rFonts w:hint="default" w:ascii="Times New Roman" w:hAnsi="Times New Roman" w:eastAsia="宋体" w:cs="Times New Roman"/>
                <w:strike w:val="0"/>
                <w:dstrike w:val="0"/>
                <w:color w:val="auto"/>
                <w:szCs w:val="21"/>
              </w:rPr>
              <w:t>2#</w:t>
            </w:r>
          </w:p>
        </w:tc>
        <w:tc>
          <w:tcPr>
            <w:tcW w:w="1196" w:type="dxa"/>
            <w:vMerge w:val="restart"/>
            <w:noWrap w:val="0"/>
            <w:vAlign w:val="center"/>
          </w:tcPr>
          <w:p w14:paraId="7CF338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厂界南侧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p>
        </w:tc>
        <w:tc>
          <w:tcPr>
            <w:tcW w:w="1300" w:type="dxa"/>
            <w:noWrap w:val="0"/>
            <w:vAlign w:val="center"/>
          </w:tcPr>
          <w:p w14:paraId="6CBF94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4DFA1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17:34-17:39</w:t>
            </w:r>
          </w:p>
        </w:tc>
        <w:tc>
          <w:tcPr>
            <w:tcW w:w="750" w:type="dxa"/>
            <w:noWrap w:val="0"/>
            <w:vAlign w:val="center"/>
          </w:tcPr>
          <w:p w14:paraId="7B18CA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w:t>
            </w:r>
          </w:p>
        </w:tc>
        <w:tc>
          <w:tcPr>
            <w:tcW w:w="1113" w:type="dxa"/>
            <w:noWrap w:val="0"/>
            <w:vAlign w:val="center"/>
          </w:tcPr>
          <w:p w14:paraId="39A315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25" w:type="dxa"/>
            <w:noWrap w:val="0"/>
            <w:vAlign w:val="center"/>
          </w:tcPr>
          <w:p w14:paraId="4D8C58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0E604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058A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661BA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78E039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7739FA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5C802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00:10-00:15</w:t>
            </w:r>
          </w:p>
        </w:tc>
        <w:tc>
          <w:tcPr>
            <w:tcW w:w="750" w:type="dxa"/>
            <w:noWrap w:val="0"/>
            <w:vAlign w:val="center"/>
          </w:tcPr>
          <w:p w14:paraId="75E586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516F38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43</w:t>
            </w:r>
          </w:p>
        </w:tc>
        <w:tc>
          <w:tcPr>
            <w:tcW w:w="1125" w:type="dxa"/>
            <w:noWrap w:val="0"/>
            <w:vAlign w:val="center"/>
          </w:tcPr>
          <w:p w14:paraId="40A6E9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6FDEDC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5892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5BB83C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3#</w:t>
            </w:r>
          </w:p>
        </w:tc>
        <w:tc>
          <w:tcPr>
            <w:tcW w:w="1196" w:type="dxa"/>
            <w:vMerge w:val="restart"/>
            <w:noWrap w:val="0"/>
            <w:vAlign w:val="center"/>
          </w:tcPr>
          <w:p w14:paraId="2951F6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厂界东侧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p>
        </w:tc>
        <w:tc>
          <w:tcPr>
            <w:tcW w:w="1300" w:type="dxa"/>
            <w:noWrap w:val="0"/>
            <w:vAlign w:val="center"/>
          </w:tcPr>
          <w:p w14:paraId="4B6D5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7E5DD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17:45-17:50</w:t>
            </w:r>
          </w:p>
        </w:tc>
        <w:tc>
          <w:tcPr>
            <w:tcW w:w="750" w:type="dxa"/>
            <w:noWrap w:val="0"/>
            <w:vAlign w:val="center"/>
          </w:tcPr>
          <w:p w14:paraId="3467D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w:t>
            </w:r>
          </w:p>
        </w:tc>
        <w:tc>
          <w:tcPr>
            <w:tcW w:w="1113" w:type="dxa"/>
            <w:noWrap w:val="0"/>
            <w:vAlign w:val="center"/>
          </w:tcPr>
          <w:p w14:paraId="132E8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25" w:type="dxa"/>
            <w:noWrap w:val="0"/>
            <w:vAlign w:val="center"/>
          </w:tcPr>
          <w:p w14:paraId="15B340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6476FD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1399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4CC7C9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380194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33C07C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5804D3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00:18-00:23</w:t>
            </w:r>
          </w:p>
        </w:tc>
        <w:tc>
          <w:tcPr>
            <w:tcW w:w="750" w:type="dxa"/>
            <w:noWrap w:val="0"/>
            <w:vAlign w:val="center"/>
          </w:tcPr>
          <w:p w14:paraId="1715A0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3F48B2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43</w:t>
            </w:r>
          </w:p>
        </w:tc>
        <w:tc>
          <w:tcPr>
            <w:tcW w:w="1125" w:type="dxa"/>
            <w:noWrap w:val="0"/>
            <w:vAlign w:val="center"/>
          </w:tcPr>
          <w:p w14:paraId="69398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1CF782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1EF2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restart"/>
            <w:noWrap w:val="0"/>
            <w:vAlign w:val="center"/>
          </w:tcPr>
          <w:p w14:paraId="756AF7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r>
              <w:rPr>
                <w:rFonts w:hint="default" w:ascii="Times New Roman" w:hAnsi="Times New Roman" w:eastAsia="宋体" w:cs="Times New Roman"/>
                <w:bCs/>
                <w:strike w:val="0"/>
                <w:dstrike w:val="0"/>
                <w:color w:val="auto"/>
                <w:szCs w:val="21"/>
              </w:rPr>
              <w:t>4#</w:t>
            </w:r>
          </w:p>
        </w:tc>
        <w:tc>
          <w:tcPr>
            <w:tcW w:w="1196" w:type="dxa"/>
            <w:vMerge w:val="restart"/>
            <w:noWrap w:val="0"/>
            <w:vAlign w:val="center"/>
          </w:tcPr>
          <w:p w14:paraId="7DDC5A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厂界北侧</w:t>
            </w:r>
            <w:r>
              <w:rPr>
                <w:rFonts w:hint="default" w:ascii="Times New Roman" w:hAnsi="Times New Roman" w:eastAsia="宋体" w:cs="Times New Roman"/>
                <w:strike w:val="0"/>
                <w:dstrike w:val="0"/>
                <w:color w:val="auto"/>
                <w:szCs w:val="21"/>
                <w:lang w:eastAsia="zh-CN"/>
              </w:rPr>
              <w:t>外</w:t>
            </w:r>
            <w:r>
              <w:rPr>
                <w:rFonts w:hint="eastAsia" w:ascii="Times New Roman" w:hAnsi="Times New Roman" w:eastAsia="宋体" w:cs="Times New Roman"/>
                <w:strike w:val="0"/>
                <w:dstrike w:val="0"/>
                <w:color w:val="auto"/>
                <w:szCs w:val="21"/>
                <w:lang w:val="en-US" w:eastAsia="zh-CN"/>
              </w:rPr>
              <w:t>1m处</w:t>
            </w:r>
            <w:r>
              <w:rPr>
                <w:rFonts w:hint="eastAsia" w:ascii="Times New Roman" w:hAnsi="Times New Roman" w:eastAsia="宋体" w:cs="Times New Roman"/>
                <w:strike w:val="0"/>
                <w:dstrike w:val="0"/>
                <w:color w:val="auto"/>
                <w:szCs w:val="21"/>
                <w:highlight w:val="none"/>
                <w:lang w:val="en-US" w:eastAsia="zh-CN"/>
              </w:rPr>
              <w:t>54</w:t>
            </w:r>
            <w:r>
              <w:rPr>
                <w:rFonts w:hint="default" w:ascii="Times New Roman" w:hAnsi="Times New Roman" w:eastAsia="宋体" w:cs="Times New Roman"/>
                <w:strike w:val="0"/>
                <w:dstrike w:val="0"/>
                <w:color w:val="auto"/>
                <w:szCs w:val="21"/>
                <w:highlight w:val="none"/>
                <w:lang w:val="en-US" w:eastAsia="zh-CN"/>
              </w:rPr>
              <w:t>″）</w:t>
            </w:r>
          </w:p>
        </w:tc>
        <w:tc>
          <w:tcPr>
            <w:tcW w:w="1300" w:type="dxa"/>
            <w:noWrap w:val="0"/>
            <w:vAlign w:val="center"/>
          </w:tcPr>
          <w:p w14:paraId="59F44E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2026.05.19</w:t>
            </w:r>
          </w:p>
        </w:tc>
        <w:tc>
          <w:tcPr>
            <w:tcW w:w="1400" w:type="dxa"/>
            <w:noWrap w:val="0"/>
            <w:vAlign w:val="center"/>
          </w:tcPr>
          <w:p w14:paraId="5ECCDB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17:55-18:00</w:t>
            </w:r>
          </w:p>
        </w:tc>
        <w:tc>
          <w:tcPr>
            <w:tcW w:w="750" w:type="dxa"/>
            <w:noWrap w:val="0"/>
            <w:vAlign w:val="center"/>
          </w:tcPr>
          <w:p w14:paraId="7A0F17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w:t>
            </w:r>
          </w:p>
        </w:tc>
        <w:tc>
          <w:tcPr>
            <w:tcW w:w="1113" w:type="dxa"/>
            <w:noWrap w:val="0"/>
            <w:vAlign w:val="center"/>
          </w:tcPr>
          <w:p w14:paraId="6903F5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52</w:t>
            </w:r>
          </w:p>
        </w:tc>
        <w:tc>
          <w:tcPr>
            <w:tcW w:w="1125" w:type="dxa"/>
            <w:noWrap w:val="0"/>
            <w:vAlign w:val="center"/>
          </w:tcPr>
          <w:p w14:paraId="3C0C0C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60</w:t>
            </w:r>
          </w:p>
        </w:tc>
        <w:tc>
          <w:tcPr>
            <w:tcW w:w="1155" w:type="dxa"/>
            <w:noWrap w:val="0"/>
            <w:vAlign w:val="center"/>
          </w:tcPr>
          <w:p w14:paraId="08057F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r w14:paraId="358B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7" w:type="dxa"/>
            <w:vMerge w:val="continue"/>
            <w:noWrap w:val="0"/>
            <w:vAlign w:val="center"/>
          </w:tcPr>
          <w:p w14:paraId="40C53F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196" w:type="dxa"/>
            <w:vMerge w:val="continue"/>
            <w:noWrap w:val="0"/>
            <w:vAlign w:val="center"/>
          </w:tcPr>
          <w:p w14:paraId="1B8D2D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rPr>
            </w:pPr>
          </w:p>
        </w:tc>
        <w:tc>
          <w:tcPr>
            <w:tcW w:w="1300" w:type="dxa"/>
            <w:noWrap w:val="0"/>
            <w:vAlign w:val="center"/>
          </w:tcPr>
          <w:p w14:paraId="093A2B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2026.05.20</w:t>
            </w:r>
          </w:p>
        </w:tc>
        <w:tc>
          <w:tcPr>
            <w:tcW w:w="1400" w:type="dxa"/>
            <w:noWrap w:val="0"/>
            <w:vAlign w:val="center"/>
          </w:tcPr>
          <w:p w14:paraId="5E4612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00:25-00:30</w:t>
            </w:r>
          </w:p>
        </w:tc>
        <w:tc>
          <w:tcPr>
            <w:tcW w:w="750" w:type="dxa"/>
            <w:noWrap w:val="0"/>
            <w:vAlign w:val="center"/>
          </w:tcPr>
          <w:p w14:paraId="5C8A8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szCs w:val="21"/>
                <w:lang w:val="en-US" w:eastAsia="zh-CN"/>
              </w:rPr>
            </w:pPr>
            <w:r>
              <w:rPr>
                <w:rFonts w:hint="eastAsia" w:ascii="Times New Roman" w:hAnsi="Times New Roman" w:eastAsia="宋体" w:cs="Times New Roman"/>
                <w:bCs/>
                <w:strike w:val="0"/>
                <w:dstrike w:val="0"/>
                <w:color w:val="auto"/>
                <w:szCs w:val="21"/>
                <w:lang w:val="en-US" w:eastAsia="zh-CN"/>
              </w:rPr>
              <w:t>/</w:t>
            </w:r>
          </w:p>
        </w:tc>
        <w:tc>
          <w:tcPr>
            <w:tcW w:w="1113" w:type="dxa"/>
            <w:noWrap w:val="0"/>
            <w:vAlign w:val="center"/>
          </w:tcPr>
          <w:p w14:paraId="66190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44</w:t>
            </w:r>
          </w:p>
        </w:tc>
        <w:tc>
          <w:tcPr>
            <w:tcW w:w="1125" w:type="dxa"/>
            <w:noWrap w:val="0"/>
            <w:vAlign w:val="center"/>
          </w:tcPr>
          <w:p w14:paraId="3B1EF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bCs/>
                <w:strike w:val="0"/>
                <w:dstrike w:val="0"/>
                <w:color w:val="auto"/>
                <w:kern w:val="2"/>
                <w:sz w:val="21"/>
                <w:szCs w:val="21"/>
                <w:lang w:val="en-US" w:eastAsia="zh-CN" w:bidi="ar-SA"/>
              </w:rPr>
              <w:t>50</w:t>
            </w:r>
          </w:p>
        </w:tc>
        <w:tc>
          <w:tcPr>
            <w:tcW w:w="1155" w:type="dxa"/>
            <w:noWrap w:val="0"/>
            <w:vAlign w:val="center"/>
          </w:tcPr>
          <w:p w14:paraId="49B36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Cs/>
                <w:strike w:val="0"/>
                <w:dstrike w:val="0"/>
                <w:color w:val="auto"/>
                <w:kern w:val="2"/>
                <w:sz w:val="21"/>
                <w:szCs w:val="21"/>
                <w:lang w:val="en-US" w:eastAsia="zh-CN" w:bidi="ar-SA"/>
              </w:rPr>
            </w:pPr>
            <w:r>
              <w:rPr>
                <w:rFonts w:hint="eastAsia" w:ascii="Times New Roman" w:hAnsi="Times New Roman" w:eastAsia="宋体" w:cs="Times New Roman"/>
                <w:strike w:val="0"/>
                <w:dstrike w:val="0"/>
                <w:color w:val="auto"/>
                <w:kern w:val="2"/>
                <w:sz w:val="21"/>
                <w:szCs w:val="21"/>
                <w:lang w:val="en-US" w:eastAsia="zh-CN" w:bidi="ar-SA"/>
              </w:rPr>
              <w:t>合格</w:t>
            </w:r>
          </w:p>
        </w:tc>
      </w:tr>
    </w:tbl>
    <w:p w14:paraId="4436888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根据噪声监测结果可知，项目区厂界噪声值较低，厂界四周环境噪声均未超过《声环境质量标准》（GB3096-2008）中</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类标准的限值，均能达到声环境质量标准的要求</w:t>
      </w:r>
      <w:r>
        <w:rPr>
          <w:rFonts w:hint="eastAsia" w:ascii="Times New Roman" w:hAnsi="Times New Roman" w:eastAsia="宋体"/>
          <w:strike w:val="0"/>
          <w:dstrike w:val="0"/>
          <w:color w:val="auto"/>
          <w:highlight w:val="none"/>
          <w:lang w:eastAsia="zh-CN"/>
        </w:rPr>
        <w:t>。</w:t>
      </w:r>
    </w:p>
    <w:p w14:paraId="393CCC8E">
      <w:pPr>
        <w:pStyle w:val="4"/>
        <w:rPr>
          <w:rFonts w:ascii="Times New Roman" w:hAnsi="Times New Roman" w:eastAsia="宋体"/>
          <w:strike w:val="0"/>
          <w:dstrike w:val="0"/>
          <w:color w:val="auto"/>
          <w:highlight w:val="none"/>
        </w:rPr>
      </w:pPr>
      <w:bookmarkStart w:id="210" w:name="_Toc106663490"/>
      <w:bookmarkStart w:id="211" w:name="_Toc14674"/>
      <w:r>
        <w:rPr>
          <w:rFonts w:hint="eastAsia" w:ascii="Times New Roman" w:hAnsi="Times New Roman" w:eastAsia="宋体"/>
          <w:strike w:val="0"/>
          <w:dstrike w:val="0"/>
          <w:color w:val="auto"/>
          <w:highlight w:val="none"/>
        </w:rPr>
        <w:t>4.2.5土壤环境质量现状调查与评价</w:t>
      </w:r>
      <w:bookmarkEnd w:id="210"/>
      <w:bookmarkEnd w:id="211"/>
    </w:p>
    <w:p w14:paraId="677CC0B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本次土壤环境质量现状监测委托</w:t>
      </w:r>
      <w:r>
        <w:rPr>
          <w:rFonts w:hint="eastAsia" w:ascii="Times New Roman" w:hAnsi="Times New Roman" w:eastAsia="宋体"/>
          <w:strike w:val="0"/>
          <w:dstrike w:val="0"/>
          <w:color w:val="auto"/>
          <w:highlight w:val="none"/>
          <w:lang w:eastAsia="zh-CN"/>
        </w:rPr>
        <w:t>新疆点点星光检测技术有限公司</w:t>
      </w:r>
      <w:r>
        <w:rPr>
          <w:rFonts w:hint="eastAsia" w:ascii="Times New Roman" w:hAnsi="Times New Roman" w:eastAsia="宋体"/>
          <w:strike w:val="0"/>
          <w:dstrike w:val="0"/>
          <w:color w:val="auto"/>
          <w:highlight w:val="none"/>
        </w:rPr>
        <w:t>对项目区土壤环境进行监测，监测时间为</w:t>
      </w:r>
      <w:r>
        <w:rPr>
          <w:rFonts w:hint="eastAsia" w:ascii="Times New Roman" w:hAnsi="Times New Roman" w:eastAsia="宋体"/>
          <w:strike w:val="0"/>
          <w:dstrike w:val="0"/>
          <w:color w:val="auto"/>
          <w:highlight w:val="none"/>
          <w:lang w:val="en-US" w:eastAsia="zh-CN"/>
        </w:rPr>
        <w:t>2026</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05</w:t>
      </w:r>
      <w:r>
        <w:rPr>
          <w:rFonts w:hint="eastAsia" w:ascii="Times New Roman" w:hAnsi="Times New Roman" w:eastAsia="宋体"/>
          <w:strike w:val="0"/>
          <w:dstrike w:val="0"/>
          <w:color w:val="auto"/>
          <w:highlight w:val="none"/>
        </w:rPr>
        <w:t>月</w:t>
      </w:r>
      <w:r>
        <w:rPr>
          <w:rFonts w:hint="eastAsia" w:ascii="Times New Roman" w:hAnsi="Times New Roman" w:eastAsia="宋体"/>
          <w:strike w:val="0"/>
          <w:dstrike w:val="0"/>
          <w:color w:val="auto"/>
          <w:highlight w:val="none"/>
          <w:lang w:val="en-US" w:eastAsia="zh-CN"/>
        </w:rPr>
        <w:t>18</w:t>
      </w:r>
      <w:r>
        <w:rPr>
          <w:rFonts w:hint="eastAsia" w:ascii="Times New Roman" w:hAnsi="Times New Roman" w:eastAsia="宋体"/>
          <w:strike w:val="0"/>
          <w:dstrike w:val="0"/>
          <w:color w:val="auto"/>
          <w:highlight w:val="none"/>
        </w:rPr>
        <w:t>日</w:t>
      </w:r>
      <w:r>
        <w:rPr>
          <w:rFonts w:hint="eastAsia" w:ascii="Times New Roman" w:hAnsi="Times New Roman" w:eastAsia="宋体"/>
          <w:strike w:val="0"/>
          <w:dstrike w:val="0"/>
          <w:color w:val="auto"/>
          <w:highlight w:val="none"/>
          <w:lang w:eastAsia="zh-CN"/>
        </w:rPr>
        <w:t>。</w:t>
      </w:r>
    </w:p>
    <w:p w14:paraId="6DDE981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（1）监测布点</w:t>
      </w:r>
    </w:p>
    <w:p w14:paraId="7F3875E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根据《环境影响评价技术导则土壤环境（试行）》（HJ964-2018），本次土壤现状监测在占地范围内布设三个表层样点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监测点位信息见表4.2-</w:t>
      </w:r>
      <w:r>
        <w:rPr>
          <w:rFonts w:hint="eastAsia" w:ascii="Times New Roman" w:hAnsi="Times New Roman" w:eastAsia="宋体"/>
          <w:strike w:val="0"/>
          <w:dstrike w:val="0"/>
          <w:color w:val="auto"/>
          <w:highlight w:val="none"/>
          <w:lang w:val="en-US" w:eastAsia="zh-CN"/>
        </w:rPr>
        <w:t>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监测点位示意图见附图4.2-1</w:t>
      </w:r>
      <w:r>
        <w:rPr>
          <w:rFonts w:hint="eastAsia" w:ascii="Times New Roman" w:hAnsi="Times New Roman" w:eastAsia="宋体"/>
          <w:strike w:val="0"/>
          <w:dstrike w:val="0"/>
          <w:color w:val="auto"/>
          <w:highlight w:val="none"/>
          <w:lang w:eastAsia="zh-CN"/>
        </w:rPr>
        <w:t>。</w:t>
      </w:r>
    </w:p>
    <w:p w14:paraId="63EE02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表4.2-10土壤现状监测信息一览表</w:t>
      </w:r>
    </w:p>
    <w:tbl>
      <w:tblPr>
        <w:tblStyle w:val="4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3857"/>
        <w:gridCol w:w="3140"/>
      </w:tblGrid>
      <w:tr w14:paraId="2CA3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5" w:type="pct"/>
            <w:vAlign w:val="center"/>
          </w:tcPr>
          <w:p w14:paraId="3B2D6563">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监测点位</w:t>
            </w:r>
          </w:p>
        </w:tc>
        <w:tc>
          <w:tcPr>
            <w:tcW w:w="2263" w:type="pct"/>
            <w:vAlign w:val="center"/>
          </w:tcPr>
          <w:p w14:paraId="22FE94F1">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编号</w:t>
            </w:r>
          </w:p>
        </w:tc>
        <w:tc>
          <w:tcPr>
            <w:tcW w:w="1842" w:type="pct"/>
            <w:vAlign w:val="center"/>
          </w:tcPr>
          <w:p w14:paraId="4C4AA6C2">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监测点坐标</w:t>
            </w:r>
          </w:p>
        </w:tc>
      </w:tr>
      <w:tr w14:paraId="1E1C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5" w:type="pct"/>
            <w:vMerge w:val="restart"/>
            <w:vAlign w:val="center"/>
          </w:tcPr>
          <w:p w14:paraId="3FCA97D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项目区内</w:t>
            </w:r>
          </w:p>
        </w:tc>
        <w:tc>
          <w:tcPr>
            <w:tcW w:w="2263" w:type="pct"/>
            <w:vAlign w:val="center"/>
          </w:tcPr>
          <w:p w14:paraId="6D9ED75B">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1</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：（表层样：0~0.2m）</w:t>
            </w:r>
          </w:p>
        </w:tc>
        <w:tc>
          <w:tcPr>
            <w:tcW w:w="1842" w:type="pct"/>
            <w:vAlign w:val="center"/>
          </w:tcPr>
          <w:p w14:paraId="3485A0E0">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cs="Times New Roman"/>
                <w:strike w:val="0"/>
                <w:dstrike w:val="0"/>
                <w:color w:val="auto"/>
                <w:sz w:val="21"/>
                <w:szCs w:val="21"/>
                <w:highlight w:val="none"/>
                <w:lang w:val="en-US" w:eastAsia="zh-CN"/>
              </w:rPr>
              <w:t>N:4</w:t>
            </w:r>
            <w:r>
              <w:rPr>
                <w:rFonts w:hint="eastAsia" w:ascii="Times New Roman" w:hAnsi="Times New Roman" w:eastAsia="宋体" w:cs="Times New Roman"/>
                <w:strike w:val="0"/>
                <w:dstrike w:val="0"/>
                <w:color w:val="auto"/>
                <w:sz w:val="21"/>
                <w:szCs w:val="21"/>
                <w:highlight w:val="none"/>
                <w:lang w:val="en-US" w:eastAsia="zh-CN"/>
              </w:rPr>
              <w:t>3</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44</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53.36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 xml:space="preserve">; </w:t>
            </w:r>
            <w:r>
              <w:rPr>
                <w:rFonts w:hint="default" w:ascii="Times New Roman" w:hAnsi="Times New Roman" w:eastAsia="宋体" w:cs="Times New Roman"/>
                <w:strike w:val="0"/>
                <w:dstrike w:val="0"/>
                <w:color w:val="auto"/>
                <w:sz w:val="21"/>
                <w:szCs w:val="21"/>
                <w:highlight w:val="none"/>
                <w:lang w:val="en-US" w:eastAsia="zh-CN"/>
              </w:rPr>
              <w:t>E</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08.42</w:t>
            </w:r>
            <w:r>
              <w:rPr>
                <w:rFonts w:hint="default" w:ascii="Times New Roman" w:hAnsi="Times New Roman" w:eastAsia="宋体" w:cs="Times New Roman"/>
                <w:strike w:val="0"/>
                <w:dstrike w:val="0"/>
                <w:color w:val="auto"/>
                <w:sz w:val="21"/>
                <w:szCs w:val="21"/>
                <w:highlight w:val="none"/>
                <w:lang w:val="en-US" w:eastAsia="zh-CN"/>
              </w:rPr>
              <w:t>″</w:t>
            </w:r>
          </w:p>
        </w:tc>
      </w:tr>
      <w:tr w14:paraId="2F7E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5" w:type="pct"/>
            <w:vMerge w:val="continue"/>
            <w:vAlign w:val="center"/>
          </w:tcPr>
          <w:p w14:paraId="4C9B83F7">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263" w:type="pct"/>
            <w:vAlign w:val="center"/>
          </w:tcPr>
          <w:p w14:paraId="6C5404E7">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2</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：（表层样：0~0.2m）</w:t>
            </w:r>
          </w:p>
        </w:tc>
        <w:tc>
          <w:tcPr>
            <w:tcW w:w="1842" w:type="pct"/>
            <w:vAlign w:val="center"/>
          </w:tcPr>
          <w:p w14:paraId="554D0ED8">
            <w:pPr>
              <w:spacing w:line="240" w:lineRule="auto"/>
              <w:ind w:firstLine="0" w:firstLineChars="0"/>
              <w:jc w:val="center"/>
              <w:rPr>
                <w:rFonts w:ascii="Times New Roman" w:hAnsi="Times New Roman" w:eastAsia="宋体"/>
                <w:strike w:val="0"/>
                <w:dstrike w:val="0"/>
                <w:color w:val="auto"/>
                <w:sz w:val="21"/>
                <w:szCs w:val="21"/>
                <w:highlight w:val="red"/>
              </w:rPr>
            </w:pPr>
            <w:r>
              <w:rPr>
                <w:rFonts w:hint="default" w:ascii="Times New Roman" w:hAnsi="Times New Roman" w:eastAsia="宋体" w:cs="Times New Roman"/>
                <w:strike w:val="0"/>
                <w:dstrike w:val="0"/>
                <w:color w:val="auto"/>
                <w:sz w:val="21"/>
                <w:szCs w:val="21"/>
                <w:highlight w:val="none"/>
                <w:lang w:val="en-US" w:eastAsia="zh-CN"/>
              </w:rPr>
              <w:t>N:4</w:t>
            </w:r>
            <w:r>
              <w:rPr>
                <w:rFonts w:hint="eastAsia" w:ascii="Times New Roman" w:hAnsi="Times New Roman" w:eastAsia="宋体" w:cs="Times New Roman"/>
                <w:strike w:val="0"/>
                <w:dstrike w:val="0"/>
                <w:color w:val="auto"/>
                <w:sz w:val="21"/>
                <w:szCs w:val="21"/>
                <w:highlight w:val="none"/>
                <w:lang w:val="en-US" w:eastAsia="zh-CN"/>
              </w:rPr>
              <w:t>3</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44</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52.37</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 xml:space="preserve">; </w:t>
            </w:r>
            <w:r>
              <w:rPr>
                <w:rFonts w:hint="default" w:ascii="Times New Roman" w:hAnsi="Times New Roman" w:eastAsia="宋体" w:cs="Times New Roman"/>
                <w:strike w:val="0"/>
                <w:dstrike w:val="0"/>
                <w:color w:val="auto"/>
                <w:sz w:val="21"/>
                <w:szCs w:val="21"/>
                <w:highlight w:val="none"/>
                <w:lang w:val="en-US" w:eastAsia="zh-CN"/>
              </w:rPr>
              <w:t>E</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08.18</w:t>
            </w:r>
            <w:r>
              <w:rPr>
                <w:rFonts w:hint="default" w:ascii="Times New Roman" w:hAnsi="Times New Roman" w:eastAsia="宋体" w:cs="Times New Roman"/>
                <w:strike w:val="0"/>
                <w:dstrike w:val="0"/>
                <w:color w:val="auto"/>
                <w:sz w:val="21"/>
                <w:szCs w:val="21"/>
                <w:highlight w:val="none"/>
                <w:lang w:val="en-US" w:eastAsia="zh-CN"/>
              </w:rPr>
              <w:t>″</w:t>
            </w:r>
          </w:p>
        </w:tc>
      </w:tr>
      <w:tr w14:paraId="69D1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5" w:type="pct"/>
            <w:vMerge w:val="continue"/>
            <w:vAlign w:val="center"/>
          </w:tcPr>
          <w:p w14:paraId="58BC267C">
            <w:pPr>
              <w:spacing w:line="240" w:lineRule="auto"/>
              <w:ind w:firstLine="0" w:firstLineChars="0"/>
              <w:jc w:val="center"/>
              <w:rPr>
                <w:rFonts w:ascii="Times New Roman" w:hAnsi="Times New Roman" w:eastAsia="宋体"/>
                <w:strike w:val="0"/>
                <w:dstrike w:val="0"/>
                <w:color w:val="auto"/>
                <w:sz w:val="21"/>
                <w:szCs w:val="21"/>
                <w:highlight w:val="none"/>
              </w:rPr>
            </w:pPr>
          </w:p>
        </w:tc>
        <w:tc>
          <w:tcPr>
            <w:tcW w:w="2263" w:type="pct"/>
            <w:vAlign w:val="center"/>
          </w:tcPr>
          <w:p w14:paraId="2F738A99">
            <w:pPr>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lang w:val="en-US" w:eastAsia="zh-CN"/>
              </w:rPr>
              <w:t>3</w:t>
            </w:r>
            <w:r>
              <w:rPr>
                <w:rFonts w:ascii="Times New Roman" w:hAnsi="Times New Roman" w:eastAsia="宋体"/>
                <w:strike w:val="0"/>
                <w:dstrike w:val="0"/>
                <w:color w:val="auto"/>
                <w:sz w:val="21"/>
                <w:szCs w:val="21"/>
                <w:highlight w:val="none"/>
              </w:rPr>
              <w:t>#</w:t>
            </w:r>
            <w:r>
              <w:rPr>
                <w:rFonts w:hint="eastAsia" w:ascii="Times New Roman" w:hAnsi="Times New Roman" w:eastAsia="宋体"/>
                <w:strike w:val="0"/>
                <w:dstrike w:val="0"/>
                <w:color w:val="auto"/>
                <w:sz w:val="21"/>
                <w:szCs w:val="21"/>
                <w:highlight w:val="none"/>
              </w:rPr>
              <w:t>：（表层样：0~0.2m）</w:t>
            </w:r>
          </w:p>
        </w:tc>
        <w:tc>
          <w:tcPr>
            <w:tcW w:w="1842" w:type="pct"/>
            <w:vAlign w:val="center"/>
          </w:tcPr>
          <w:p w14:paraId="7741C0F1">
            <w:pPr>
              <w:spacing w:line="240" w:lineRule="auto"/>
              <w:ind w:firstLine="0" w:firstLineChars="0"/>
              <w:jc w:val="center"/>
              <w:rPr>
                <w:rFonts w:ascii="Times New Roman" w:hAnsi="Times New Roman" w:eastAsia="宋体"/>
                <w:strike w:val="0"/>
                <w:dstrike w:val="0"/>
                <w:color w:val="auto"/>
                <w:sz w:val="21"/>
                <w:szCs w:val="21"/>
                <w:highlight w:val="red"/>
              </w:rPr>
            </w:pPr>
            <w:r>
              <w:rPr>
                <w:rFonts w:hint="eastAsia" w:ascii="Times New Roman" w:hAnsi="Times New Roman" w:eastAsia="宋体" w:cs="Times New Roman"/>
                <w:strike w:val="0"/>
                <w:dstrike w:val="0"/>
                <w:color w:val="auto"/>
                <w:sz w:val="21"/>
                <w:szCs w:val="21"/>
                <w:highlight w:val="none"/>
                <w:lang w:val="en-US" w:eastAsia="zh-CN"/>
              </w:rPr>
              <w:t>N:</w:t>
            </w:r>
            <w:r>
              <w:rPr>
                <w:rFonts w:hint="default" w:ascii="Times New Roman" w:hAnsi="Times New Roman" w:eastAsia="宋体" w:cs="Times New Roman"/>
                <w:strike w:val="0"/>
                <w:dstrike w:val="0"/>
                <w:color w:val="auto"/>
                <w:sz w:val="21"/>
                <w:szCs w:val="21"/>
                <w:highlight w:val="none"/>
                <w:lang w:val="en-US" w:eastAsia="zh-CN"/>
              </w:rPr>
              <w:t>4</w:t>
            </w:r>
            <w:r>
              <w:rPr>
                <w:rFonts w:hint="eastAsia" w:ascii="Times New Roman" w:hAnsi="Times New Roman" w:eastAsia="宋体" w:cs="Times New Roman"/>
                <w:strike w:val="0"/>
                <w:dstrike w:val="0"/>
                <w:color w:val="auto"/>
                <w:sz w:val="21"/>
                <w:szCs w:val="21"/>
                <w:highlight w:val="none"/>
                <w:lang w:val="en-US" w:eastAsia="zh-CN"/>
              </w:rPr>
              <w:t>3</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44</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55.01</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 xml:space="preserve">; </w:t>
            </w:r>
            <w:r>
              <w:rPr>
                <w:rFonts w:hint="default" w:ascii="Times New Roman" w:hAnsi="Times New Roman" w:eastAsia="宋体" w:cs="Times New Roman"/>
                <w:strike w:val="0"/>
                <w:dstrike w:val="0"/>
                <w:color w:val="auto"/>
                <w:sz w:val="21"/>
                <w:szCs w:val="21"/>
                <w:highlight w:val="none"/>
                <w:lang w:val="en-US" w:eastAsia="zh-CN"/>
              </w:rPr>
              <w:t>E</w:t>
            </w:r>
            <w:r>
              <w:rPr>
                <w:rFonts w:hint="eastAsia" w:ascii="Times New Roman" w:hAnsi="Times New Roman" w:eastAsia="宋体" w:cs="Times New Roman"/>
                <w:strike w:val="0"/>
                <w:dstrike w:val="0"/>
                <w:color w:val="auto"/>
                <w:sz w:val="21"/>
                <w:szCs w:val="21"/>
                <w:highlight w:val="none"/>
                <w:lang w:val="en-US" w:eastAsia="zh-CN"/>
              </w:rPr>
              <w:t>:90</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36</w:t>
            </w:r>
            <w:r>
              <w:rPr>
                <w:rFonts w:hint="default" w:ascii="Times New Roman" w:hAnsi="Times New Roman" w:eastAsia="宋体" w:cs="Times New Roman"/>
                <w:strike w:val="0"/>
                <w:dstrike w:val="0"/>
                <w:color w:val="auto"/>
                <w:sz w:val="21"/>
                <w:szCs w:val="21"/>
                <w:highlight w:val="none"/>
                <w:lang w:val="en-US" w:eastAsia="zh-CN"/>
              </w:rPr>
              <w:t>′</w:t>
            </w:r>
            <w:r>
              <w:rPr>
                <w:rFonts w:hint="eastAsia" w:ascii="Times New Roman" w:hAnsi="Times New Roman" w:eastAsia="宋体" w:cs="Times New Roman"/>
                <w:strike w:val="0"/>
                <w:dstrike w:val="0"/>
                <w:color w:val="auto"/>
                <w:sz w:val="21"/>
                <w:szCs w:val="21"/>
                <w:highlight w:val="none"/>
                <w:lang w:val="en-US" w:eastAsia="zh-CN"/>
              </w:rPr>
              <w:t>09.27</w:t>
            </w:r>
            <w:r>
              <w:rPr>
                <w:rFonts w:hint="default" w:ascii="Times New Roman" w:hAnsi="Times New Roman" w:eastAsia="宋体" w:cs="Times New Roman"/>
                <w:strike w:val="0"/>
                <w:dstrike w:val="0"/>
                <w:color w:val="auto"/>
                <w:sz w:val="21"/>
                <w:szCs w:val="21"/>
                <w:highlight w:val="none"/>
                <w:lang w:val="en-US" w:eastAsia="zh-CN"/>
              </w:rPr>
              <w:t>″</w:t>
            </w:r>
          </w:p>
        </w:tc>
      </w:tr>
    </w:tbl>
    <w:p w14:paraId="4B53076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（2）监测项目</w:t>
      </w:r>
    </w:p>
    <w:p w14:paraId="166119C6">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cs="Times New Roman"/>
          <w:bCs/>
          <w:strike w:val="0"/>
          <w:dstrike w:val="0"/>
          <w:color w:val="auto"/>
          <w:kern w:val="0"/>
          <w:szCs w:val="24"/>
          <w:highlight w:val="none"/>
          <w:lang w:val="en-US" w:eastAsia="zh-CN"/>
        </w:rPr>
        <w:t>pH、镉、砷、汞、铜、铅、镍、铬、锌。</w:t>
      </w:r>
    </w:p>
    <w:p w14:paraId="6BF1605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（3）评价标准</w:t>
      </w:r>
    </w:p>
    <w:p w14:paraId="46D8A57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根据《畜禽规模养殖污染防治条例》第二十七条“畜禽养殖用地按农用地管理，并按照国家有关规定确定生产设施用地和必要的污染防治等附属设施用地”，因此项目土壤环境质量执行《土壤环境质量 农用地土壤污染风险管控标准（试行）》（GB15618-2018）中对应pH值范围内风险筛选值</w:t>
      </w:r>
      <w:r>
        <w:rPr>
          <w:rFonts w:hint="eastAsia" w:ascii="Times New Roman" w:hAnsi="Times New Roman" w:eastAsia="宋体"/>
          <w:strike w:val="0"/>
          <w:dstrike w:val="0"/>
          <w:color w:val="auto"/>
          <w:highlight w:val="none"/>
          <w:lang w:eastAsia="zh-CN"/>
        </w:rPr>
        <w:t>。</w:t>
      </w:r>
    </w:p>
    <w:p w14:paraId="79630AA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（4）监测数据及评价结果</w:t>
      </w:r>
    </w:p>
    <w:p w14:paraId="3C6B5C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监测数据及评价结果见表4.2-1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eastAsia="zh-CN"/>
        </w:rPr>
        <w:t>。</w:t>
      </w:r>
    </w:p>
    <w:p w14:paraId="73F53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表4.2-11土壤环境质量现状监测结果</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936"/>
        <w:gridCol w:w="1233"/>
        <w:gridCol w:w="1168"/>
        <w:gridCol w:w="1117"/>
        <w:gridCol w:w="1119"/>
        <w:gridCol w:w="1513"/>
        <w:gridCol w:w="663"/>
      </w:tblGrid>
      <w:tr w14:paraId="3843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453" w:type="pct"/>
            <w:vMerge w:val="restart"/>
            <w:tcBorders>
              <w:tl2br w:val="nil"/>
              <w:tr2bl w:val="nil"/>
            </w:tcBorders>
            <w:shd w:val="clear" w:color="auto" w:fill="auto"/>
            <w:vAlign w:val="center"/>
          </w:tcPr>
          <w:p w14:paraId="02990BB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采样点位</w:t>
            </w:r>
          </w:p>
        </w:tc>
        <w:tc>
          <w:tcPr>
            <w:tcW w:w="549" w:type="pct"/>
            <w:vMerge w:val="restart"/>
            <w:tcBorders>
              <w:tl2br w:val="nil"/>
              <w:tr2bl w:val="nil"/>
            </w:tcBorders>
            <w:shd w:val="clear" w:color="auto" w:fill="auto"/>
            <w:vAlign w:val="center"/>
          </w:tcPr>
          <w:p w14:paraId="328C26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监测项目</w:t>
            </w:r>
          </w:p>
        </w:tc>
        <w:tc>
          <w:tcPr>
            <w:tcW w:w="723" w:type="pct"/>
            <w:vMerge w:val="restart"/>
            <w:tcBorders>
              <w:tl2br w:val="nil"/>
              <w:tr2bl w:val="nil"/>
            </w:tcBorders>
            <w:shd w:val="clear" w:color="auto" w:fill="auto"/>
            <w:vAlign w:val="center"/>
          </w:tcPr>
          <w:p w14:paraId="7517C32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单位</w:t>
            </w:r>
          </w:p>
        </w:tc>
        <w:tc>
          <w:tcPr>
            <w:tcW w:w="1996" w:type="pct"/>
            <w:gridSpan w:val="3"/>
            <w:tcBorders>
              <w:tl2br w:val="nil"/>
              <w:tr2bl w:val="nil"/>
            </w:tcBorders>
            <w:shd w:val="clear" w:color="auto" w:fill="auto"/>
            <w:vAlign w:val="center"/>
          </w:tcPr>
          <w:p w14:paraId="1A345A6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检测结果</w:t>
            </w:r>
          </w:p>
        </w:tc>
        <w:tc>
          <w:tcPr>
            <w:tcW w:w="887" w:type="pct"/>
            <w:vMerge w:val="restart"/>
            <w:tcBorders>
              <w:tl2br w:val="nil"/>
              <w:tr2bl w:val="nil"/>
            </w:tcBorders>
            <w:shd w:val="clear" w:color="auto" w:fill="auto"/>
            <w:vAlign w:val="center"/>
          </w:tcPr>
          <w:p w14:paraId="2C39537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标准限值（</w:t>
            </w:r>
            <w:r>
              <w:rPr>
                <w:rFonts w:ascii="Times New Roman" w:hAnsi="Times New Roman" w:eastAsia="宋体"/>
                <w:strike w:val="0"/>
                <w:dstrike w:val="0"/>
                <w:color w:val="auto"/>
                <w:kern w:val="0"/>
                <w:sz w:val="21"/>
                <w:szCs w:val="21"/>
                <w:highlight w:val="none"/>
              </w:rPr>
              <w:t>mg/kg</w:t>
            </w:r>
            <w:r>
              <w:rPr>
                <w:rFonts w:hint="eastAsia" w:ascii="Times New Roman" w:hAnsi="Times New Roman" w:eastAsia="宋体"/>
                <w:strike w:val="0"/>
                <w:dstrike w:val="0"/>
                <w:color w:val="auto"/>
                <w:kern w:val="0"/>
                <w:sz w:val="21"/>
                <w:szCs w:val="21"/>
                <w:highlight w:val="none"/>
              </w:rPr>
              <w:t>）</w:t>
            </w:r>
          </w:p>
        </w:tc>
        <w:tc>
          <w:tcPr>
            <w:tcW w:w="389" w:type="pct"/>
            <w:vMerge w:val="restart"/>
            <w:tcBorders>
              <w:tl2br w:val="nil"/>
              <w:tr2bl w:val="nil"/>
            </w:tcBorders>
            <w:shd w:val="clear" w:color="auto" w:fill="auto"/>
            <w:vAlign w:val="center"/>
          </w:tcPr>
          <w:p w14:paraId="185E12B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rPr>
              <w:t>达标情况</w:t>
            </w:r>
          </w:p>
        </w:tc>
      </w:tr>
      <w:tr w14:paraId="4816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3AC85F9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549" w:type="pct"/>
            <w:vMerge w:val="continue"/>
            <w:tcBorders>
              <w:tl2br w:val="nil"/>
              <w:tr2bl w:val="nil"/>
            </w:tcBorders>
            <w:shd w:val="clear" w:color="auto" w:fill="auto"/>
            <w:vAlign w:val="center"/>
          </w:tcPr>
          <w:p w14:paraId="4146E02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723" w:type="pct"/>
            <w:vMerge w:val="continue"/>
            <w:tcBorders>
              <w:tl2br w:val="nil"/>
              <w:tr2bl w:val="nil"/>
            </w:tcBorders>
            <w:shd w:val="clear" w:color="auto" w:fill="auto"/>
            <w:vAlign w:val="center"/>
          </w:tcPr>
          <w:p w14:paraId="18B355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685" w:type="pct"/>
            <w:tcBorders>
              <w:tl2br w:val="nil"/>
              <w:tr2bl w:val="nil"/>
            </w:tcBorders>
            <w:shd w:val="clear" w:color="auto" w:fill="auto"/>
            <w:vAlign w:val="center"/>
          </w:tcPr>
          <w:p w14:paraId="349375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1</w:t>
            </w:r>
            <w:r>
              <w:rPr>
                <w:rFonts w:hint="eastAsia" w:ascii="Times New Roman" w:hAnsi="Times New Roman" w:eastAsia="宋体"/>
                <w:strike w:val="0"/>
                <w:dstrike w:val="0"/>
                <w:color w:val="auto"/>
                <w:kern w:val="0"/>
                <w:sz w:val="21"/>
                <w:szCs w:val="21"/>
                <w:highlight w:val="none"/>
              </w:rPr>
              <w:t>#</w:t>
            </w:r>
          </w:p>
        </w:tc>
        <w:tc>
          <w:tcPr>
            <w:tcW w:w="655" w:type="pct"/>
            <w:tcBorders>
              <w:tl2br w:val="nil"/>
              <w:tr2bl w:val="nil"/>
            </w:tcBorders>
            <w:shd w:val="clear" w:color="auto" w:fill="auto"/>
            <w:vAlign w:val="center"/>
          </w:tcPr>
          <w:p w14:paraId="357D945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2</w:t>
            </w:r>
            <w:r>
              <w:rPr>
                <w:rFonts w:hint="eastAsia" w:ascii="Times New Roman" w:hAnsi="Times New Roman" w:eastAsia="宋体"/>
                <w:strike w:val="0"/>
                <w:dstrike w:val="0"/>
                <w:color w:val="auto"/>
                <w:kern w:val="0"/>
                <w:sz w:val="21"/>
                <w:szCs w:val="21"/>
                <w:highlight w:val="none"/>
              </w:rPr>
              <w:t>#</w:t>
            </w:r>
          </w:p>
        </w:tc>
        <w:tc>
          <w:tcPr>
            <w:tcW w:w="655" w:type="pct"/>
            <w:tcBorders>
              <w:tl2br w:val="nil"/>
              <w:tr2bl w:val="nil"/>
            </w:tcBorders>
            <w:shd w:val="clear" w:color="auto" w:fill="auto"/>
            <w:vAlign w:val="center"/>
          </w:tcPr>
          <w:p w14:paraId="74666BA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3</w:t>
            </w:r>
            <w:r>
              <w:rPr>
                <w:rFonts w:hint="eastAsia" w:ascii="Times New Roman" w:hAnsi="Times New Roman" w:eastAsia="宋体"/>
                <w:strike w:val="0"/>
                <w:dstrike w:val="0"/>
                <w:color w:val="auto"/>
                <w:kern w:val="0"/>
                <w:sz w:val="21"/>
                <w:szCs w:val="21"/>
                <w:highlight w:val="none"/>
              </w:rPr>
              <w:t>#</w:t>
            </w:r>
          </w:p>
        </w:tc>
        <w:tc>
          <w:tcPr>
            <w:tcW w:w="887" w:type="pct"/>
            <w:vMerge w:val="continue"/>
            <w:tcBorders>
              <w:tl2br w:val="nil"/>
              <w:tr2bl w:val="nil"/>
            </w:tcBorders>
            <w:shd w:val="clear" w:color="auto" w:fill="auto"/>
            <w:vAlign w:val="center"/>
          </w:tcPr>
          <w:p w14:paraId="42356E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c>
          <w:tcPr>
            <w:tcW w:w="389" w:type="pct"/>
            <w:vMerge w:val="continue"/>
            <w:tcBorders>
              <w:tl2br w:val="nil"/>
              <w:tr2bl w:val="nil"/>
            </w:tcBorders>
            <w:shd w:val="clear" w:color="auto" w:fill="auto"/>
            <w:vAlign w:val="center"/>
          </w:tcPr>
          <w:p w14:paraId="507B05C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p>
        </w:tc>
      </w:tr>
      <w:tr w14:paraId="14B5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restart"/>
            <w:tcBorders>
              <w:tl2br w:val="nil"/>
              <w:tr2bl w:val="nil"/>
            </w:tcBorders>
            <w:shd w:val="clear" w:color="auto" w:fill="auto"/>
            <w:vAlign w:val="center"/>
          </w:tcPr>
          <w:p w14:paraId="7B3F4A9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项目区区内</w:t>
            </w:r>
          </w:p>
        </w:tc>
        <w:tc>
          <w:tcPr>
            <w:tcW w:w="549" w:type="pct"/>
            <w:tcBorders>
              <w:tl2br w:val="nil"/>
              <w:tr2bl w:val="nil"/>
            </w:tcBorders>
            <w:shd w:val="clear" w:color="auto" w:fill="auto"/>
            <w:vAlign w:val="center"/>
          </w:tcPr>
          <w:p w14:paraId="6856BD31">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pH</w:t>
            </w:r>
          </w:p>
        </w:tc>
        <w:tc>
          <w:tcPr>
            <w:tcW w:w="723" w:type="pct"/>
            <w:tcBorders>
              <w:tl2br w:val="nil"/>
              <w:tr2bl w:val="nil"/>
            </w:tcBorders>
            <w:shd w:val="clear" w:color="auto" w:fill="auto"/>
            <w:vAlign w:val="center"/>
          </w:tcPr>
          <w:p w14:paraId="40BBAF2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无量纲</w:t>
            </w:r>
          </w:p>
        </w:tc>
        <w:tc>
          <w:tcPr>
            <w:tcW w:w="685" w:type="pct"/>
            <w:tcBorders>
              <w:tl2br w:val="nil"/>
              <w:tr2bl w:val="nil"/>
            </w:tcBorders>
            <w:shd w:val="clear" w:color="auto" w:fill="auto"/>
            <w:vAlign w:val="center"/>
          </w:tcPr>
          <w:p w14:paraId="19AB687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8.14</w:t>
            </w:r>
          </w:p>
        </w:tc>
        <w:tc>
          <w:tcPr>
            <w:tcW w:w="655" w:type="pct"/>
            <w:tcBorders>
              <w:tl2br w:val="nil"/>
              <w:tr2bl w:val="nil"/>
            </w:tcBorders>
            <w:shd w:val="clear" w:color="auto" w:fill="auto"/>
            <w:vAlign w:val="center"/>
          </w:tcPr>
          <w:p w14:paraId="5E319B0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8.22</w:t>
            </w:r>
          </w:p>
        </w:tc>
        <w:tc>
          <w:tcPr>
            <w:tcW w:w="655" w:type="pct"/>
            <w:tcBorders>
              <w:tl2br w:val="nil"/>
              <w:tr2bl w:val="nil"/>
            </w:tcBorders>
            <w:shd w:val="clear" w:color="auto" w:fill="auto"/>
            <w:vAlign w:val="center"/>
          </w:tcPr>
          <w:p w14:paraId="1807F685">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8.34</w:t>
            </w:r>
          </w:p>
        </w:tc>
        <w:tc>
          <w:tcPr>
            <w:tcW w:w="887" w:type="pct"/>
            <w:tcBorders>
              <w:tl2br w:val="nil"/>
              <w:tr2bl w:val="nil"/>
            </w:tcBorders>
            <w:shd w:val="clear" w:color="auto" w:fill="auto"/>
            <w:vAlign w:val="center"/>
          </w:tcPr>
          <w:p w14:paraId="4D3B6D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w:t>
            </w:r>
          </w:p>
        </w:tc>
        <w:tc>
          <w:tcPr>
            <w:tcW w:w="389" w:type="pct"/>
            <w:tcBorders>
              <w:tl2br w:val="nil"/>
              <w:tr2bl w:val="nil"/>
            </w:tcBorders>
            <w:shd w:val="clear" w:color="auto" w:fill="auto"/>
            <w:vAlign w:val="center"/>
          </w:tcPr>
          <w:p w14:paraId="7DD0E8F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w:t>
            </w:r>
          </w:p>
        </w:tc>
      </w:tr>
      <w:tr w14:paraId="5800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5A650B5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430EBE3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砷</w:t>
            </w:r>
          </w:p>
        </w:tc>
        <w:tc>
          <w:tcPr>
            <w:tcW w:w="723" w:type="pct"/>
            <w:tcBorders>
              <w:tl2br w:val="nil"/>
              <w:tr2bl w:val="nil"/>
            </w:tcBorders>
            <w:shd w:val="clear" w:color="auto" w:fill="auto"/>
            <w:vAlign w:val="center"/>
          </w:tcPr>
          <w:p w14:paraId="5BE2B82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68F34F8A">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8.48</w:t>
            </w:r>
          </w:p>
        </w:tc>
        <w:tc>
          <w:tcPr>
            <w:tcW w:w="1117" w:type="dxa"/>
            <w:tcBorders>
              <w:tl2br w:val="nil"/>
              <w:tr2bl w:val="nil"/>
            </w:tcBorders>
            <w:shd w:val="clear" w:color="auto" w:fill="auto"/>
            <w:vAlign w:val="center"/>
          </w:tcPr>
          <w:p w14:paraId="31268BAD">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8.42</w:t>
            </w:r>
          </w:p>
        </w:tc>
        <w:tc>
          <w:tcPr>
            <w:tcW w:w="1117" w:type="dxa"/>
            <w:tcBorders>
              <w:tl2br w:val="nil"/>
              <w:tr2bl w:val="nil"/>
            </w:tcBorders>
            <w:shd w:val="clear" w:color="auto" w:fill="auto"/>
            <w:vAlign w:val="center"/>
          </w:tcPr>
          <w:p w14:paraId="29644B65">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8.56</w:t>
            </w:r>
          </w:p>
        </w:tc>
        <w:tc>
          <w:tcPr>
            <w:tcW w:w="887" w:type="pct"/>
            <w:tcBorders>
              <w:tl2br w:val="nil"/>
              <w:tr2bl w:val="nil"/>
            </w:tcBorders>
            <w:shd w:val="clear" w:color="auto" w:fill="auto"/>
            <w:vAlign w:val="center"/>
          </w:tcPr>
          <w:p w14:paraId="5622B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25</w:t>
            </w:r>
          </w:p>
        </w:tc>
        <w:tc>
          <w:tcPr>
            <w:tcW w:w="389" w:type="pct"/>
            <w:tcBorders>
              <w:tl2br w:val="nil"/>
              <w:tr2bl w:val="nil"/>
            </w:tcBorders>
            <w:shd w:val="clear" w:color="auto" w:fill="auto"/>
            <w:vAlign w:val="center"/>
          </w:tcPr>
          <w:p w14:paraId="5262A8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达标</w:t>
            </w:r>
          </w:p>
        </w:tc>
      </w:tr>
      <w:tr w14:paraId="0EB5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5BEA61F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64A292F4">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镉</w:t>
            </w:r>
          </w:p>
        </w:tc>
        <w:tc>
          <w:tcPr>
            <w:tcW w:w="723" w:type="pct"/>
            <w:tcBorders>
              <w:tl2br w:val="nil"/>
              <w:tr2bl w:val="nil"/>
            </w:tcBorders>
            <w:shd w:val="clear" w:color="auto" w:fill="auto"/>
            <w:vAlign w:val="center"/>
          </w:tcPr>
          <w:p w14:paraId="18B702CD">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32E87714">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0.45</w:t>
            </w:r>
          </w:p>
        </w:tc>
        <w:tc>
          <w:tcPr>
            <w:tcW w:w="1117" w:type="dxa"/>
            <w:tcBorders>
              <w:tl2br w:val="nil"/>
              <w:tr2bl w:val="nil"/>
            </w:tcBorders>
            <w:shd w:val="clear" w:color="auto" w:fill="auto"/>
            <w:vAlign w:val="center"/>
          </w:tcPr>
          <w:p w14:paraId="788B2DC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0.51</w:t>
            </w:r>
          </w:p>
        </w:tc>
        <w:tc>
          <w:tcPr>
            <w:tcW w:w="1117" w:type="dxa"/>
            <w:tcBorders>
              <w:tl2br w:val="nil"/>
              <w:tr2bl w:val="nil"/>
            </w:tcBorders>
            <w:shd w:val="clear" w:color="auto" w:fill="auto"/>
            <w:vAlign w:val="center"/>
          </w:tcPr>
          <w:p w14:paraId="5896357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0.40</w:t>
            </w:r>
          </w:p>
        </w:tc>
        <w:tc>
          <w:tcPr>
            <w:tcW w:w="887" w:type="pct"/>
            <w:tcBorders>
              <w:tl2br w:val="nil"/>
              <w:tr2bl w:val="nil"/>
            </w:tcBorders>
            <w:shd w:val="clear" w:color="auto" w:fill="auto"/>
            <w:vAlign w:val="center"/>
          </w:tcPr>
          <w:p w14:paraId="5EE7D8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0.6</w:t>
            </w:r>
          </w:p>
        </w:tc>
        <w:tc>
          <w:tcPr>
            <w:tcW w:w="389" w:type="pct"/>
            <w:tcBorders>
              <w:tl2br w:val="nil"/>
              <w:tr2bl w:val="nil"/>
            </w:tcBorders>
            <w:shd w:val="clear" w:color="auto" w:fill="auto"/>
            <w:vAlign w:val="center"/>
          </w:tcPr>
          <w:p w14:paraId="318834B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2F7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04B3046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1506E311">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铜</w:t>
            </w:r>
          </w:p>
        </w:tc>
        <w:tc>
          <w:tcPr>
            <w:tcW w:w="723" w:type="pct"/>
            <w:tcBorders>
              <w:tl2br w:val="nil"/>
              <w:tr2bl w:val="nil"/>
            </w:tcBorders>
            <w:shd w:val="clear" w:color="auto" w:fill="auto"/>
            <w:vAlign w:val="center"/>
          </w:tcPr>
          <w:p w14:paraId="2EB25FB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6DE472D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26</w:t>
            </w:r>
          </w:p>
        </w:tc>
        <w:tc>
          <w:tcPr>
            <w:tcW w:w="1117" w:type="dxa"/>
            <w:tcBorders>
              <w:tl2br w:val="nil"/>
              <w:tr2bl w:val="nil"/>
            </w:tcBorders>
            <w:shd w:val="clear" w:color="auto" w:fill="auto"/>
            <w:vAlign w:val="center"/>
          </w:tcPr>
          <w:p w14:paraId="4F4E834A">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30</w:t>
            </w:r>
          </w:p>
        </w:tc>
        <w:tc>
          <w:tcPr>
            <w:tcW w:w="1117" w:type="dxa"/>
            <w:tcBorders>
              <w:tl2br w:val="nil"/>
              <w:tr2bl w:val="nil"/>
            </w:tcBorders>
            <w:shd w:val="clear" w:color="auto" w:fill="auto"/>
            <w:vAlign w:val="center"/>
          </w:tcPr>
          <w:p w14:paraId="0CDC493E">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29</w:t>
            </w:r>
          </w:p>
        </w:tc>
        <w:tc>
          <w:tcPr>
            <w:tcW w:w="887" w:type="pct"/>
            <w:tcBorders>
              <w:tl2br w:val="nil"/>
              <w:tr2bl w:val="nil"/>
            </w:tcBorders>
            <w:shd w:val="clear" w:color="auto" w:fill="auto"/>
            <w:vAlign w:val="center"/>
          </w:tcPr>
          <w:p w14:paraId="63DF48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100</w:t>
            </w:r>
          </w:p>
        </w:tc>
        <w:tc>
          <w:tcPr>
            <w:tcW w:w="389" w:type="pct"/>
            <w:tcBorders>
              <w:tl2br w:val="nil"/>
              <w:tr2bl w:val="nil"/>
            </w:tcBorders>
            <w:shd w:val="clear" w:color="auto" w:fill="auto"/>
            <w:vAlign w:val="center"/>
          </w:tcPr>
          <w:p w14:paraId="34DD57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40F9F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24C22A1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2353B14A">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铅</w:t>
            </w:r>
          </w:p>
        </w:tc>
        <w:tc>
          <w:tcPr>
            <w:tcW w:w="723" w:type="pct"/>
            <w:tcBorders>
              <w:tl2br w:val="nil"/>
              <w:tr2bl w:val="nil"/>
            </w:tcBorders>
            <w:shd w:val="clear" w:color="auto" w:fill="auto"/>
            <w:vAlign w:val="center"/>
          </w:tcPr>
          <w:p w14:paraId="0F53861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2E8DD61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56</w:t>
            </w:r>
          </w:p>
        </w:tc>
        <w:tc>
          <w:tcPr>
            <w:tcW w:w="1117" w:type="dxa"/>
            <w:tcBorders>
              <w:tl2br w:val="nil"/>
              <w:tr2bl w:val="nil"/>
            </w:tcBorders>
            <w:shd w:val="clear" w:color="auto" w:fill="auto"/>
            <w:vAlign w:val="center"/>
          </w:tcPr>
          <w:p w14:paraId="330B053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57</w:t>
            </w:r>
          </w:p>
        </w:tc>
        <w:tc>
          <w:tcPr>
            <w:tcW w:w="1117" w:type="dxa"/>
            <w:tcBorders>
              <w:tl2br w:val="nil"/>
              <w:tr2bl w:val="nil"/>
            </w:tcBorders>
            <w:shd w:val="clear" w:color="auto" w:fill="auto"/>
            <w:vAlign w:val="center"/>
          </w:tcPr>
          <w:p w14:paraId="6CE9F04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48</w:t>
            </w:r>
          </w:p>
        </w:tc>
        <w:tc>
          <w:tcPr>
            <w:tcW w:w="887" w:type="pct"/>
            <w:tcBorders>
              <w:tl2br w:val="nil"/>
              <w:tr2bl w:val="nil"/>
            </w:tcBorders>
            <w:shd w:val="clear" w:color="auto" w:fill="auto"/>
            <w:vAlign w:val="center"/>
          </w:tcPr>
          <w:p w14:paraId="6EB33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170</w:t>
            </w:r>
          </w:p>
        </w:tc>
        <w:tc>
          <w:tcPr>
            <w:tcW w:w="389" w:type="pct"/>
            <w:tcBorders>
              <w:tl2br w:val="nil"/>
              <w:tr2bl w:val="nil"/>
            </w:tcBorders>
            <w:shd w:val="clear" w:color="auto" w:fill="auto"/>
            <w:vAlign w:val="center"/>
          </w:tcPr>
          <w:p w14:paraId="08AEFB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C11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53" w:type="pct"/>
            <w:vMerge w:val="continue"/>
            <w:tcBorders>
              <w:tl2br w:val="nil"/>
              <w:tr2bl w:val="nil"/>
            </w:tcBorders>
            <w:shd w:val="clear" w:color="auto" w:fill="auto"/>
            <w:vAlign w:val="center"/>
          </w:tcPr>
          <w:p w14:paraId="63BE8F4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24F8E2F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汞</w:t>
            </w:r>
          </w:p>
        </w:tc>
        <w:tc>
          <w:tcPr>
            <w:tcW w:w="723" w:type="pct"/>
            <w:tcBorders>
              <w:tl2br w:val="nil"/>
              <w:tr2bl w:val="nil"/>
            </w:tcBorders>
            <w:shd w:val="clear" w:color="auto" w:fill="auto"/>
            <w:vAlign w:val="center"/>
          </w:tcPr>
          <w:p w14:paraId="4B164C5D">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233C31FE">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0.253</w:t>
            </w:r>
          </w:p>
        </w:tc>
        <w:tc>
          <w:tcPr>
            <w:tcW w:w="1117" w:type="dxa"/>
            <w:tcBorders>
              <w:tl2br w:val="nil"/>
              <w:tr2bl w:val="nil"/>
            </w:tcBorders>
            <w:shd w:val="clear" w:color="auto" w:fill="auto"/>
            <w:vAlign w:val="center"/>
          </w:tcPr>
          <w:p w14:paraId="24AF8C1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0.254</w:t>
            </w:r>
          </w:p>
        </w:tc>
        <w:tc>
          <w:tcPr>
            <w:tcW w:w="1117" w:type="dxa"/>
            <w:tcBorders>
              <w:tl2br w:val="nil"/>
              <w:tr2bl w:val="nil"/>
            </w:tcBorders>
            <w:shd w:val="clear" w:color="auto" w:fill="auto"/>
            <w:vAlign w:val="center"/>
          </w:tcPr>
          <w:p w14:paraId="0FAC3DC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0.275</w:t>
            </w:r>
          </w:p>
        </w:tc>
        <w:tc>
          <w:tcPr>
            <w:tcW w:w="887" w:type="pct"/>
            <w:tcBorders>
              <w:tl2br w:val="nil"/>
              <w:tr2bl w:val="nil"/>
            </w:tcBorders>
            <w:shd w:val="clear" w:color="auto" w:fill="auto"/>
            <w:vAlign w:val="center"/>
          </w:tcPr>
          <w:p w14:paraId="4C2D9C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3.4</w:t>
            </w:r>
          </w:p>
        </w:tc>
        <w:tc>
          <w:tcPr>
            <w:tcW w:w="389" w:type="pct"/>
            <w:tcBorders>
              <w:tl2br w:val="nil"/>
              <w:tr2bl w:val="nil"/>
            </w:tcBorders>
            <w:shd w:val="clear" w:color="auto" w:fill="auto"/>
            <w:vAlign w:val="center"/>
          </w:tcPr>
          <w:p w14:paraId="64FD6A9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7851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76C3422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2C3EF9D9">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镍</w:t>
            </w:r>
          </w:p>
        </w:tc>
        <w:tc>
          <w:tcPr>
            <w:tcW w:w="723" w:type="pct"/>
            <w:tcBorders>
              <w:tl2br w:val="nil"/>
              <w:tr2bl w:val="nil"/>
            </w:tcBorders>
            <w:shd w:val="clear" w:color="auto" w:fill="auto"/>
            <w:vAlign w:val="center"/>
          </w:tcPr>
          <w:p w14:paraId="4FAD1BC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1622164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15</w:t>
            </w:r>
          </w:p>
        </w:tc>
        <w:tc>
          <w:tcPr>
            <w:tcW w:w="1117" w:type="dxa"/>
            <w:tcBorders>
              <w:tl2br w:val="nil"/>
              <w:tr2bl w:val="nil"/>
            </w:tcBorders>
            <w:shd w:val="clear" w:color="auto" w:fill="auto"/>
            <w:vAlign w:val="center"/>
          </w:tcPr>
          <w:p w14:paraId="3D5C0D84">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13</w:t>
            </w:r>
          </w:p>
        </w:tc>
        <w:tc>
          <w:tcPr>
            <w:tcW w:w="1117" w:type="dxa"/>
            <w:tcBorders>
              <w:tl2br w:val="nil"/>
              <w:tr2bl w:val="nil"/>
            </w:tcBorders>
            <w:shd w:val="clear" w:color="auto" w:fill="auto"/>
            <w:vAlign w:val="center"/>
          </w:tcPr>
          <w:p w14:paraId="4117A9FF">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10</w:t>
            </w:r>
          </w:p>
        </w:tc>
        <w:tc>
          <w:tcPr>
            <w:tcW w:w="887" w:type="pct"/>
            <w:tcBorders>
              <w:tl2br w:val="nil"/>
              <w:tr2bl w:val="nil"/>
            </w:tcBorders>
            <w:shd w:val="clear" w:color="auto" w:fill="auto"/>
            <w:vAlign w:val="center"/>
          </w:tcPr>
          <w:p w14:paraId="498AAE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100</w:t>
            </w:r>
          </w:p>
        </w:tc>
        <w:tc>
          <w:tcPr>
            <w:tcW w:w="389" w:type="pct"/>
            <w:tcBorders>
              <w:tl2br w:val="nil"/>
              <w:tr2bl w:val="nil"/>
            </w:tcBorders>
            <w:shd w:val="clear" w:color="auto" w:fill="auto"/>
            <w:vAlign w:val="center"/>
          </w:tcPr>
          <w:p w14:paraId="2503A1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4BF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3" w:type="pct"/>
            <w:vMerge w:val="continue"/>
            <w:tcBorders>
              <w:tl2br w:val="nil"/>
              <w:tr2bl w:val="nil"/>
            </w:tcBorders>
            <w:shd w:val="clear" w:color="auto" w:fill="auto"/>
            <w:vAlign w:val="center"/>
          </w:tcPr>
          <w:p w14:paraId="0D072C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46042948">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锌</w:t>
            </w:r>
          </w:p>
        </w:tc>
        <w:tc>
          <w:tcPr>
            <w:tcW w:w="723" w:type="pct"/>
            <w:tcBorders>
              <w:tl2br w:val="nil"/>
              <w:tr2bl w:val="nil"/>
            </w:tcBorders>
            <w:shd w:val="clear" w:color="auto" w:fill="auto"/>
            <w:vAlign w:val="center"/>
          </w:tcPr>
          <w:p w14:paraId="72B637DB">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671C570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54</w:t>
            </w:r>
          </w:p>
        </w:tc>
        <w:tc>
          <w:tcPr>
            <w:tcW w:w="1117" w:type="dxa"/>
            <w:tcBorders>
              <w:tl2br w:val="nil"/>
              <w:tr2bl w:val="nil"/>
            </w:tcBorders>
            <w:shd w:val="clear" w:color="auto" w:fill="auto"/>
            <w:vAlign w:val="center"/>
          </w:tcPr>
          <w:p w14:paraId="48D86A03">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54</w:t>
            </w:r>
          </w:p>
        </w:tc>
        <w:tc>
          <w:tcPr>
            <w:tcW w:w="1117" w:type="dxa"/>
            <w:tcBorders>
              <w:tl2br w:val="nil"/>
              <w:tr2bl w:val="nil"/>
            </w:tcBorders>
            <w:shd w:val="clear" w:color="auto" w:fill="auto"/>
            <w:vAlign w:val="center"/>
          </w:tcPr>
          <w:p w14:paraId="10EEA150">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50</w:t>
            </w:r>
          </w:p>
        </w:tc>
        <w:tc>
          <w:tcPr>
            <w:tcW w:w="887" w:type="pct"/>
            <w:tcBorders>
              <w:tl2br w:val="nil"/>
              <w:tr2bl w:val="nil"/>
            </w:tcBorders>
            <w:shd w:val="clear" w:color="auto" w:fill="auto"/>
            <w:vAlign w:val="center"/>
          </w:tcPr>
          <w:p w14:paraId="2B089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300</w:t>
            </w:r>
          </w:p>
        </w:tc>
        <w:tc>
          <w:tcPr>
            <w:tcW w:w="389" w:type="pct"/>
            <w:tcBorders>
              <w:tl2br w:val="nil"/>
              <w:tr2bl w:val="nil"/>
            </w:tcBorders>
            <w:shd w:val="clear" w:color="auto" w:fill="auto"/>
            <w:vAlign w:val="center"/>
          </w:tcPr>
          <w:p w14:paraId="371FBA6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r w14:paraId="3338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 w:type="pct"/>
            <w:vMerge w:val="continue"/>
            <w:tcBorders>
              <w:tl2br w:val="nil"/>
              <w:tr2bl w:val="nil"/>
            </w:tcBorders>
            <w:shd w:val="clear" w:color="auto" w:fill="auto"/>
            <w:vAlign w:val="center"/>
          </w:tcPr>
          <w:p w14:paraId="75AE356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red"/>
              </w:rPr>
            </w:pPr>
          </w:p>
        </w:tc>
        <w:tc>
          <w:tcPr>
            <w:tcW w:w="549" w:type="pct"/>
            <w:tcBorders>
              <w:tl2br w:val="nil"/>
              <w:tr2bl w:val="nil"/>
            </w:tcBorders>
            <w:shd w:val="clear" w:color="auto" w:fill="auto"/>
            <w:vAlign w:val="center"/>
          </w:tcPr>
          <w:p w14:paraId="6A38BD07">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铬</w:t>
            </w:r>
          </w:p>
        </w:tc>
        <w:tc>
          <w:tcPr>
            <w:tcW w:w="723" w:type="pct"/>
            <w:tcBorders>
              <w:tl2br w:val="nil"/>
              <w:tr2bl w:val="nil"/>
            </w:tcBorders>
            <w:shd w:val="clear" w:color="auto" w:fill="auto"/>
            <w:vAlign w:val="center"/>
          </w:tcPr>
          <w:p w14:paraId="50EFAC72">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trike w:val="0"/>
                <w:dstrike w:val="0"/>
                <w:color w:val="auto"/>
                <w:sz w:val="21"/>
                <w:szCs w:val="21"/>
                <w:highlight w:val="none"/>
                <w:lang w:val="en-US" w:eastAsia="zh-CN"/>
              </w:rPr>
            </w:pPr>
            <w:r>
              <w:rPr>
                <w:rFonts w:hint="default" w:ascii="Times New Roman" w:hAnsi="Times New Roman" w:eastAsia="宋体" w:cs="Times New Roman"/>
                <w:strike w:val="0"/>
                <w:dstrike w:val="0"/>
                <w:color w:val="auto"/>
                <w:sz w:val="21"/>
                <w:szCs w:val="21"/>
                <w:highlight w:val="none"/>
                <w:lang w:val="en-US" w:eastAsia="zh-CN"/>
              </w:rPr>
              <w:t>mg/kg</w:t>
            </w:r>
          </w:p>
        </w:tc>
        <w:tc>
          <w:tcPr>
            <w:tcW w:w="685" w:type="pct"/>
            <w:tcBorders>
              <w:tl2br w:val="nil"/>
              <w:tr2bl w:val="nil"/>
            </w:tcBorders>
            <w:shd w:val="clear" w:color="auto" w:fill="auto"/>
            <w:vAlign w:val="center"/>
          </w:tcPr>
          <w:p w14:paraId="441B85B6">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73</w:t>
            </w:r>
          </w:p>
        </w:tc>
        <w:tc>
          <w:tcPr>
            <w:tcW w:w="1117" w:type="dxa"/>
            <w:tcBorders>
              <w:tl2br w:val="nil"/>
              <w:tr2bl w:val="nil"/>
            </w:tcBorders>
            <w:shd w:val="clear" w:color="auto" w:fill="auto"/>
            <w:vAlign w:val="center"/>
          </w:tcPr>
          <w:p w14:paraId="1D530B1B">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71</w:t>
            </w:r>
          </w:p>
        </w:tc>
        <w:tc>
          <w:tcPr>
            <w:tcW w:w="655" w:type="pct"/>
            <w:tcBorders>
              <w:tl2br w:val="nil"/>
              <w:tr2bl w:val="nil"/>
            </w:tcBorders>
            <w:shd w:val="clear" w:color="auto" w:fill="auto"/>
            <w:vAlign w:val="center"/>
          </w:tcPr>
          <w:p w14:paraId="2E2013AE">
            <w:pPr>
              <w:pStyle w:val="151"/>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trike w:val="0"/>
                <w:dstrike w:val="0"/>
                <w:color w:val="auto"/>
                <w:sz w:val="21"/>
                <w:szCs w:val="21"/>
                <w:highlight w:val="none"/>
                <w:lang w:val="en-US" w:eastAsia="zh-CN"/>
              </w:rPr>
            </w:pPr>
            <w:r>
              <w:rPr>
                <w:rFonts w:hint="eastAsia" w:ascii="Times New Roman" w:hAnsi="Times New Roman" w:eastAsia="宋体" w:cs="Times New Roman"/>
                <w:strike w:val="0"/>
                <w:dstrike w:val="0"/>
                <w:color w:val="auto"/>
                <w:sz w:val="21"/>
                <w:szCs w:val="21"/>
                <w:highlight w:val="none"/>
                <w:lang w:val="en-US" w:eastAsia="zh-CN"/>
              </w:rPr>
              <w:t>68</w:t>
            </w:r>
          </w:p>
        </w:tc>
        <w:tc>
          <w:tcPr>
            <w:tcW w:w="887" w:type="pct"/>
            <w:tcBorders>
              <w:tl2br w:val="nil"/>
              <w:tr2bl w:val="nil"/>
            </w:tcBorders>
            <w:shd w:val="clear" w:color="auto" w:fill="auto"/>
            <w:vAlign w:val="center"/>
          </w:tcPr>
          <w:p w14:paraId="44A369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kern w:val="0"/>
                <w:sz w:val="21"/>
                <w:szCs w:val="21"/>
                <w:highlight w:val="none"/>
                <w:lang w:val="en-US" w:eastAsia="zh-CN"/>
              </w:rPr>
            </w:pPr>
            <w:r>
              <w:rPr>
                <w:rFonts w:hint="eastAsia" w:ascii="Times New Roman" w:hAnsi="Times New Roman" w:eastAsia="宋体"/>
                <w:strike w:val="0"/>
                <w:dstrike w:val="0"/>
                <w:color w:val="auto"/>
                <w:kern w:val="0"/>
                <w:sz w:val="21"/>
                <w:szCs w:val="21"/>
                <w:highlight w:val="none"/>
                <w:lang w:val="en-US" w:eastAsia="zh-CN"/>
              </w:rPr>
              <w:t>250</w:t>
            </w:r>
          </w:p>
        </w:tc>
        <w:tc>
          <w:tcPr>
            <w:tcW w:w="389" w:type="pct"/>
            <w:tcBorders>
              <w:tl2br w:val="nil"/>
              <w:tr2bl w:val="nil"/>
            </w:tcBorders>
            <w:shd w:val="clear" w:color="auto" w:fill="auto"/>
            <w:vAlign w:val="center"/>
          </w:tcPr>
          <w:p w14:paraId="49344F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Times New Roman" w:hAnsi="Times New Roman" w:eastAsia="宋体"/>
                <w:strike w:val="0"/>
                <w:dstrike w:val="0"/>
                <w:color w:val="auto"/>
                <w:kern w:val="0"/>
                <w:sz w:val="21"/>
                <w:szCs w:val="21"/>
                <w:highlight w:val="none"/>
              </w:rPr>
            </w:pPr>
            <w:r>
              <w:rPr>
                <w:rFonts w:hint="eastAsia" w:ascii="Times New Roman" w:hAnsi="Times New Roman" w:eastAsia="宋体"/>
                <w:strike w:val="0"/>
                <w:dstrike w:val="0"/>
                <w:color w:val="auto"/>
                <w:kern w:val="0"/>
                <w:sz w:val="21"/>
                <w:szCs w:val="21"/>
                <w:highlight w:val="none"/>
                <w:lang w:val="en-US" w:eastAsia="zh-CN"/>
              </w:rPr>
              <w:t>达标</w:t>
            </w:r>
          </w:p>
        </w:tc>
      </w:tr>
    </w:tbl>
    <w:p w14:paraId="63D7E6E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根据监测结果可知，项目所在区域土壤环境质量满足</w:t>
      </w:r>
      <w:r>
        <w:rPr>
          <w:rFonts w:hint="eastAsia" w:ascii="Times New Roman" w:hAnsi="Times New Roman" w:eastAsia="宋体"/>
          <w:strike w:val="0"/>
          <w:dstrike w:val="0"/>
          <w:color w:val="auto"/>
          <w:highlight w:val="none"/>
          <w:lang w:eastAsia="zh-CN"/>
        </w:rPr>
        <w:t>《土壤环境质量农用地土壤污染风险管控标准（试行）》</w:t>
      </w:r>
      <w:r>
        <w:rPr>
          <w:rFonts w:hint="eastAsia" w:ascii="Times New Roman" w:hAnsi="Times New Roman" w:eastAsia="宋体"/>
          <w:strike w:val="0"/>
          <w:dstrike w:val="0"/>
          <w:color w:val="auto"/>
          <w:highlight w:val="none"/>
        </w:rPr>
        <w:t>（GB</w:t>
      </w:r>
      <w:r>
        <w:rPr>
          <w:rFonts w:ascii="Times New Roman" w:hAnsi="Times New Roman" w:eastAsia="宋体"/>
          <w:strike w:val="0"/>
          <w:dstrike w:val="0"/>
          <w:color w:val="auto"/>
          <w:highlight w:val="none"/>
        </w:rPr>
        <w:t>15618</w:t>
      </w:r>
      <w:r>
        <w:rPr>
          <w:rFonts w:hint="eastAsia" w:ascii="Times New Roman" w:hAnsi="Times New Roman" w:eastAsia="宋体"/>
          <w:strike w:val="0"/>
          <w:dstrike w:val="0"/>
          <w:color w:val="auto"/>
          <w:highlight w:val="none"/>
        </w:rPr>
        <w:t>-2018）中农用地风险筛选值</w:t>
      </w:r>
      <w:r>
        <w:rPr>
          <w:rFonts w:hint="eastAsia" w:ascii="Times New Roman" w:hAnsi="Times New Roman" w:eastAsia="宋体"/>
          <w:strike w:val="0"/>
          <w:dstrike w:val="0"/>
          <w:color w:val="auto"/>
          <w:highlight w:val="none"/>
          <w:lang w:eastAsia="zh-CN"/>
        </w:rPr>
        <w:t>。</w:t>
      </w:r>
    </w:p>
    <w:p w14:paraId="4357472B">
      <w:pPr>
        <w:pStyle w:val="4"/>
        <w:rPr>
          <w:rFonts w:ascii="Times New Roman" w:hAnsi="Times New Roman" w:eastAsia="宋体"/>
          <w:strike w:val="0"/>
          <w:dstrike w:val="0"/>
          <w:color w:val="auto"/>
          <w:highlight w:val="none"/>
        </w:rPr>
      </w:pPr>
      <w:bookmarkStart w:id="212" w:name="_Toc12481"/>
      <w:bookmarkStart w:id="213" w:name="_Toc106663491"/>
      <w:r>
        <w:rPr>
          <w:rFonts w:hint="eastAsia" w:ascii="Times New Roman" w:hAnsi="Times New Roman" w:eastAsia="宋体"/>
          <w:strike w:val="0"/>
          <w:dstrike w:val="0"/>
          <w:color w:val="auto"/>
          <w:highlight w:val="none"/>
        </w:rPr>
        <w:t>4.2.6生态现状调查</w:t>
      </w:r>
      <w:bookmarkEnd w:id="212"/>
      <w:bookmarkEnd w:id="213"/>
    </w:p>
    <w:p w14:paraId="3779054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（1）生态功能区划</w:t>
      </w:r>
    </w:p>
    <w:p w14:paraId="642C57E7">
      <w:pPr>
        <w:pStyle w:val="163"/>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根据《新疆生态功能区划》，本项目所在区域属于</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准噶尔盆地温性荒漠与绿洲农业生态区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Ⅱ</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准噶尔盆地南部荒漠绿洲农业生态亚区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Ⅱ3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23古尔班通古特沙漠化敏感及植被保护生态功能区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该生态功能区的主要生态服务功能、生态敏感因子、主要生态环境问题和主要保护目标见表4.2-1</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52AFD10F">
      <w:pPr>
        <w:pStyle w:val="169"/>
        <w:spacing w:before="163" w:beforeLines="50" w:line="240" w:lineRule="auto"/>
        <w:ind w:firstLine="480"/>
        <w:outlineLvl w:val="9"/>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表4.2-1</w:t>
      </w:r>
      <w:r>
        <w:rPr>
          <w:rFonts w:hint="eastAsia" w:ascii="Times New Roman" w:hAnsi="Times New Roman" w:eastAsia="宋体"/>
          <w:strike w:val="0"/>
          <w:dstrike w:val="0"/>
          <w:color w:val="auto"/>
          <w:highlight w:val="none"/>
          <w:lang w:val="en-US" w:eastAsia="zh-CN"/>
        </w:rPr>
        <w:t>2</w:t>
      </w:r>
      <w:r>
        <w:rPr>
          <w:rFonts w:ascii="Times New Roman" w:hAnsi="Times New Roman" w:eastAsia="宋体"/>
          <w:strike w:val="0"/>
          <w:dstrike w:val="0"/>
          <w:color w:val="auto"/>
          <w:highlight w:val="none"/>
        </w:rPr>
        <w:t>评价区生态功能区划</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57"/>
        <w:gridCol w:w="1341"/>
        <w:gridCol w:w="6011"/>
      </w:tblGrid>
      <w:tr w14:paraId="54912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jc w:val="center"/>
        </w:trPr>
        <w:tc>
          <w:tcPr>
            <w:tcW w:w="576" w:type="pct"/>
            <w:vMerge w:val="restart"/>
            <w:tcBorders>
              <w:bottom w:val="nil"/>
            </w:tcBorders>
            <w:vAlign w:val="center"/>
          </w:tcPr>
          <w:p w14:paraId="738BDCE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生态功能分区单元</w:t>
            </w:r>
          </w:p>
        </w:tc>
        <w:tc>
          <w:tcPr>
            <w:tcW w:w="807" w:type="pct"/>
            <w:vAlign w:val="center"/>
          </w:tcPr>
          <w:p w14:paraId="15058852">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生态区</w:t>
            </w:r>
          </w:p>
        </w:tc>
        <w:tc>
          <w:tcPr>
            <w:tcW w:w="3616" w:type="pct"/>
            <w:vAlign w:val="center"/>
          </w:tcPr>
          <w:p w14:paraId="2D57394D">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Ⅱ准噶尔盆地温性荒漠与绿洲农业生态区</w:t>
            </w:r>
          </w:p>
        </w:tc>
      </w:tr>
      <w:tr w14:paraId="21702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jc w:val="center"/>
        </w:trPr>
        <w:tc>
          <w:tcPr>
            <w:tcW w:w="576" w:type="pct"/>
            <w:vMerge w:val="continue"/>
            <w:tcBorders>
              <w:top w:val="nil"/>
              <w:bottom w:val="nil"/>
            </w:tcBorders>
            <w:vAlign w:val="center"/>
          </w:tcPr>
          <w:p w14:paraId="5B80DA1F">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807" w:type="pct"/>
            <w:vAlign w:val="center"/>
          </w:tcPr>
          <w:p w14:paraId="37E50170">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生态亚区</w:t>
            </w:r>
          </w:p>
        </w:tc>
        <w:tc>
          <w:tcPr>
            <w:tcW w:w="3616" w:type="pct"/>
            <w:vAlign w:val="center"/>
          </w:tcPr>
          <w:p w14:paraId="7DB3AA48">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Ⅱ</w:t>
            </w:r>
            <w:r>
              <w:rPr>
                <w:rFonts w:hint="eastAsia" w:ascii="Times New Roman" w:hAnsi="Times New Roman" w:eastAsia="宋体" w:cs="Times New Roman"/>
                <w:strike w:val="0"/>
                <w:dstrike w:val="0"/>
                <w:color w:val="auto"/>
                <w:spacing w:val="0"/>
                <w:position w:val="-2"/>
                <w:sz w:val="21"/>
                <w:szCs w:val="14"/>
                <w:highlight w:val="none"/>
                <w:vertAlign w:val="subscript"/>
                <w:lang w:val="en-US" w:eastAsia="zh-CN"/>
              </w:rPr>
              <w:t>5</w:t>
            </w:r>
            <w:r>
              <w:rPr>
                <w:rFonts w:ascii="Times New Roman" w:hAnsi="Times New Roman" w:eastAsia="宋体" w:cs="宋体"/>
                <w:strike w:val="0"/>
                <w:dstrike w:val="0"/>
                <w:color w:val="auto"/>
                <w:spacing w:val="0"/>
                <w:sz w:val="21"/>
                <w:szCs w:val="21"/>
                <w:highlight w:val="none"/>
              </w:rPr>
              <w:t>准噶尔盆地南部荒漠绿洲农业生态亚区</w:t>
            </w:r>
          </w:p>
        </w:tc>
      </w:tr>
      <w:tr w14:paraId="59B5D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jc w:val="center"/>
        </w:trPr>
        <w:tc>
          <w:tcPr>
            <w:tcW w:w="576" w:type="pct"/>
            <w:vMerge w:val="continue"/>
            <w:tcBorders>
              <w:top w:val="nil"/>
            </w:tcBorders>
            <w:vAlign w:val="center"/>
          </w:tcPr>
          <w:p w14:paraId="51DD4995">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strike w:val="0"/>
                <w:dstrike w:val="0"/>
                <w:color w:val="auto"/>
                <w:spacing w:val="0"/>
                <w:sz w:val="21"/>
                <w:highlight w:val="none"/>
              </w:rPr>
            </w:pPr>
          </w:p>
        </w:tc>
        <w:tc>
          <w:tcPr>
            <w:tcW w:w="807" w:type="pct"/>
            <w:vAlign w:val="center"/>
          </w:tcPr>
          <w:p w14:paraId="512924BC">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生态功能区</w:t>
            </w:r>
          </w:p>
        </w:tc>
        <w:tc>
          <w:tcPr>
            <w:tcW w:w="6011" w:type="dxa"/>
            <w:vAlign w:val="top"/>
          </w:tcPr>
          <w:p w14:paraId="3167A9FE">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28.阜康-木垒绿洲农业、荒漠草地保护生态功能区</w:t>
            </w:r>
          </w:p>
        </w:tc>
      </w:tr>
      <w:tr w14:paraId="28756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jc w:val="center"/>
        </w:trPr>
        <w:tc>
          <w:tcPr>
            <w:tcW w:w="1383" w:type="pct"/>
            <w:gridSpan w:val="2"/>
            <w:vAlign w:val="center"/>
          </w:tcPr>
          <w:p w14:paraId="64B6D657">
            <w:pPr>
              <w:keepNext w:val="0"/>
              <w:keepLines w:val="0"/>
              <w:pageBreakBefore w:val="0"/>
              <w:widowControl w:val="0"/>
              <w:kinsoku/>
              <w:wordWrap/>
              <w:overflowPunct/>
              <w:topLinePunct w:val="0"/>
              <w:autoSpaceDE/>
              <w:autoSpaceDN/>
              <w:bidi w:val="0"/>
              <w:adjustRightInd/>
              <w:snapToGrid/>
              <w:spacing w:line="360" w:lineRule="exact"/>
              <w:ind w:lef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主要生态服务功能</w:t>
            </w:r>
          </w:p>
        </w:tc>
        <w:tc>
          <w:tcPr>
            <w:tcW w:w="6011" w:type="dxa"/>
            <w:vAlign w:val="top"/>
          </w:tcPr>
          <w:p w14:paraId="4105E52A">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农牧业产品生产、人居环境、荒漠化控制</w:t>
            </w:r>
          </w:p>
        </w:tc>
      </w:tr>
      <w:tr w14:paraId="4275C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2298" w:type="dxa"/>
            <w:gridSpan w:val="2"/>
            <w:vAlign w:val="top"/>
          </w:tcPr>
          <w:p w14:paraId="7296DBE3">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主要生态环境问题</w:t>
            </w:r>
          </w:p>
        </w:tc>
        <w:tc>
          <w:tcPr>
            <w:tcW w:w="6011" w:type="dxa"/>
            <w:vAlign w:val="top"/>
          </w:tcPr>
          <w:p w14:paraId="3D29CB57">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地下水超采、荒漠植被退化、沙漠化威胁、局部土壤盐渍化、河流萎缩、滥开荒地</w:t>
            </w:r>
          </w:p>
        </w:tc>
      </w:tr>
      <w:tr w14:paraId="15A6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298" w:type="dxa"/>
            <w:gridSpan w:val="2"/>
            <w:vAlign w:val="top"/>
          </w:tcPr>
          <w:p w14:paraId="510CB447">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主要生态敏感因子、敏感程度</w:t>
            </w:r>
          </w:p>
        </w:tc>
        <w:tc>
          <w:tcPr>
            <w:tcW w:w="6011" w:type="dxa"/>
            <w:vAlign w:val="top"/>
          </w:tcPr>
          <w:p w14:paraId="4661A0FB">
            <w:pPr>
              <w:spacing w:line="240" w:lineRule="auto"/>
              <w:ind w:firstLine="0" w:firstLineChars="0"/>
              <w:jc w:val="center"/>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Times New Roman"/>
                <w:strike w:val="0"/>
                <w:dstrike w:val="0"/>
                <w:color w:val="auto"/>
                <w:sz w:val="21"/>
                <w:szCs w:val="21"/>
                <w:highlight w:val="none"/>
                <w:lang w:val="en-US" w:eastAsia="zh-CN"/>
              </w:rPr>
              <w:t>生物多样性及其生态环境中敏感程度，土壤侵蚀轻度敏感，土地沙漠化中度敏感，土壤盐渍化轻度敏感</w:t>
            </w:r>
          </w:p>
        </w:tc>
      </w:tr>
      <w:tr w14:paraId="2BFBA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298" w:type="dxa"/>
            <w:gridSpan w:val="2"/>
            <w:vAlign w:val="top"/>
          </w:tcPr>
          <w:p w14:paraId="1E46ACAE">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主要保护目标</w:t>
            </w:r>
          </w:p>
        </w:tc>
        <w:tc>
          <w:tcPr>
            <w:tcW w:w="6011" w:type="dxa"/>
            <w:vAlign w:val="top"/>
          </w:tcPr>
          <w:p w14:paraId="6D5E0D83">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保护基本农田、保护荒漠植被、保护土壤环境质量</w:t>
            </w:r>
          </w:p>
        </w:tc>
      </w:tr>
      <w:tr w14:paraId="40FD0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5" w:hRule="atLeast"/>
          <w:jc w:val="center"/>
        </w:trPr>
        <w:tc>
          <w:tcPr>
            <w:tcW w:w="2298" w:type="dxa"/>
            <w:gridSpan w:val="2"/>
            <w:vAlign w:val="top"/>
          </w:tcPr>
          <w:p w14:paraId="7B3D0DB7">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主要保护措施</w:t>
            </w:r>
          </w:p>
        </w:tc>
        <w:tc>
          <w:tcPr>
            <w:tcW w:w="6011" w:type="dxa"/>
            <w:vAlign w:val="top"/>
          </w:tcPr>
          <w:p w14:paraId="13F0262A">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节水灌溉、草场休牧、对坡耕地和沙化土地实施退耕还林（草），在水源无保障、植被稀少、生态脆弱地带禁止开荒、加强农田投入品的使用管理</w:t>
            </w:r>
          </w:p>
        </w:tc>
      </w:tr>
      <w:tr w14:paraId="0105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2298" w:type="dxa"/>
            <w:gridSpan w:val="2"/>
            <w:vAlign w:val="top"/>
          </w:tcPr>
          <w:p w14:paraId="3D43C5ED">
            <w:pPr>
              <w:spacing w:line="240" w:lineRule="auto"/>
              <w:ind w:firstLine="0" w:firstLineChars="0"/>
              <w:jc w:val="center"/>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Times New Roman"/>
                <w:strike w:val="0"/>
                <w:dstrike w:val="0"/>
                <w:color w:val="auto"/>
                <w:sz w:val="21"/>
                <w:szCs w:val="21"/>
                <w:highlight w:val="none"/>
                <w:lang w:val="en-US" w:eastAsia="zh-CN"/>
              </w:rPr>
              <w:t>适宜发展方向</w:t>
            </w:r>
          </w:p>
        </w:tc>
        <w:tc>
          <w:tcPr>
            <w:tcW w:w="6011" w:type="dxa"/>
            <w:vAlign w:val="top"/>
          </w:tcPr>
          <w:p w14:paraId="1583DB41">
            <w:pPr>
              <w:spacing w:line="240" w:lineRule="auto"/>
              <w:ind w:firstLine="0" w:firstLineChars="0"/>
              <w:jc w:val="center"/>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Times New Roman"/>
                <w:strike w:val="0"/>
                <w:dstrike w:val="0"/>
                <w:color w:val="auto"/>
                <w:sz w:val="21"/>
                <w:szCs w:val="21"/>
                <w:highlight w:val="none"/>
                <w:lang w:val="en-US" w:eastAsia="zh-CN"/>
              </w:rPr>
              <w:t>农牧结合，发展优质、高效特色农业和畜牧业</w:t>
            </w:r>
          </w:p>
        </w:tc>
      </w:tr>
    </w:tbl>
    <w:p w14:paraId="31A7E976">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现状用地性质</w:t>
      </w:r>
    </w:p>
    <w:p w14:paraId="4274D0A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lang w:val="en-US" w:eastAsia="zh-CN"/>
        </w:rPr>
        <w:t>位于</w:t>
      </w:r>
      <w:r>
        <w:rPr>
          <w:rFonts w:hint="eastAsia" w:ascii="Times New Roman" w:hAnsi="Times New Roman" w:eastAsia="宋体"/>
          <w:strike w:val="0"/>
          <w:dstrike w:val="0"/>
          <w:color w:val="auto"/>
          <w:highlight w:val="none"/>
        </w:rPr>
        <w:t>昌吉木垒县博斯坦乡阿克卓勒村，用地性质为设施农用地，土地利用现状为荒草地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土地利用现状见附图4.2-3</w:t>
      </w:r>
      <w:r>
        <w:rPr>
          <w:rFonts w:hint="eastAsia" w:ascii="Times New Roman" w:hAnsi="Times New Roman" w:eastAsia="宋体"/>
          <w:strike w:val="0"/>
          <w:dstrike w:val="0"/>
          <w:color w:val="auto"/>
          <w:highlight w:val="none"/>
          <w:lang w:eastAsia="zh-CN"/>
        </w:rPr>
        <w:t>。</w:t>
      </w:r>
    </w:p>
    <w:p w14:paraId="169D3C04">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土壤类型</w:t>
      </w:r>
    </w:p>
    <w:p w14:paraId="354CFF9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土质以轻壤、中壤为主，其次是沙壤、重壤、粘土等，土壤有机质含量为2.39%，含氮0.14%、含磷0.18%、碳酸钙14.9%，土壤</w:t>
      </w:r>
      <w:r>
        <w:rPr>
          <w:rFonts w:hint="eastAsia" w:ascii="Times New Roman" w:hAnsi="Times New Roman" w:eastAsia="宋体"/>
          <w:strike w:val="0"/>
          <w:dstrike w:val="0"/>
          <w:color w:val="auto"/>
          <w:highlight w:val="none"/>
          <w:lang w:eastAsia="zh-CN"/>
        </w:rPr>
        <w:t>pH值</w:t>
      </w:r>
      <w:r>
        <w:rPr>
          <w:rFonts w:hint="eastAsia" w:ascii="Times New Roman" w:hAnsi="Times New Roman" w:eastAsia="宋体"/>
          <w:strike w:val="0"/>
          <w:dstrike w:val="0"/>
          <w:color w:val="auto"/>
          <w:highlight w:val="none"/>
        </w:rPr>
        <w:t>为5.5~6.5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土壤理化和生物性能良好，土质宜农宜牧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土壤类型图见附图4.2-4</w:t>
      </w:r>
      <w:r>
        <w:rPr>
          <w:rFonts w:hint="eastAsia" w:ascii="Times New Roman" w:hAnsi="Times New Roman" w:eastAsia="宋体"/>
          <w:strike w:val="0"/>
          <w:dstrike w:val="0"/>
          <w:color w:val="auto"/>
          <w:highlight w:val="none"/>
          <w:lang w:eastAsia="zh-CN"/>
        </w:rPr>
        <w:t>。</w:t>
      </w:r>
    </w:p>
    <w:p w14:paraId="3B35838F">
      <w:pPr>
        <w:numPr>
          <w:ilvl w:val="0"/>
          <w:numId w:val="0"/>
        </w:numPr>
        <w:ind w:left="0" w:leftChars="0" w:firstLine="480" w:firstLineChars="20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（6）</w:t>
      </w:r>
      <w:r>
        <w:rPr>
          <w:rFonts w:hint="eastAsia" w:ascii="Times New Roman" w:hAnsi="Times New Roman" w:eastAsia="宋体"/>
          <w:strike w:val="0"/>
          <w:dstrike w:val="0"/>
          <w:color w:val="auto"/>
          <w:highlight w:val="none"/>
          <w:lang w:val="en-US" w:eastAsia="zh-CN"/>
        </w:rPr>
        <w:t>植被类型</w:t>
      </w:r>
    </w:p>
    <w:p w14:paraId="009C127A">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本项目位于</w:t>
      </w:r>
      <w:r>
        <w:rPr>
          <w:rFonts w:hint="default" w:ascii="Times New Roman" w:hAnsi="Times New Roman" w:eastAsia="宋体"/>
          <w:strike w:val="0"/>
          <w:dstrike w:val="0"/>
          <w:color w:val="auto"/>
          <w:highlight w:val="none"/>
          <w:lang w:val="en-US" w:eastAsia="zh-CN"/>
        </w:rPr>
        <w:t>木垒哈萨克自治县</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植被型组</w:t>
      </w:r>
      <w:r>
        <w:rPr>
          <w:rFonts w:hint="eastAsia" w:ascii="Times New Roman" w:hAnsi="Times New Roman" w:eastAsia="宋体"/>
          <w:strike w:val="0"/>
          <w:dstrike w:val="0"/>
          <w:color w:val="auto"/>
          <w:highlight w:val="none"/>
          <w:lang w:val="en-US" w:eastAsia="zh-CN"/>
        </w:rPr>
        <w:t>为</w:t>
      </w:r>
      <w:r>
        <w:rPr>
          <w:rFonts w:hint="default" w:ascii="Times New Roman" w:hAnsi="Times New Roman" w:eastAsia="宋体"/>
          <w:strike w:val="0"/>
          <w:dstrike w:val="0"/>
          <w:color w:val="auto"/>
          <w:highlight w:val="none"/>
          <w:lang w:val="en-US" w:eastAsia="zh-CN"/>
        </w:rPr>
        <w:t>荒漠</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植被型</w:t>
      </w:r>
      <w:r>
        <w:rPr>
          <w:rFonts w:hint="eastAsia" w:ascii="Times New Roman" w:hAnsi="Times New Roman" w:eastAsia="宋体"/>
          <w:strike w:val="0"/>
          <w:dstrike w:val="0"/>
          <w:color w:val="auto"/>
          <w:highlight w:val="none"/>
          <w:lang w:val="en-US" w:eastAsia="zh-CN"/>
        </w:rPr>
        <w:t>为</w:t>
      </w:r>
      <w:r>
        <w:rPr>
          <w:rFonts w:hint="default" w:ascii="Times New Roman" w:hAnsi="Times New Roman" w:eastAsia="宋体"/>
          <w:strike w:val="0"/>
          <w:dstrike w:val="0"/>
          <w:color w:val="auto"/>
          <w:highlight w:val="none"/>
          <w:lang w:val="en-US" w:eastAsia="zh-CN"/>
        </w:rPr>
        <w:t>温带半灌木、矮半灌木荒漠</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群系</w:t>
      </w:r>
      <w:r>
        <w:rPr>
          <w:rFonts w:hint="eastAsia" w:ascii="Times New Roman" w:hAnsi="Times New Roman" w:eastAsia="宋体"/>
          <w:strike w:val="0"/>
          <w:dstrike w:val="0"/>
          <w:color w:val="auto"/>
          <w:highlight w:val="none"/>
          <w:lang w:val="en-US" w:eastAsia="zh-CN"/>
        </w:rPr>
        <w:t>为</w:t>
      </w:r>
      <w:r>
        <w:rPr>
          <w:rFonts w:hint="default" w:ascii="Times New Roman" w:hAnsi="Times New Roman" w:eastAsia="宋体"/>
          <w:strike w:val="0"/>
          <w:dstrike w:val="0"/>
          <w:color w:val="auto"/>
          <w:highlight w:val="none"/>
          <w:lang w:val="en-US" w:eastAsia="zh-CN"/>
        </w:rPr>
        <w:t>驼绒藜荒漠</w:t>
      </w:r>
      <w:r>
        <w:rPr>
          <w:rFonts w:hint="eastAsia" w:ascii="Times New Roman" w:hAnsi="Times New Roman" w:eastAsia="宋体"/>
          <w:strike w:val="0"/>
          <w:dstrike w:val="0"/>
          <w:color w:val="auto"/>
          <w:highlight w:val="none"/>
          <w:lang w:val="en-US" w:eastAsia="zh-CN"/>
        </w:rPr>
        <w:t>，植被类型图见附图4.2-5。</w:t>
      </w:r>
    </w:p>
    <w:p w14:paraId="745A3E6D">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动物现状调查与评价</w:t>
      </w:r>
    </w:p>
    <w:p w14:paraId="61C58405">
      <w:pPr>
        <w:ind w:firstLine="480"/>
        <w:rPr>
          <w:rFonts w:hint="eastAsia" w:ascii="Times New Roman" w:hAnsi="Times New Roman" w:eastAsia="宋体"/>
          <w:strike w:val="0"/>
          <w:dstrike w:val="0"/>
          <w:color w:val="auto"/>
          <w:highlight w:val="none"/>
          <w:lang w:eastAsia="zh-CN"/>
        </w:rPr>
        <w:sectPr>
          <w:headerReference r:id="rId17" w:type="default"/>
          <w:footerReference r:id="rId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r>
        <w:rPr>
          <w:rFonts w:hint="eastAsia" w:ascii="Times New Roman" w:hAnsi="Times New Roman" w:eastAsia="宋体"/>
          <w:strike w:val="0"/>
          <w:dstrike w:val="0"/>
          <w:color w:val="auto"/>
          <w:highlight w:val="none"/>
        </w:rPr>
        <w:t>本工程所在区域由于人类活动，无珍稀野生动物分布，仅生存着小型啮齿类动物，如麻雀、燕子、野鼠类等</w:t>
      </w:r>
      <w:r>
        <w:rPr>
          <w:rFonts w:hint="eastAsia" w:ascii="Times New Roman" w:hAnsi="Times New Roman" w:eastAsia="宋体"/>
          <w:strike w:val="0"/>
          <w:dstrike w:val="0"/>
          <w:color w:val="auto"/>
          <w:highlight w:val="none"/>
          <w:lang w:eastAsia="zh-CN"/>
        </w:rPr>
        <w:t>。</w:t>
      </w:r>
    </w:p>
    <w:p w14:paraId="57794613">
      <w:pPr>
        <w:pStyle w:val="2"/>
        <w:rPr>
          <w:rFonts w:ascii="Times New Roman" w:hAnsi="Times New Roman" w:eastAsia="宋体"/>
          <w:strike w:val="0"/>
          <w:dstrike w:val="0"/>
          <w:color w:val="auto"/>
          <w:highlight w:val="none"/>
        </w:rPr>
      </w:pPr>
      <w:bookmarkStart w:id="214" w:name="_Toc89619342"/>
      <w:bookmarkStart w:id="215" w:name="_Toc19376"/>
      <w:r>
        <w:rPr>
          <w:rFonts w:hint="eastAsia" w:ascii="Times New Roman" w:hAnsi="Times New Roman" w:eastAsia="宋体"/>
          <w:strike w:val="0"/>
          <w:dstrike w:val="0"/>
          <w:color w:val="auto"/>
          <w:highlight w:val="none"/>
        </w:rPr>
        <w:t>5、建设项目环境影响分析</w:t>
      </w:r>
      <w:bookmarkEnd w:id="214"/>
      <w:bookmarkEnd w:id="215"/>
    </w:p>
    <w:p w14:paraId="1215EA65">
      <w:pPr>
        <w:pStyle w:val="3"/>
        <w:rPr>
          <w:rFonts w:ascii="Times New Roman" w:hAnsi="Times New Roman" w:eastAsia="宋体"/>
          <w:strike w:val="0"/>
          <w:dstrike w:val="0"/>
          <w:color w:val="auto"/>
          <w:highlight w:val="none"/>
        </w:rPr>
      </w:pPr>
      <w:bookmarkStart w:id="216" w:name="_Toc19741"/>
      <w:bookmarkStart w:id="217" w:name="_Toc89619343"/>
      <w:r>
        <w:rPr>
          <w:rFonts w:hint="eastAsia" w:ascii="Times New Roman" w:hAnsi="Times New Roman" w:eastAsia="宋体"/>
          <w:strike w:val="0"/>
          <w:dstrike w:val="0"/>
          <w:color w:val="auto"/>
          <w:highlight w:val="none"/>
        </w:rPr>
        <w:t>5.1施工期环境影响分析</w:t>
      </w:r>
      <w:bookmarkEnd w:id="216"/>
      <w:bookmarkEnd w:id="217"/>
    </w:p>
    <w:p w14:paraId="0AA815C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期主要包括基础工程、主体工程、设备安装、装饰工程、工程验收等工序，其过程主要污染物为施工期厂界范围内的施工扬尘、施工设备燃油废气、施工噪声、施工废水、施工生活废水、施工填方、取土、施工建筑弃土、建筑废渣及施工占地产生的生态环境</w:t>
      </w:r>
      <w:r>
        <w:rPr>
          <w:rFonts w:hint="eastAsia" w:ascii="Times New Roman" w:hAnsi="Times New Roman" w:eastAsia="宋体"/>
          <w:strike w:val="0"/>
          <w:dstrike w:val="0"/>
          <w:color w:val="auto"/>
          <w:highlight w:val="none"/>
          <w:lang w:eastAsia="zh-CN"/>
        </w:rPr>
        <w:t>。</w:t>
      </w:r>
    </w:p>
    <w:p w14:paraId="29CEBC3A">
      <w:pPr>
        <w:pStyle w:val="4"/>
        <w:rPr>
          <w:rFonts w:ascii="Times New Roman" w:hAnsi="Times New Roman" w:eastAsia="宋体"/>
          <w:strike w:val="0"/>
          <w:dstrike w:val="0"/>
          <w:color w:val="auto"/>
          <w:highlight w:val="none"/>
        </w:rPr>
      </w:pPr>
      <w:bookmarkStart w:id="218" w:name="_Toc4184"/>
      <w:bookmarkStart w:id="219" w:name="_Toc106663494"/>
      <w:r>
        <w:rPr>
          <w:rFonts w:hint="eastAsia" w:ascii="Times New Roman" w:hAnsi="Times New Roman" w:eastAsia="宋体"/>
          <w:strike w:val="0"/>
          <w:dstrike w:val="0"/>
          <w:color w:val="auto"/>
          <w:highlight w:val="none"/>
        </w:rPr>
        <w:t>5.1.1施工期大气环境影响分析</w:t>
      </w:r>
      <w:bookmarkEnd w:id="218"/>
      <w:bookmarkEnd w:id="219"/>
    </w:p>
    <w:p w14:paraId="0C6B2FB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5.1.1.1施工扬尘</w:t>
      </w:r>
    </w:p>
    <w:p w14:paraId="6400D814">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本项目施工期扬尘主要是主体工程、辅助工程、公用工程基础施工、环保工程等的土建挖取土（石）、推土、场地平整、施工沙石材料等的装卸、运输过程中产生的扬尘以及土石方的临时堆放过程中产生的扬尘，施工扬尘产生与施工管理、气象（特别是风速）条件等密切相关，也与扬尘本身沉降速度有关</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如遇干旱无雨季节，在大风时，施工扬尘将更严重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据有关调查显示，施工工地的扬尘主要是由运输车辆行驶产生，与道路路面及车辆行驶速度有关，约占扬尘总量的60%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在完全干燥情况下，可按经验公式计算：</w:t>
      </w:r>
    </w:p>
    <w:p w14:paraId="7EDC4A00">
      <w:pPr>
        <w:ind w:firstLine="0" w:firstLineChars="0"/>
        <w:jc w:val="center"/>
        <w:rPr>
          <w:rFonts w:ascii="Times New Roman" w:hAnsi="Times New Roman" w:eastAsia="宋体"/>
          <w:bCs/>
          <w:strike w:val="0"/>
          <w:dstrike w:val="0"/>
          <w:color w:val="auto"/>
          <w:highlight w:val="none"/>
        </w:rPr>
      </w:pPr>
      <w:r>
        <w:rPr>
          <w:rFonts w:ascii="Times New Roman" w:hAnsi="Times New Roman" w:eastAsia="宋体"/>
          <w:strike w:val="0"/>
          <w:dstrike w:val="0"/>
          <w:color w:val="auto"/>
          <w:position w:val="-36"/>
          <w:highlight w:val="none"/>
        </w:rPr>
        <w:object>
          <v:shape id="_x0000_i1031" o:spt="75" type="#_x0000_t75" style="height:35.05pt;width:154.1pt;" o:ole="t" filled="f" o:preferrelative="t" stroked="f" coordsize="21600,21600">
            <v:path/>
            <v:fill on="f" focussize="0,0"/>
            <v:stroke on="f" joinstyle="miter"/>
            <v:imagedata r:id="rId44" o:title=""/>
            <o:lock v:ext="edit" aspectratio="t"/>
            <w10:wrap type="none"/>
            <w10:anchorlock/>
          </v:shape>
          <o:OLEObject Type="Embed" ProgID="Equation.AxMath" ShapeID="_x0000_i1031" DrawAspect="Content" ObjectID="_1468075731" r:id="rId43">
            <o:LockedField>false</o:LockedField>
          </o:OLEObject>
        </w:object>
      </w:r>
    </w:p>
    <w:p w14:paraId="658CE7C8">
      <w:pPr>
        <w:ind w:firstLine="48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式中：Q</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汽车行驶时的扬尘，kg/km.辆；</w:t>
      </w:r>
    </w:p>
    <w:p w14:paraId="65A0648E">
      <w:pPr>
        <w:ind w:firstLine="1200" w:firstLineChars="50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V</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汽车速度，km/h；</w:t>
      </w:r>
    </w:p>
    <w:p w14:paraId="72FA36DF">
      <w:pPr>
        <w:ind w:firstLine="1200" w:firstLineChars="50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W</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汽车载重量，吨；</w:t>
      </w:r>
    </w:p>
    <w:p w14:paraId="43358DD3">
      <w:pPr>
        <w:ind w:firstLine="1200" w:firstLineChars="500"/>
        <w:rPr>
          <w:rFonts w:ascii="Times New Roman" w:hAnsi="Times New Roman" w:eastAsia="宋体"/>
          <w:bCs/>
          <w:strike w:val="0"/>
          <w:dstrike w:val="0"/>
          <w:color w:val="auto"/>
          <w:highlight w:val="none"/>
        </w:rPr>
      </w:pPr>
      <w:r>
        <w:rPr>
          <w:rFonts w:ascii="Times New Roman" w:hAnsi="Times New Roman" w:eastAsia="宋体"/>
          <w:bCs/>
          <w:strike w:val="0"/>
          <w:dstrike w:val="0"/>
          <w:color w:val="auto"/>
          <w:highlight w:val="none"/>
        </w:rPr>
        <w:t>P</w:t>
      </w:r>
      <w:r>
        <w:rPr>
          <w:rFonts w:hint="eastAsia" w:ascii="Times New Roman" w:hAnsi="Times New Roman" w:eastAsia="宋体"/>
          <w:bCs/>
          <w:strike w:val="0"/>
          <w:dstrike w:val="0"/>
          <w:color w:val="auto"/>
          <w:highlight w:val="none"/>
        </w:rPr>
        <w:t>——</w:t>
      </w:r>
      <w:r>
        <w:rPr>
          <w:rFonts w:ascii="Times New Roman" w:hAnsi="Times New Roman" w:eastAsia="宋体"/>
          <w:bCs/>
          <w:strike w:val="0"/>
          <w:dstrike w:val="0"/>
          <w:color w:val="auto"/>
          <w:highlight w:val="none"/>
        </w:rPr>
        <w:t>道路表面粉尘量，kg/m</w:t>
      </w:r>
      <w:r>
        <w:rPr>
          <w:rFonts w:ascii="Times New Roman" w:hAnsi="Times New Roman" w:eastAsia="宋体"/>
          <w:bCs/>
          <w:strike w:val="0"/>
          <w:dstrike w:val="0"/>
          <w:color w:val="auto"/>
          <w:highlight w:val="none"/>
          <w:vertAlign w:val="superscript"/>
        </w:rPr>
        <w:t>2</w:t>
      </w:r>
    </w:p>
    <w:p w14:paraId="2482425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一辆载重20t的卡车，通过一段长度为500m的路面时，不同表面清洁程度，不同行驶速度情况下产生的扬尘量如表5.1-1所示</w:t>
      </w:r>
      <w:r>
        <w:rPr>
          <w:rFonts w:hint="eastAsia" w:ascii="Times New Roman" w:hAnsi="Times New Roman" w:eastAsia="宋体"/>
          <w:strike w:val="0"/>
          <w:dstrike w:val="0"/>
          <w:color w:val="auto"/>
          <w:highlight w:val="none"/>
          <w:lang w:eastAsia="zh-CN"/>
        </w:rPr>
        <w:t>。</w:t>
      </w:r>
    </w:p>
    <w:p w14:paraId="06683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表5.1-1不同车速和地面清洁程度时的汽车扬尘单位：kg/km·辆</w:t>
      </w:r>
    </w:p>
    <w:tbl>
      <w:tblPr>
        <w:tblStyle w:val="3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2"/>
        <w:gridCol w:w="1124"/>
        <w:gridCol w:w="874"/>
        <w:gridCol w:w="973"/>
        <w:gridCol w:w="974"/>
        <w:gridCol w:w="971"/>
        <w:gridCol w:w="970"/>
      </w:tblGrid>
      <w:tr w14:paraId="4D21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2DFB613B">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车速</w:t>
            </w:r>
            <w:r>
              <w:rPr>
                <w:rFonts w:ascii="Times New Roman" w:hAnsi="Times New Roman" w:eastAsia="宋体"/>
                <w:bCs/>
                <w:strike w:val="0"/>
                <w:dstrike w:val="0"/>
                <w:color w:val="auto"/>
                <w:kern w:val="2"/>
                <w:sz w:val="21"/>
                <w:szCs w:val="21"/>
                <w:highlight w:val="none"/>
              </w:rPr>
              <w:t>（</w:t>
            </w:r>
            <w:r>
              <w:rPr>
                <w:rFonts w:hint="eastAsia" w:ascii="Times New Roman" w:hAnsi="Times New Roman" w:eastAsia="宋体"/>
                <w:bCs/>
                <w:strike w:val="0"/>
                <w:dstrike w:val="0"/>
                <w:color w:val="auto"/>
                <w:kern w:val="2"/>
                <w:sz w:val="21"/>
                <w:szCs w:val="21"/>
                <w:highlight w:val="none"/>
              </w:rPr>
              <w:t>k</w:t>
            </w:r>
            <w:r>
              <w:rPr>
                <w:rFonts w:ascii="Times New Roman" w:hAnsi="Times New Roman" w:eastAsia="宋体"/>
                <w:bCs/>
                <w:strike w:val="0"/>
                <w:dstrike w:val="0"/>
                <w:color w:val="auto"/>
                <w:kern w:val="2"/>
                <w:sz w:val="21"/>
                <w:szCs w:val="21"/>
                <w:highlight w:val="none"/>
              </w:rPr>
              <w:t>m/</w:t>
            </w:r>
            <w:r>
              <w:rPr>
                <w:rFonts w:hint="eastAsia" w:ascii="Times New Roman" w:hAnsi="Times New Roman" w:eastAsia="宋体"/>
                <w:bCs/>
                <w:strike w:val="0"/>
                <w:dstrike w:val="0"/>
                <w:color w:val="auto"/>
                <w:kern w:val="2"/>
                <w:sz w:val="21"/>
                <w:szCs w:val="21"/>
                <w:highlight w:val="none"/>
              </w:rPr>
              <w:t>h</w:t>
            </w:r>
            <w:r>
              <w:rPr>
                <w:rFonts w:ascii="Times New Roman" w:hAnsi="Times New Roman" w:eastAsia="宋体"/>
                <w:bCs/>
                <w:strike w:val="0"/>
                <w:dstrike w:val="0"/>
                <w:color w:val="auto"/>
                <w:kern w:val="2"/>
                <w:sz w:val="21"/>
                <w:szCs w:val="21"/>
                <w:highlight w:val="none"/>
              </w:rPr>
              <w:t>）</w:t>
            </w:r>
          </w:p>
          <w:p w14:paraId="557248C9">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P（kg</w:t>
            </w:r>
            <w:r>
              <w:rPr>
                <w:rFonts w:hint="eastAsia" w:ascii="Times New Roman" w:hAnsi="Times New Roman" w:eastAsia="宋体" w:cs="宋体"/>
                <w:bCs/>
                <w:strike w:val="0"/>
                <w:dstrike w:val="0"/>
                <w:color w:val="auto"/>
                <w:kern w:val="2"/>
                <w:sz w:val="21"/>
                <w:szCs w:val="21"/>
                <w:highlight w:val="none"/>
              </w:rPr>
              <w:t>/</w:t>
            </w:r>
            <w:r>
              <w:rPr>
                <w:rFonts w:hint="eastAsia" w:ascii="Times New Roman" w:hAnsi="Times New Roman" w:eastAsia="宋体"/>
                <w:bCs/>
                <w:strike w:val="0"/>
                <w:dstrike w:val="0"/>
                <w:color w:val="auto"/>
                <w:kern w:val="2"/>
                <w:sz w:val="21"/>
                <w:szCs w:val="21"/>
                <w:highlight w:val="none"/>
              </w:rPr>
              <w:t>m</w:t>
            </w:r>
            <w:r>
              <w:rPr>
                <w:rFonts w:hint="eastAsia" w:ascii="Times New Roman" w:hAnsi="Times New Roman" w:eastAsia="宋体"/>
                <w:bCs/>
                <w:strike w:val="0"/>
                <w:dstrike w:val="0"/>
                <w:color w:val="auto"/>
                <w:kern w:val="2"/>
                <w:sz w:val="21"/>
                <w:szCs w:val="21"/>
                <w:highlight w:val="none"/>
                <w:vertAlign w:val="superscript"/>
              </w:rPr>
              <w:t>2</w:t>
            </w:r>
            <w:r>
              <w:rPr>
                <w:rFonts w:hint="eastAsia" w:ascii="Times New Roman" w:hAnsi="Times New Roman" w:eastAsia="宋体"/>
                <w:bCs/>
                <w:strike w:val="0"/>
                <w:dstrike w:val="0"/>
                <w:color w:val="auto"/>
                <w:kern w:val="2"/>
                <w:sz w:val="21"/>
                <w:szCs w:val="21"/>
                <w:highlight w:val="none"/>
              </w:rPr>
              <w:t>）</w:t>
            </w:r>
          </w:p>
        </w:tc>
        <w:tc>
          <w:tcPr>
            <w:tcW w:w="660" w:type="pct"/>
            <w:tcBorders>
              <w:tl2br w:val="nil"/>
              <w:tr2bl w:val="nil"/>
            </w:tcBorders>
            <w:vAlign w:val="center"/>
          </w:tcPr>
          <w:p w14:paraId="08FD0715">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0.1</w:t>
            </w:r>
          </w:p>
        </w:tc>
        <w:tc>
          <w:tcPr>
            <w:tcW w:w="513" w:type="pct"/>
            <w:tcBorders>
              <w:tl2br w:val="nil"/>
              <w:tr2bl w:val="nil"/>
            </w:tcBorders>
            <w:vAlign w:val="center"/>
          </w:tcPr>
          <w:p w14:paraId="4A8C4DB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0.2</w:t>
            </w:r>
          </w:p>
        </w:tc>
        <w:tc>
          <w:tcPr>
            <w:tcW w:w="571" w:type="pct"/>
            <w:tcBorders>
              <w:tl2br w:val="nil"/>
              <w:tr2bl w:val="nil"/>
            </w:tcBorders>
            <w:vAlign w:val="center"/>
          </w:tcPr>
          <w:p w14:paraId="01355629">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0.3</w:t>
            </w:r>
          </w:p>
        </w:tc>
        <w:tc>
          <w:tcPr>
            <w:tcW w:w="572" w:type="pct"/>
            <w:tcBorders>
              <w:tl2br w:val="nil"/>
              <w:tr2bl w:val="nil"/>
            </w:tcBorders>
            <w:vAlign w:val="center"/>
          </w:tcPr>
          <w:p w14:paraId="4BA89FA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0.4</w:t>
            </w:r>
          </w:p>
        </w:tc>
        <w:tc>
          <w:tcPr>
            <w:tcW w:w="570" w:type="pct"/>
            <w:tcBorders>
              <w:tl2br w:val="nil"/>
              <w:tr2bl w:val="nil"/>
            </w:tcBorders>
            <w:vAlign w:val="center"/>
          </w:tcPr>
          <w:p w14:paraId="50E0AA8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0.5</w:t>
            </w:r>
          </w:p>
        </w:tc>
        <w:tc>
          <w:tcPr>
            <w:tcW w:w="570" w:type="pct"/>
            <w:tcBorders>
              <w:tl2br w:val="nil"/>
              <w:tr2bl w:val="nil"/>
            </w:tcBorders>
            <w:vAlign w:val="center"/>
          </w:tcPr>
          <w:p w14:paraId="5CE8B6AB">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1.0</w:t>
            </w:r>
          </w:p>
        </w:tc>
      </w:tr>
      <w:tr w14:paraId="099D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04760F2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5</w:t>
            </w:r>
          </w:p>
        </w:tc>
        <w:tc>
          <w:tcPr>
            <w:tcW w:w="660" w:type="pct"/>
            <w:tcBorders>
              <w:tl2br w:val="nil"/>
              <w:tr2bl w:val="nil"/>
            </w:tcBorders>
            <w:vAlign w:val="center"/>
          </w:tcPr>
          <w:p w14:paraId="191B17D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0.0323</w:t>
            </w:r>
          </w:p>
        </w:tc>
        <w:tc>
          <w:tcPr>
            <w:tcW w:w="513" w:type="pct"/>
            <w:tcBorders>
              <w:tl2br w:val="nil"/>
              <w:tr2bl w:val="nil"/>
            </w:tcBorders>
            <w:vAlign w:val="center"/>
          </w:tcPr>
          <w:p w14:paraId="651180C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0.0576</w:t>
            </w:r>
          </w:p>
        </w:tc>
        <w:tc>
          <w:tcPr>
            <w:tcW w:w="571" w:type="pct"/>
            <w:tcBorders>
              <w:tl2br w:val="nil"/>
              <w:tr2bl w:val="nil"/>
            </w:tcBorders>
            <w:vAlign w:val="center"/>
          </w:tcPr>
          <w:p w14:paraId="516BF0DC">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0.0946</w:t>
            </w:r>
          </w:p>
        </w:tc>
        <w:tc>
          <w:tcPr>
            <w:tcW w:w="572" w:type="pct"/>
            <w:tcBorders>
              <w:tl2br w:val="nil"/>
              <w:tr2bl w:val="nil"/>
            </w:tcBorders>
            <w:vAlign w:val="center"/>
          </w:tcPr>
          <w:p w14:paraId="5A620A44">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0.1427</w:t>
            </w:r>
          </w:p>
        </w:tc>
        <w:tc>
          <w:tcPr>
            <w:tcW w:w="570" w:type="pct"/>
            <w:tcBorders>
              <w:tl2br w:val="nil"/>
              <w:tr2bl w:val="nil"/>
            </w:tcBorders>
            <w:vAlign w:val="center"/>
          </w:tcPr>
          <w:p w14:paraId="2ABA164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0.1760</w:t>
            </w:r>
          </w:p>
        </w:tc>
        <w:tc>
          <w:tcPr>
            <w:tcW w:w="570" w:type="pct"/>
            <w:tcBorders>
              <w:tl2br w:val="nil"/>
              <w:tr2bl w:val="nil"/>
            </w:tcBorders>
            <w:vAlign w:val="center"/>
          </w:tcPr>
          <w:p w14:paraId="728E181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0.2393</w:t>
            </w:r>
          </w:p>
        </w:tc>
      </w:tr>
      <w:tr w14:paraId="0F1C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706EDCDD">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10</w:t>
            </w:r>
          </w:p>
        </w:tc>
        <w:tc>
          <w:tcPr>
            <w:tcW w:w="660" w:type="pct"/>
            <w:tcBorders>
              <w:tl2br w:val="nil"/>
              <w:tr2bl w:val="nil"/>
            </w:tcBorders>
            <w:vAlign w:val="center"/>
          </w:tcPr>
          <w:p w14:paraId="1DA4412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0.0716</w:t>
            </w:r>
          </w:p>
        </w:tc>
        <w:tc>
          <w:tcPr>
            <w:tcW w:w="513" w:type="pct"/>
            <w:tcBorders>
              <w:tl2br w:val="nil"/>
              <w:tr2bl w:val="nil"/>
            </w:tcBorders>
            <w:vAlign w:val="center"/>
          </w:tcPr>
          <w:p w14:paraId="30B859F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0.1253</w:t>
            </w:r>
          </w:p>
        </w:tc>
        <w:tc>
          <w:tcPr>
            <w:tcW w:w="571" w:type="pct"/>
            <w:tcBorders>
              <w:tl2br w:val="nil"/>
              <w:tr2bl w:val="nil"/>
            </w:tcBorders>
            <w:vAlign w:val="center"/>
          </w:tcPr>
          <w:p w14:paraId="01961DE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0.1638</w:t>
            </w:r>
          </w:p>
        </w:tc>
        <w:tc>
          <w:tcPr>
            <w:tcW w:w="572" w:type="pct"/>
            <w:tcBorders>
              <w:tl2br w:val="nil"/>
              <w:tr2bl w:val="nil"/>
            </w:tcBorders>
            <w:vAlign w:val="center"/>
          </w:tcPr>
          <w:p w14:paraId="5D27F3B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0.2325</w:t>
            </w:r>
          </w:p>
        </w:tc>
        <w:tc>
          <w:tcPr>
            <w:tcW w:w="570" w:type="pct"/>
            <w:tcBorders>
              <w:tl2br w:val="nil"/>
              <w:tr2bl w:val="nil"/>
            </w:tcBorders>
            <w:vAlign w:val="center"/>
          </w:tcPr>
          <w:p w14:paraId="7E95BBE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0.2231</w:t>
            </w:r>
          </w:p>
        </w:tc>
        <w:tc>
          <w:tcPr>
            <w:tcW w:w="570" w:type="pct"/>
            <w:tcBorders>
              <w:tl2br w:val="nil"/>
              <w:tr2bl w:val="nil"/>
            </w:tcBorders>
            <w:vAlign w:val="center"/>
          </w:tcPr>
          <w:p w14:paraId="7DFE7BC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0.4286</w:t>
            </w:r>
          </w:p>
        </w:tc>
      </w:tr>
      <w:tr w14:paraId="215AF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065F10E0">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15</w:t>
            </w:r>
          </w:p>
        </w:tc>
        <w:tc>
          <w:tcPr>
            <w:tcW w:w="660" w:type="pct"/>
            <w:tcBorders>
              <w:tl2br w:val="nil"/>
              <w:tr2bl w:val="nil"/>
            </w:tcBorders>
            <w:vAlign w:val="center"/>
          </w:tcPr>
          <w:p w14:paraId="2474523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0.1050</w:t>
            </w:r>
          </w:p>
        </w:tc>
        <w:tc>
          <w:tcPr>
            <w:tcW w:w="513" w:type="pct"/>
            <w:tcBorders>
              <w:tl2br w:val="nil"/>
              <w:tr2bl w:val="nil"/>
            </w:tcBorders>
            <w:vAlign w:val="center"/>
          </w:tcPr>
          <w:p w14:paraId="185F6CA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0.1636</w:t>
            </w:r>
          </w:p>
        </w:tc>
        <w:tc>
          <w:tcPr>
            <w:tcW w:w="571" w:type="pct"/>
            <w:tcBorders>
              <w:tl2br w:val="nil"/>
              <w:tr2bl w:val="nil"/>
            </w:tcBorders>
            <w:vAlign w:val="center"/>
          </w:tcPr>
          <w:p w14:paraId="542BEC8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0.2342</w:t>
            </w:r>
          </w:p>
        </w:tc>
        <w:tc>
          <w:tcPr>
            <w:tcW w:w="572" w:type="pct"/>
            <w:tcBorders>
              <w:tl2br w:val="nil"/>
              <w:tr2bl w:val="nil"/>
            </w:tcBorders>
            <w:vAlign w:val="center"/>
          </w:tcPr>
          <w:p w14:paraId="2805F49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0.3603</w:t>
            </w:r>
          </w:p>
        </w:tc>
        <w:tc>
          <w:tcPr>
            <w:tcW w:w="570" w:type="pct"/>
            <w:tcBorders>
              <w:tl2br w:val="nil"/>
              <w:tr2bl w:val="nil"/>
            </w:tcBorders>
            <w:vAlign w:val="center"/>
          </w:tcPr>
          <w:p w14:paraId="23F443A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0.4314</w:t>
            </w:r>
          </w:p>
        </w:tc>
        <w:tc>
          <w:tcPr>
            <w:tcW w:w="570" w:type="pct"/>
            <w:tcBorders>
              <w:tl2br w:val="nil"/>
              <w:tr2bl w:val="nil"/>
            </w:tcBorders>
            <w:vAlign w:val="center"/>
          </w:tcPr>
          <w:p w14:paraId="1DA31C9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0.6878</w:t>
            </w:r>
          </w:p>
        </w:tc>
      </w:tr>
      <w:tr w14:paraId="616F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5" w:type="pct"/>
            <w:tcBorders>
              <w:tl2br w:val="nil"/>
              <w:tr2bl w:val="nil"/>
            </w:tcBorders>
            <w:vAlign w:val="center"/>
          </w:tcPr>
          <w:p w14:paraId="088B09F1">
            <w:pPr>
              <w:snapToGrid w:val="0"/>
              <w:spacing w:line="240" w:lineRule="auto"/>
              <w:ind w:firstLine="0" w:firstLineChars="0"/>
              <w:jc w:val="center"/>
              <w:rPr>
                <w:rFonts w:ascii="Times New Roman" w:hAnsi="Times New Roman" w:eastAsia="宋体"/>
                <w:bCs/>
                <w:strike w:val="0"/>
                <w:dstrike w:val="0"/>
                <w:color w:val="auto"/>
                <w:kern w:val="2"/>
                <w:sz w:val="21"/>
                <w:szCs w:val="21"/>
                <w:highlight w:val="none"/>
              </w:rPr>
            </w:pPr>
            <w:r>
              <w:rPr>
                <w:rFonts w:hint="eastAsia" w:ascii="Times New Roman" w:hAnsi="Times New Roman" w:eastAsia="宋体"/>
                <w:bCs/>
                <w:strike w:val="0"/>
                <w:dstrike w:val="0"/>
                <w:color w:val="auto"/>
                <w:kern w:val="2"/>
                <w:sz w:val="21"/>
                <w:szCs w:val="21"/>
                <w:highlight w:val="none"/>
              </w:rPr>
              <w:t>20</w:t>
            </w:r>
          </w:p>
        </w:tc>
        <w:tc>
          <w:tcPr>
            <w:tcW w:w="660" w:type="pct"/>
            <w:tcBorders>
              <w:tl2br w:val="nil"/>
              <w:tr2bl w:val="nil"/>
            </w:tcBorders>
            <w:vAlign w:val="center"/>
          </w:tcPr>
          <w:p w14:paraId="5CF77FD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0.1433</w:t>
            </w:r>
          </w:p>
        </w:tc>
        <w:tc>
          <w:tcPr>
            <w:tcW w:w="513" w:type="pct"/>
            <w:tcBorders>
              <w:tl2br w:val="nil"/>
              <w:tr2bl w:val="nil"/>
            </w:tcBorders>
            <w:vAlign w:val="center"/>
          </w:tcPr>
          <w:p w14:paraId="5462F2D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0.2105</w:t>
            </w:r>
          </w:p>
        </w:tc>
        <w:tc>
          <w:tcPr>
            <w:tcW w:w="571" w:type="pct"/>
            <w:tcBorders>
              <w:tl2br w:val="nil"/>
              <w:tr2bl w:val="nil"/>
            </w:tcBorders>
            <w:vAlign w:val="center"/>
          </w:tcPr>
          <w:p w14:paraId="0ED9701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0.2741</w:t>
            </w:r>
          </w:p>
        </w:tc>
        <w:tc>
          <w:tcPr>
            <w:tcW w:w="572" w:type="pct"/>
            <w:tcBorders>
              <w:tl2br w:val="nil"/>
              <w:tr2bl w:val="nil"/>
            </w:tcBorders>
            <w:vAlign w:val="center"/>
          </w:tcPr>
          <w:p w14:paraId="39C28E9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0.4204</w:t>
            </w:r>
          </w:p>
        </w:tc>
        <w:tc>
          <w:tcPr>
            <w:tcW w:w="570" w:type="pct"/>
            <w:tcBorders>
              <w:tl2br w:val="nil"/>
              <w:tr2bl w:val="nil"/>
            </w:tcBorders>
            <w:vAlign w:val="center"/>
          </w:tcPr>
          <w:p w14:paraId="306046A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0.5828</w:t>
            </w:r>
          </w:p>
        </w:tc>
        <w:tc>
          <w:tcPr>
            <w:tcW w:w="570" w:type="pct"/>
            <w:tcBorders>
              <w:tl2br w:val="nil"/>
              <w:tr2bl w:val="nil"/>
            </w:tcBorders>
            <w:vAlign w:val="center"/>
          </w:tcPr>
          <w:p w14:paraId="6ADE065E">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0.8471</w:t>
            </w:r>
          </w:p>
        </w:tc>
      </w:tr>
    </w:tbl>
    <w:p w14:paraId="2407E4D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由表5.1-1可见，在同样路面清洁情况下，车速越快，扬尘量越大；而在同样车速情况下，路面清洁度越差，则扬尘量越大</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根据类比调查，一般情况下，施工场地、施工道路在自然风作用下产生的扬尘所影响的范围在100m以内</w:t>
      </w:r>
      <w:r>
        <w:rPr>
          <w:rFonts w:hint="eastAsia" w:ascii="Times New Roman" w:hAnsi="Times New Roman" w:eastAsia="宋体"/>
          <w:strike w:val="0"/>
          <w:dstrike w:val="0"/>
          <w:color w:val="auto"/>
          <w:highlight w:val="none"/>
          <w:lang w:eastAsia="zh-CN"/>
        </w:rPr>
        <w:t>。</w:t>
      </w:r>
    </w:p>
    <w:p w14:paraId="42668E18">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抑制扬尘的一个简洁有效的措施是洒水</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如果在施工期内对车辆行驶的路面实施洒水抑尘，每天洒水4-5次，可使扬尘减少70%左右</w:t>
      </w:r>
      <w:r>
        <w:rPr>
          <w:rFonts w:hint="eastAsia" w:ascii="Times New Roman" w:hAnsi="Times New Roman" w:eastAsia="宋体"/>
          <w:strike w:val="0"/>
          <w:dstrike w:val="0"/>
          <w:color w:val="auto"/>
          <w:highlight w:val="none"/>
          <w:lang w:eastAsia="zh-CN"/>
        </w:rPr>
        <w:t>。</w:t>
      </w:r>
    </w:p>
    <w:p w14:paraId="75FA574B">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施工扬尘的另一种重要产生方式是建筑材料的露天堆放和搅拌作业，这类扬尘的主要特点是受作业时风速大小的影响显著</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因此，禁止在大风天气时进行此类作业以及减少建筑材料的露天堆放是抑制这类扬尘的一种很有效的手段</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对水泥、粉煤灰等细颗粒散体材料在运输、储存时采取遮盖、密封的措施，防止和减少飞扬</w:t>
      </w:r>
      <w:r>
        <w:rPr>
          <w:rFonts w:hint="eastAsia" w:ascii="Times New Roman" w:hAnsi="Times New Roman" w:eastAsia="宋体"/>
          <w:strike w:val="0"/>
          <w:dstrike w:val="0"/>
          <w:color w:val="auto"/>
          <w:highlight w:val="none"/>
          <w:lang w:eastAsia="zh-CN"/>
        </w:rPr>
        <w:t>。</w:t>
      </w:r>
    </w:p>
    <w:p w14:paraId="56117802">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针对施工期扬尘，根据《防治城市扬尘污染技术规范》（HJ/T393-2007）中有关规定要求，本环评要求加强对施工工地扬尘污染的管理与控制</w:t>
      </w:r>
      <w:r>
        <w:rPr>
          <w:rFonts w:hint="eastAsia" w:ascii="Times New Roman" w:hAnsi="Times New Roman" w:eastAsia="宋体"/>
          <w:strike w:val="0"/>
          <w:dstrike w:val="0"/>
          <w:color w:val="auto"/>
          <w:highlight w:val="none"/>
          <w:lang w:eastAsia="zh-CN"/>
        </w:rPr>
        <w:t>。</w:t>
      </w:r>
    </w:p>
    <w:p w14:paraId="5452CEA0">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5.1.1.2燃油机械及机动车废气</w:t>
      </w:r>
    </w:p>
    <w:p w14:paraId="4753CB3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施工期主要是施工机械以及运输车辆排放的尾气，尾气中主要污染物有THC、颗粒物、CO、NO</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但由于车辆主要在施工现场范围内活动，尾气呈面源污染形式，车辆排气高度较低，尾气扩散范围不大，加之项目区较为平坦开阔，尾气扩散条件良好，另外，施工机械及车辆为非连续行驶状态，污染物排放时间及排放量也相对较小，因此施工机械以及运输车辆尾气对周围区域影响较小</w:t>
      </w:r>
      <w:r>
        <w:rPr>
          <w:rFonts w:hint="eastAsia" w:ascii="Times New Roman" w:hAnsi="Times New Roman" w:eastAsia="宋体"/>
          <w:strike w:val="0"/>
          <w:dstrike w:val="0"/>
          <w:color w:val="auto"/>
          <w:highlight w:val="none"/>
          <w:lang w:eastAsia="zh-CN"/>
        </w:rPr>
        <w:t>。</w:t>
      </w:r>
    </w:p>
    <w:p w14:paraId="324E1128">
      <w:pPr>
        <w:pStyle w:val="4"/>
        <w:rPr>
          <w:rFonts w:ascii="Times New Roman" w:hAnsi="Times New Roman" w:eastAsia="宋体"/>
          <w:strike w:val="0"/>
          <w:dstrike w:val="0"/>
          <w:color w:val="auto"/>
          <w:highlight w:val="none"/>
        </w:rPr>
      </w:pPr>
      <w:bookmarkStart w:id="220" w:name="_Toc106663495"/>
      <w:bookmarkStart w:id="221" w:name="_Toc30097"/>
      <w:r>
        <w:rPr>
          <w:rFonts w:hint="eastAsia" w:ascii="Times New Roman" w:hAnsi="Times New Roman" w:eastAsia="宋体"/>
          <w:strike w:val="0"/>
          <w:dstrike w:val="0"/>
          <w:color w:val="auto"/>
          <w:highlight w:val="none"/>
        </w:rPr>
        <w:t>5.1.2施工期水环境影响分析</w:t>
      </w:r>
      <w:bookmarkEnd w:id="220"/>
      <w:bookmarkEnd w:id="221"/>
    </w:p>
    <w:p w14:paraId="37E70B0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5.1.2.1施工废水</w:t>
      </w:r>
    </w:p>
    <w:p w14:paraId="11CDC87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施工废水主要是指在制砂浆、混凝土养护等作业中，多余或泄漏的废水，以及清洗模板、机具、车辆设备、场地卫生等排放的污水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主要污染因子为SS，含一定量的泥沙、少量水泥和油污，随工程进度不同产生情况不同，也与操作人员的经验、素质等因素有关，产生量与排放量较难估算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废水中含固体杂质较多，以泥沙为主，施工期废水水量不大，一般产生不了径流，形成不了有组织排水，这部分废水在施工现场因自然蒸发、渗漏等原因而消耗，但若不经处理或处理不当直接外排，同样危害环境</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因此要求建设项目的工地应设置简易防渗沉淀池沉淀后回用于生产，项目产生的施工废水均不外排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生产废水的产生量与工地管理水平关系极大，如果管理不善，可能造成施工现场污水横流，对工地周围的环境会造成一定的影响</w:t>
      </w:r>
      <w:r>
        <w:rPr>
          <w:rFonts w:hint="eastAsia" w:ascii="Times New Roman" w:hAnsi="Times New Roman" w:eastAsia="宋体"/>
          <w:strike w:val="0"/>
          <w:dstrike w:val="0"/>
          <w:color w:val="auto"/>
          <w:highlight w:val="none"/>
          <w:lang w:eastAsia="zh-CN"/>
        </w:rPr>
        <w:t>。</w:t>
      </w:r>
    </w:p>
    <w:p w14:paraId="4835322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5.1.2.2生活废水</w:t>
      </w:r>
    </w:p>
    <w:p w14:paraId="439D923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本项目施工期施工工人约30人左右，生活污水排放量约为0.96m</w:t>
      </w:r>
      <w:r>
        <w:rPr>
          <w:rFonts w:hint="eastAsia" w:ascii="Times New Roman" w:hAnsi="Times New Roman" w:eastAsia="宋体"/>
          <w:strike w:val="0"/>
          <w:dstrike w:val="0"/>
          <w:color w:val="auto"/>
          <w:highlight w:val="none"/>
          <w:vertAlign w:val="superscript"/>
        </w:rPr>
        <w:t>3</w:t>
      </w:r>
      <w:r>
        <w:rPr>
          <w:rFonts w:hint="eastAsia" w:ascii="Times New Roman" w:hAnsi="Times New Roman" w:eastAsia="宋体"/>
          <w:strike w:val="0"/>
          <w:dstrike w:val="0"/>
          <w:color w:val="auto"/>
          <w:highlight w:val="none"/>
        </w:rPr>
        <w:t>/d</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在施工期外排生活污水若不集中处理，其对环境的影响主要表现在：影响施工区环境卫生、有可能污染地下水、易造成土壤理化性质改变，土壤层缺氧及臭气污染等</w:t>
      </w:r>
      <w:r>
        <w:rPr>
          <w:rFonts w:hint="eastAsia" w:ascii="Times New Roman" w:hAnsi="Times New Roman" w:eastAsia="宋体"/>
          <w:strike w:val="0"/>
          <w:dstrike w:val="0"/>
          <w:color w:val="auto"/>
          <w:highlight w:val="none"/>
          <w:lang w:eastAsia="zh-CN"/>
        </w:rPr>
        <w:t>。</w:t>
      </w:r>
    </w:p>
    <w:p w14:paraId="26326A87">
      <w:pPr>
        <w:pStyle w:val="4"/>
        <w:rPr>
          <w:rFonts w:ascii="Times New Roman" w:hAnsi="Times New Roman" w:eastAsia="宋体"/>
          <w:strike w:val="0"/>
          <w:dstrike w:val="0"/>
          <w:color w:val="auto"/>
          <w:highlight w:val="none"/>
        </w:rPr>
      </w:pPr>
      <w:bookmarkStart w:id="222" w:name="_Toc26845"/>
      <w:bookmarkStart w:id="223" w:name="_Toc106663496"/>
      <w:r>
        <w:rPr>
          <w:rFonts w:hint="eastAsia" w:ascii="Times New Roman" w:hAnsi="Times New Roman" w:eastAsia="宋体"/>
          <w:strike w:val="0"/>
          <w:dstrike w:val="0"/>
          <w:color w:val="auto"/>
          <w:highlight w:val="none"/>
        </w:rPr>
        <w:t>5.1.3施工期声环境影响分析</w:t>
      </w:r>
      <w:bookmarkEnd w:id="222"/>
      <w:bookmarkEnd w:id="223"/>
    </w:p>
    <w:p w14:paraId="1D7F2AF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由工程分析可知，本项目施工噪声主要来源于土方阶段、基础施工阶段、主体结构阶段、装修阶段施工中各类施工机械和运输车辆，施工噪声具有阶段性、临时性和不固定性，不同的施工设备产生的噪声不同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多台机械设备同时作业时，各台设备产生的噪声会产生叠加，根据类比调查，叠加后的噪声增值约为3～8dB，施工机械和运输车辆的单体声功率级一般均在100dB（A）以上，其中声级最大的是打桩机，声级可达到120dB，施工机械主要有推土机、挖掘机、装载机、电锯等</w:t>
      </w:r>
      <w:r>
        <w:rPr>
          <w:rFonts w:hint="eastAsia" w:ascii="Times New Roman" w:hAnsi="Times New Roman" w:eastAsia="宋体"/>
          <w:strike w:val="0"/>
          <w:dstrike w:val="0"/>
          <w:color w:val="auto"/>
          <w:highlight w:val="none"/>
          <w:lang w:eastAsia="zh-CN"/>
        </w:rPr>
        <w:t>。</w:t>
      </w:r>
    </w:p>
    <w:p w14:paraId="4E06B4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根据施工现场噪声源的特点和周围环境状况，选择声源在半自由空间的距离衰减模式</w:t>
      </w:r>
      <w:r>
        <w:rPr>
          <w:rFonts w:hint="eastAsia" w:ascii="Times New Roman" w:hAnsi="Times New Roman" w:eastAsia="宋体"/>
          <w:strike w:val="0"/>
          <w:dstrike w:val="0"/>
          <w:color w:val="auto"/>
          <w:highlight w:val="none"/>
          <w:lang w:eastAsia="zh-CN"/>
        </w:rPr>
        <w:t>。</w:t>
      </w:r>
    </w:p>
    <w:p w14:paraId="5217BBF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计算公式：</w:t>
      </w:r>
    </w:p>
    <w:p w14:paraId="4A6B3C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（1）噪声衰减</w:t>
      </w:r>
    </w:p>
    <w:p w14:paraId="27FFF237">
      <w:pPr>
        <w:spacing w:line="240" w:lineRule="auto"/>
        <w:ind w:firstLine="0" w:firstLineChars="0"/>
        <w:jc w:val="center"/>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drawing>
          <wp:inline distT="0" distB="0" distL="0" distR="0">
            <wp:extent cx="1914525" cy="3905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914525" cy="390525"/>
                    </a:xfrm>
                    <a:prstGeom prst="rect">
                      <a:avLst/>
                    </a:prstGeom>
                    <a:noFill/>
                    <a:ln>
                      <a:noFill/>
                    </a:ln>
                    <a:effectLst/>
                  </pic:spPr>
                </pic:pic>
              </a:graphicData>
            </a:graphic>
          </wp:inline>
        </w:drawing>
      </w:r>
    </w:p>
    <w:p w14:paraId="483E765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式中：L</w:t>
      </w:r>
      <w:r>
        <w:rPr>
          <w:rFonts w:hint="eastAsia" w:ascii="Times New Roman" w:hAnsi="Times New Roman" w:eastAsia="宋体"/>
          <w:strike w:val="0"/>
          <w:dstrike w:val="0"/>
          <w:color w:val="auto"/>
          <w:highlight w:val="none"/>
          <w:vertAlign w:val="subscript"/>
        </w:rPr>
        <w:t>A（r）</w:t>
      </w:r>
      <w:r>
        <w:rPr>
          <w:rFonts w:hint="eastAsia" w:ascii="Times New Roman" w:hAnsi="Times New Roman" w:eastAsia="宋体"/>
          <w:strike w:val="0"/>
          <w:dstrike w:val="0"/>
          <w:color w:val="auto"/>
          <w:highlight w:val="none"/>
        </w:rPr>
        <w:t>——距声源r处的等效声级，dB（A）；</w:t>
      </w:r>
    </w:p>
    <w:p w14:paraId="21C49359">
      <w:pPr>
        <w:ind w:firstLine="1200" w:firstLineChars="50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L</w:t>
      </w:r>
      <w:r>
        <w:rPr>
          <w:rFonts w:hint="eastAsia" w:ascii="Times New Roman" w:hAnsi="Times New Roman" w:eastAsia="宋体"/>
          <w:strike w:val="0"/>
          <w:dstrike w:val="0"/>
          <w:color w:val="auto"/>
          <w:highlight w:val="none"/>
          <w:vertAlign w:val="subscript"/>
        </w:rPr>
        <w:t>W（A）</w:t>
      </w:r>
      <w:r>
        <w:rPr>
          <w:rFonts w:hint="eastAsia" w:ascii="Times New Roman" w:hAnsi="Times New Roman" w:eastAsia="宋体"/>
          <w:strike w:val="0"/>
          <w:dstrike w:val="0"/>
          <w:color w:val="auto"/>
          <w:highlight w:val="none"/>
        </w:rPr>
        <w:t>——噪声源的声功率级，dB（A）；</w:t>
      </w:r>
    </w:p>
    <w:p w14:paraId="1A144E30">
      <w:pPr>
        <w:ind w:firstLine="960" w:firstLineChars="40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rPr>
        <w:t>——噪声源距受声点的距离，</w:t>
      </w:r>
      <w:r>
        <w:rPr>
          <w:rFonts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rPr>
        <w:t>；</w:t>
      </w:r>
    </w:p>
    <w:p w14:paraId="537370F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（2）噪声影响预测</w:t>
      </w:r>
    </w:p>
    <w:p w14:paraId="58DC743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工程施工不同距离的噪声预测值见表5.1-2</w:t>
      </w:r>
      <w:r>
        <w:rPr>
          <w:rFonts w:hint="eastAsia" w:ascii="Times New Roman" w:hAnsi="Times New Roman" w:eastAsia="宋体"/>
          <w:strike w:val="0"/>
          <w:dstrike w:val="0"/>
          <w:color w:val="auto"/>
          <w:highlight w:val="none"/>
          <w:lang w:eastAsia="zh-CN"/>
        </w:rPr>
        <w:t>。</w:t>
      </w:r>
    </w:p>
    <w:p w14:paraId="0A2F1328">
      <w:pPr>
        <w:pStyle w:val="1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表5.1-2施工阶段噪声预测值</w:t>
      </w:r>
    </w:p>
    <w:tbl>
      <w:tblPr>
        <w:tblStyle w:val="39"/>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30" w:type="dxa"/>
          <w:bottom w:w="0" w:type="dxa"/>
          <w:right w:w="30" w:type="dxa"/>
        </w:tblCellMar>
      </w:tblPr>
      <w:tblGrid>
        <w:gridCol w:w="1356"/>
        <w:gridCol w:w="691"/>
        <w:gridCol w:w="771"/>
        <w:gridCol w:w="886"/>
        <w:gridCol w:w="878"/>
        <w:gridCol w:w="886"/>
        <w:gridCol w:w="717"/>
        <w:gridCol w:w="724"/>
        <w:gridCol w:w="724"/>
        <w:gridCol w:w="727"/>
      </w:tblGrid>
      <w:tr w14:paraId="1AC0B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283" w:hRule="atLeast"/>
          <w:jc w:val="center"/>
        </w:trPr>
        <w:tc>
          <w:tcPr>
            <w:tcW w:w="811" w:type="pct"/>
            <w:vMerge w:val="restart"/>
            <w:tcBorders>
              <w:tl2br w:val="nil"/>
              <w:tr2bl w:val="nil"/>
            </w:tcBorders>
            <w:vAlign w:val="center"/>
          </w:tcPr>
          <w:p w14:paraId="0F15CE8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sz w:val="21"/>
                <w:szCs w:val="21"/>
                <w:highlight w:val="none"/>
              </w:rPr>
              <w:t>施工</w:t>
            </w:r>
            <w:r>
              <w:rPr>
                <w:rFonts w:hint="eastAsia" w:ascii="Times New Roman" w:hAnsi="Times New Roman" w:eastAsia="宋体"/>
                <w:strike w:val="0"/>
                <w:dstrike w:val="0"/>
                <w:color w:val="auto"/>
                <w:sz w:val="21"/>
                <w:szCs w:val="21"/>
                <w:highlight w:val="none"/>
              </w:rPr>
              <w:t>机械</w:t>
            </w:r>
          </w:p>
        </w:tc>
        <w:tc>
          <w:tcPr>
            <w:tcW w:w="4189" w:type="pct"/>
            <w:gridSpan w:val="9"/>
            <w:tcBorders>
              <w:tl2br w:val="nil"/>
              <w:tr2bl w:val="nil"/>
            </w:tcBorders>
            <w:vAlign w:val="center"/>
          </w:tcPr>
          <w:p w14:paraId="11DD8A7E">
            <w:pPr>
              <w:autoSpaceDE w:val="0"/>
              <w:autoSpaceDN w:val="0"/>
              <w:adjustRightInd w:val="0"/>
              <w:snapToGrid w:val="0"/>
              <w:spacing w:line="240" w:lineRule="auto"/>
              <w:ind w:firstLine="0" w:firstLineChars="0"/>
              <w:jc w:val="center"/>
              <w:rPr>
                <w:rFonts w:hint="eastAsia" w:ascii="Times New Roman" w:hAnsi="Times New Roman" w:eastAsia="宋体"/>
                <w:strike w:val="0"/>
                <w:dstrike w:val="0"/>
                <w:color w:val="auto"/>
                <w:sz w:val="21"/>
                <w:szCs w:val="21"/>
                <w:highlight w:val="none"/>
                <w:lang w:eastAsia="zh-CN"/>
              </w:rPr>
            </w:pPr>
            <w:r>
              <w:rPr>
                <w:rFonts w:hint="eastAsia" w:ascii="Times New Roman" w:hAnsi="Times New Roman" w:eastAsia="宋体"/>
                <w:strike w:val="0"/>
                <w:dstrike w:val="0"/>
                <w:color w:val="auto"/>
                <w:sz w:val="21"/>
                <w:szCs w:val="21"/>
                <w:highlight w:val="none"/>
              </w:rPr>
              <w:t>离施工现场噪声源距离（m）</w:t>
            </w:r>
            <w:r>
              <w:rPr>
                <w:rFonts w:ascii="Times New Roman" w:hAnsi="Times New Roman" w:eastAsia="宋体"/>
                <w:strike w:val="0"/>
                <w:dstrike w:val="0"/>
                <w:color w:val="auto"/>
                <w:sz w:val="21"/>
                <w:szCs w:val="21"/>
                <w:highlight w:val="none"/>
              </w:rPr>
              <w:t>dB</w:t>
            </w:r>
            <w:r>
              <w:rPr>
                <w:rFonts w:hint="eastAsia" w:ascii="Times New Roman" w:hAnsi="Times New Roman" w:eastAsia="宋体"/>
                <w:strike w:val="0"/>
                <w:dstrike w:val="0"/>
                <w:color w:val="auto"/>
                <w:sz w:val="21"/>
                <w:szCs w:val="21"/>
                <w:highlight w:val="none"/>
                <w:lang w:eastAsia="zh-CN"/>
              </w:rPr>
              <w:t>（</w:t>
            </w:r>
            <w:r>
              <w:rPr>
                <w:rFonts w:ascii="Times New Roman" w:hAnsi="Times New Roman" w:eastAsia="宋体"/>
                <w:strike w:val="0"/>
                <w:dstrike w:val="0"/>
                <w:color w:val="auto"/>
                <w:sz w:val="21"/>
                <w:szCs w:val="21"/>
                <w:highlight w:val="none"/>
              </w:rPr>
              <w:t>A</w:t>
            </w:r>
            <w:r>
              <w:rPr>
                <w:rFonts w:hint="eastAsia" w:ascii="Times New Roman" w:hAnsi="Times New Roman" w:eastAsia="宋体"/>
                <w:strike w:val="0"/>
                <w:dstrike w:val="0"/>
                <w:color w:val="auto"/>
                <w:sz w:val="21"/>
                <w:szCs w:val="21"/>
                <w:highlight w:val="none"/>
                <w:lang w:eastAsia="zh-CN"/>
              </w:rPr>
              <w:t>）</w:t>
            </w:r>
          </w:p>
        </w:tc>
      </w:tr>
      <w:tr w14:paraId="6DFEE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283" w:hRule="atLeast"/>
          <w:jc w:val="center"/>
        </w:trPr>
        <w:tc>
          <w:tcPr>
            <w:tcW w:w="811" w:type="pct"/>
            <w:vMerge w:val="continue"/>
            <w:tcBorders>
              <w:tl2br w:val="nil"/>
              <w:tr2bl w:val="nil"/>
            </w:tcBorders>
            <w:vAlign w:val="center"/>
          </w:tcPr>
          <w:p w14:paraId="34ACE23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p>
        </w:tc>
        <w:tc>
          <w:tcPr>
            <w:tcW w:w="413" w:type="pct"/>
            <w:tcBorders>
              <w:tl2br w:val="nil"/>
              <w:tr2bl w:val="nil"/>
            </w:tcBorders>
            <w:vAlign w:val="center"/>
          </w:tcPr>
          <w:p w14:paraId="2F3B126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w:t>
            </w:r>
          </w:p>
        </w:tc>
        <w:tc>
          <w:tcPr>
            <w:tcW w:w="461" w:type="pct"/>
            <w:tcBorders>
              <w:tl2br w:val="nil"/>
              <w:tr2bl w:val="nil"/>
            </w:tcBorders>
            <w:vAlign w:val="center"/>
          </w:tcPr>
          <w:p w14:paraId="744873A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w:t>
            </w:r>
          </w:p>
        </w:tc>
        <w:tc>
          <w:tcPr>
            <w:tcW w:w="530" w:type="pct"/>
            <w:tcBorders>
              <w:tl2br w:val="nil"/>
              <w:tr2bl w:val="nil"/>
            </w:tcBorders>
            <w:vAlign w:val="center"/>
          </w:tcPr>
          <w:p w14:paraId="319DA4D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20</w:t>
            </w:r>
          </w:p>
        </w:tc>
        <w:tc>
          <w:tcPr>
            <w:tcW w:w="525" w:type="pct"/>
            <w:tcBorders>
              <w:tl2br w:val="nil"/>
              <w:tr2bl w:val="nil"/>
            </w:tcBorders>
            <w:vAlign w:val="center"/>
          </w:tcPr>
          <w:p w14:paraId="259D8CC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30</w:t>
            </w:r>
          </w:p>
        </w:tc>
        <w:tc>
          <w:tcPr>
            <w:tcW w:w="530" w:type="pct"/>
            <w:tcBorders>
              <w:tl2br w:val="nil"/>
              <w:tr2bl w:val="nil"/>
            </w:tcBorders>
            <w:vAlign w:val="center"/>
          </w:tcPr>
          <w:p w14:paraId="6480A2A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40</w:t>
            </w:r>
          </w:p>
        </w:tc>
        <w:tc>
          <w:tcPr>
            <w:tcW w:w="429" w:type="pct"/>
            <w:tcBorders>
              <w:right w:val="single" w:color="auto" w:sz="4" w:space="0"/>
              <w:tl2br w:val="nil"/>
              <w:tr2bl w:val="nil"/>
            </w:tcBorders>
            <w:vAlign w:val="center"/>
          </w:tcPr>
          <w:p w14:paraId="29FB2BB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50</w:t>
            </w:r>
          </w:p>
        </w:tc>
        <w:tc>
          <w:tcPr>
            <w:tcW w:w="433" w:type="pct"/>
            <w:tcBorders>
              <w:left w:val="single" w:color="auto" w:sz="4" w:space="0"/>
              <w:tl2br w:val="nil"/>
              <w:tr2bl w:val="nil"/>
            </w:tcBorders>
            <w:vAlign w:val="center"/>
          </w:tcPr>
          <w:p w14:paraId="4C3C824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33" w:type="pct"/>
            <w:tcBorders>
              <w:left w:val="single" w:color="auto" w:sz="4" w:space="0"/>
              <w:tl2br w:val="nil"/>
              <w:tr2bl w:val="nil"/>
            </w:tcBorders>
            <w:vAlign w:val="center"/>
          </w:tcPr>
          <w:p w14:paraId="77F97FB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150</w:t>
            </w:r>
          </w:p>
        </w:tc>
        <w:tc>
          <w:tcPr>
            <w:tcW w:w="435" w:type="pct"/>
            <w:tcBorders>
              <w:left w:val="single" w:color="auto" w:sz="4" w:space="0"/>
              <w:tl2br w:val="nil"/>
              <w:tr2bl w:val="nil"/>
            </w:tcBorders>
            <w:vAlign w:val="center"/>
          </w:tcPr>
          <w:p w14:paraId="78CEFAC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200</w:t>
            </w:r>
          </w:p>
        </w:tc>
      </w:tr>
      <w:tr w14:paraId="452EF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72011526">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ascii="Times New Roman" w:hAnsi="Times New Roman" w:eastAsia="宋体"/>
                <w:strike w:val="0"/>
                <w:dstrike w:val="0"/>
                <w:color w:val="auto"/>
                <w:kern w:val="2"/>
                <w:sz w:val="21"/>
                <w:szCs w:val="21"/>
                <w:highlight w:val="none"/>
              </w:rPr>
              <w:t>推土机</w:t>
            </w:r>
          </w:p>
        </w:tc>
        <w:tc>
          <w:tcPr>
            <w:tcW w:w="413" w:type="pct"/>
            <w:tcBorders>
              <w:tl2br w:val="nil"/>
              <w:tr2bl w:val="nil"/>
            </w:tcBorders>
            <w:vAlign w:val="center"/>
          </w:tcPr>
          <w:p w14:paraId="0100A15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115</w:t>
            </w:r>
          </w:p>
        </w:tc>
        <w:tc>
          <w:tcPr>
            <w:tcW w:w="461" w:type="pct"/>
            <w:tcBorders>
              <w:tl2br w:val="nil"/>
              <w:tr2bl w:val="nil"/>
            </w:tcBorders>
            <w:vAlign w:val="center"/>
          </w:tcPr>
          <w:p w14:paraId="6EAF930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88</w:t>
            </w:r>
          </w:p>
        </w:tc>
        <w:tc>
          <w:tcPr>
            <w:tcW w:w="530" w:type="pct"/>
            <w:tcBorders>
              <w:tl2br w:val="nil"/>
              <w:tr2bl w:val="nil"/>
            </w:tcBorders>
            <w:vAlign w:val="center"/>
          </w:tcPr>
          <w:p w14:paraId="1636B00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81.4</w:t>
            </w:r>
          </w:p>
        </w:tc>
        <w:tc>
          <w:tcPr>
            <w:tcW w:w="525" w:type="pct"/>
            <w:tcBorders>
              <w:tl2br w:val="nil"/>
              <w:tr2bl w:val="nil"/>
            </w:tcBorders>
            <w:vAlign w:val="center"/>
          </w:tcPr>
          <w:p w14:paraId="700FC36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77.8</w:t>
            </w:r>
          </w:p>
        </w:tc>
        <w:tc>
          <w:tcPr>
            <w:tcW w:w="530" w:type="pct"/>
            <w:tcBorders>
              <w:tl2br w:val="nil"/>
              <w:tr2bl w:val="nil"/>
            </w:tcBorders>
            <w:vAlign w:val="center"/>
          </w:tcPr>
          <w:p w14:paraId="7008E2E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75</w:t>
            </w:r>
          </w:p>
        </w:tc>
        <w:tc>
          <w:tcPr>
            <w:tcW w:w="429" w:type="pct"/>
            <w:tcBorders>
              <w:tl2br w:val="nil"/>
              <w:tr2bl w:val="nil"/>
            </w:tcBorders>
            <w:vAlign w:val="center"/>
          </w:tcPr>
          <w:p w14:paraId="3A48969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73.2</w:t>
            </w:r>
          </w:p>
        </w:tc>
        <w:tc>
          <w:tcPr>
            <w:tcW w:w="433" w:type="pct"/>
            <w:tcBorders>
              <w:tl2br w:val="nil"/>
              <w:tr2bl w:val="nil"/>
            </w:tcBorders>
            <w:vAlign w:val="center"/>
          </w:tcPr>
          <w:p w14:paraId="3DEABBE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67</w:t>
            </w:r>
          </w:p>
        </w:tc>
        <w:tc>
          <w:tcPr>
            <w:tcW w:w="433" w:type="pct"/>
            <w:tcBorders>
              <w:tl2br w:val="nil"/>
              <w:tr2bl w:val="nil"/>
            </w:tcBorders>
            <w:vAlign w:val="center"/>
          </w:tcPr>
          <w:p w14:paraId="159A487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63.6</w:t>
            </w:r>
          </w:p>
        </w:tc>
        <w:tc>
          <w:tcPr>
            <w:tcW w:w="435" w:type="pct"/>
            <w:tcBorders>
              <w:tl2br w:val="nil"/>
              <w:tr2bl w:val="nil"/>
            </w:tcBorders>
            <w:vAlign w:val="center"/>
          </w:tcPr>
          <w:p w14:paraId="2C5FC3C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61</w:t>
            </w:r>
          </w:p>
        </w:tc>
      </w:tr>
      <w:tr w14:paraId="290CC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4A4FFC20">
            <w:pPr>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装载机</w:t>
            </w:r>
          </w:p>
        </w:tc>
        <w:tc>
          <w:tcPr>
            <w:tcW w:w="413" w:type="pct"/>
            <w:tcBorders>
              <w:tl2br w:val="nil"/>
              <w:tr2bl w:val="nil"/>
            </w:tcBorders>
            <w:vAlign w:val="center"/>
          </w:tcPr>
          <w:p w14:paraId="4C909E7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105</w:t>
            </w:r>
          </w:p>
        </w:tc>
        <w:tc>
          <w:tcPr>
            <w:tcW w:w="461" w:type="pct"/>
            <w:tcBorders>
              <w:tl2br w:val="nil"/>
              <w:tr2bl w:val="nil"/>
            </w:tcBorders>
            <w:vAlign w:val="center"/>
          </w:tcPr>
          <w:p w14:paraId="32AA423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78</w:t>
            </w:r>
          </w:p>
        </w:tc>
        <w:tc>
          <w:tcPr>
            <w:tcW w:w="530" w:type="pct"/>
            <w:tcBorders>
              <w:tl2br w:val="nil"/>
              <w:tr2bl w:val="nil"/>
            </w:tcBorders>
            <w:vAlign w:val="center"/>
          </w:tcPr>
          <w:p w14:paraId="307EE2D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71.4</w:t>
            </w:r>
          </w:p>
        </w:tc>
        <w:tc>
          <w:tcPr>
            <w:tcW w:w="525" w:type="pct"/>
            <w:tcBorders>
              <w:tl2br w:val="nil"/>
              <w:tr2bl w:val="nil"/>
            </w:tcBorders>
            <w:vAlign w:val="center"/>
          </w:tcPr>
          <w:p w14:paraId="67BCAC3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67.8</w:t>
            </w:r>
          </w:p>
        </w:tc>
        <w:tc>
          <w:tcPr>
            <w:tcW w:w="530" w:type="pct"/>
            <w:tcBorders>
              <w:tl2br w:val="nil"/>
              <w:tr2bl w:val="nil"/>
            </w:tcBorders>
            <w:vAlign w:val="center"/>
          </w:tcPr>
          <w:p w14:paraId="408AADF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65</w:t>
            </w:r>
          </w:p>
        </w:tc>
        <w:tc>
          <w:tcPr>
            <w:tcW w:w="429" w:type="pct"/>
            <w:tcBorders>
              <w:tl2br w:val="nil"/>
              <w:tr2bl w:val="nil"/>
            </w:tcBorders>
            <w:vAlign w:val="center"/>
          </w:tcPr>
          <w:p w14:paraId="3847D06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63.2</w:t>
            </w:r>
          </w:p>
        </w:tc>
        <w:tc>
          <w:tcPr>
            <w:tcW w:w="433" w:type="pct"/>
            <w:tcBorders>
              <w:tl2br w:val="nil"/>
              <w:tr2bl w:val="nil"/>
            </w:tcBorders>
            <w:vAlign w:val="center"/>
          </w:tcPr>
          <w:p w14:paraId="7E4573A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57</w:t>
            </w:r>
          </w:p>
        </w:tc>
        <w:tc>
          <w:tcPr>
            <w:tcW w:w="433" w:type="pct"/>
            <w:tcBorders>
              <w:tl2br w:val="nil"/>
              <w:tr2bl w:val="nil"/>
            </w:tcBorders>
            <w:vAlign w:val="center"/>
          </w:tcPr>
          <w:p w14:paraId="6081475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53.6</w:t>
            </w:r>
          </w:p>
        </w:tc>
        <w:tc>
          <w:tcPr>
            <w:tcW w:w="435" w:type="pct"/>
            <w:tcBorders>
              <w:tl2br w:val="nil"/>
              <w:tr2bl w:val="nil"/>
            </w:tcBorders>
            <w:vAlign w:val="center"/>
          </w:tcPr>
          <w:p w14:paraId="5C4E201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51</w:t>
            </w:r>
          </w:p>
        </w:tc>
      </w:tr>
      <w:tr w14:paraId="669B1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5FE2A72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挖掘机</w:t>
            </w:r>
          </w:p>
        </w:tc>
        <w:tc>
          <w:tcPr>
            <w:tcW w:w="413" w:type="pct"/>
            <w:tcBorders>
              <w:tl2br w:val="nil"/>
              <w:tr2bl w:val="nil"/>
            </w:tcBorders>
            <w:vAlign w:val="center"/>
          </w:tcPr>
          <w:p w14:paraId="37CFB2C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61" w:type="pct"/>
            <w:tcBorders>
              <w:tl2br w:val="nil"/>
              <w:tr2bl w:val="nil"/>
            </w:tcBorders>
            <w:vAlign w:val="center"/>
          </w:tcPr>
          <w:p w14:paraId="175D1B9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w:t>
            </w:r>
          </w:p>
        </w:tc>
        <w:tc>
          <w:tcPr>
            <w:tcW w:w="530" w:type="pct"/>
            <w:tcBorders>
              <w:tl2br w:val="nil"/>
              <w:tr2bl w:val="nil"/>
            </w:tcBorders>
            <w:vAlign w:val="center"/>
          </w:tcPr>
          <w:p w14:paraId="5CA19FC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66.4</w:t>
            </w:r>
          </w:p>
        </w:tc>
        <w:tc>
          <w:tcPr>
            <w:tcW w:w="525" w:type="pct"/>
            <w:tcBorders>
              <w:tl2br w:val="nil"/>
              <w:tr2bl w:val="nil"/>
            </w:tcBorders>
            <w:vAlign w:val="center"/>
          </w:tcPr>
          <w:p w14:paraId="3A93FFB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62.8</w:t>
            </w:r>
          </w:p>
        </w:tc>
        <w:tc>
          <w:tcPr>
            <w:tcW w:w="530" w:type="pct"/>
            <w:tcBorders>
              <w:tl2br w:val="nil"/>
              <w:tr2bl w:val="nil"/>
            </w:tcBorders>
            <w:vAlign w:val="center"/>
          </w:tcPr>
          <w:p w14:paraId="645BF55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60</w:t>
            </w:r>
          </w:p>
        </w:tc>
        <w:tc>
          <w:tcPr>
            <w:tcW w:w="429" w:type="pct"/>
            <w:tcBorders>
              <w:tl2br w:val="nil"/>
              <w:tr2bl w:val="nil"/>
            </w:tcBorders>
            <w:vAlign w:val="center"/>
          </w:tcPr>
          <w:p w14:paraId="4D28FC1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58.2</w:t>
            </w:r>
          </w:p>
        </w:tc>
        <w:tc>
          <w:tcPr>
            <w:tcW w:w="433" w:type="pct"/>
            <w:tcBorders>
              <w:tl2br w:val="nil"/>
              <w:tr2bl w:val="nil"/>
            </w:tcBorders>
            <w:vAlign w:val="center"/>
          </w:tcPr>
          <w:p w14:paraId="7717DD4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52</w:t>
            </w:r>
          </w:p>
        </w:tc>
        <w:tc>
          <w:tcPr>
            <w:tcW w:w="433" w:type="pct"/>
            <w:tcBorders>
              <w:tl2br w:val="nil"/>
              <w:tr2bl w:val="nil"/>
            </w:tcBorders>
            <w:vAlign w:val="center"/>
          </w:tcPr>
          <w:p w14:paraId="2F2084F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48.6</w:t>
            </w:r>
          </w:p>
        </w:tc>
        <w:tc>
          <w:tcPr>
            <w:tcW w:w="435" w:type="pct"/>
            <w:tcBorders>
              <w:tl2br w:val="nil"/>
              <w:tr2bl w:val="nil"/>
            </w:tcBorders>
            <w:vAlign w:val="center"/>
          </w:tcPr>
          <w:p w14:paraId="4DBB232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46</w:t>
            </w:r>
          </w:p>
        </w:tc>
      </w:tr>
      <w:tr w14:paraId="5E8BA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6A93D2E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自卸卡车</w:t>
            </w:r>
          </w:p>
        </w:tc>
        <w:tc>
          <w:tcPr>
            <w:tcW w:w="413" w:type="pct"/>
            <w:tcBorders>
              <w:tl2br w:val="nil"/>
              <w:tr2bl w:val="nil"/>
            </w:tcBorders>
            <w:vAlign w:val="center"/>
          </w:tcPr>
          <w:p w14:paraId="7668CDF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61" w:type="pct"/>
            <w:tcBorders>
              <w:tl2br w:val="nil"/>
              <w:tr2bl w:val="nil"/>
            </w:tcBorders>
            <w:vAlign w:val="center"/>
          </w:tcPr>
          <w:p w14:paraId="0018606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w:t>
            </w:r>
          </w:p>
        </w:tc>
        <w:tc>
          <w:tcPr>
            <w:tcW w:w="530" w:type="pct"/>
            <w:tcBorders>
              <w:tl2br w:val="nil"/>
              <w:tr2bl w:val="nil"/>
            </w:tcBorders>
            <w:vAlign w:val="center"/>
          </w:tcPr>
          <w:p w14:paraId="0A4752C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66.4</w:t>
            </w:r>
          </w:p>
        </w:tc>
        <w:tc>
          <w:tcPr>
            <w:tcW w:w="525" w:type="pct"/>
            <w:tcBorders>
              <w:tl2br w:val="nil"/>
              <w:tr2bl w:val="nil"/>
            </w:tcBorders>
            <w:vAlign w:val="center"/>
          </w:tcPr>
          <w:p w14:paraId="4AD192A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62.8</w:t>
            </w:r>
          </w:p>
        </w:tc>
        <w:tc>
          <w:tcPr>
            <w:tcW w:w="530" w:type="pct"/>
            <w:tcBorders>
              <w:tl2br w:val="nil"/>
              <w:tr2bl w:val="nil"/>
            </w:tcBorders>
            <w:vAlign w:val="center"/>
          </w:tcPr>
          <w:p w14:paraId="31BFE97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60</w:t>
            </w:r>
          </w:p>
        </w:tc>
        <w:tc>
          <w:tcPr>
            <w:tcW w:w="429" w:type="pct"/>
            <w:tcBorders>
              <w:tl2br w:val="nil"/>
              <w:tr2bl w:val="nil"/>
            </w:tcBorders>
            <w:vAlign w:val="center"/>
          </w:tcPr>
          <w:p w14:paraId="22C918A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58.2</w:t>
            </w:r>
          </w:p>
        </w:tc>
        <w:tc>
          <w:tcPr>
            <w:tcW w:w="433" w:type="pct"/>
            <w:tcBorders>
              <w:tl2br w:val="nil"/>
              <w:tr2bl w:val="nil"/>
            </w:tcBorders>
            <w:vAlign w:val="center"/>
          </w:tcPr>
          <w:p w14:paraId="021FD9F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52</w:t>
            </w:r>
          </w:p>
        </w:tc>
        <w:tc>
          <w:tcPr>
            <w:tcW w:w="433" w:type="pct"/>
            <w:tcBorders>
              <w:tl2br w:val="nil"/>
              <w:tr2bl w:val="nil"/>
            </w:tcBorders>
            <w:vAlign w:val="center"/>
          </w:tcPr>
          <w:p w14:paraId="41DDEEA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48.6</w:t>
            </w:r>
          </w:p>
        </w:tc>
        <w:tc>
          <w:tcPr>
            <w:tcW w:w="435" w:type="pct"/>
            <w:tcBorders>
              <w:tl2br w:val="nil"/>
              <w:tr2bl w:val="nil"/>
            </w:tcBorders>
            <w:vAlign w:val="center"/>
          </w:tcPr>
          <w:p w14:paraId="7274DF2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46</w:t>
            </w:r>
          </w:p>
        </w:tc>
      </w:tr>
      <w:tr w14:paraId="7F0AA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29A32A7E">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空压机</w:t>
            </w:r>
          </w:p>
        </w:tc>
        <w:tc>
          <w:tcPr>
            <w:tcW w:w="413" w:type="pct"/>
            <w:tcBorders>
              <w:tl2br w:val="nil"/>
              <w:tr2bl w:val="nil"/>
            </w:tcBorders>
            <w:vAlign w:val="center"/>
          </w:tcPr>
          <w:p w14:paraId="241D345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110</w:t>
            </w:r>
          </w:p>
        </w:tc>
        <w:tc>
          <w:tcPr>
            <w:tcW w:w="461" w:type="pct"/>
            <w:tcBorders>
              <w:tl2br w:val="nil"/>
              <w:tr2bl w:val="nil"/>
            </w:tcBorders>
            <w:vAlign w:val="center"/>
          </w:tcPr>
          <w:p w14:paraId="276E776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83</w:t>
            </w:r>
          </w:p>
        </w:tc>
        <w:tc>
          <w:tcPr>
            <w:tcW w:w="530" w:type="pct"/>
            <w:tcBorders>
              <w:tl2br w:val="nil"/>
              <w:tr2bl w:val="nil"/>
            </w:tcBorders>
            <w:vAlign w:val="center"/>
          </w:tcPr>
          <w:p w14:paraId="1912361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76.4</w:t>
            </w:r>
          </w:p>
        </w:tc>
        <w:tc>
          <w:tcPr>
            <w:tcW w:w="525" w:type="pct"/>
            <w:tcBorders>
              <w:tl2br w:val="nil"/>
              <w:tr2bl w:val="nil"/>
            </w:tcBorders>
            <w:vAlign w:val="center"/>
          </w:tcPr>
          <w:p w14:paraId="24D60D7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72.8</w:t>
            </w:r>
          </w:p>
        </w:tc>
        <w:tc>
          <w:tcPr>
            <w:tcW w:w="530" w:type="pct"/>
            <w:tcBorders>
              <w:tl2br w:val="nil"/>
              <w:tr2bl w:val="nil"/>
            </w:tcBorders>
            <w:vAlign w:val="center"/>
          </w:tcPr>
          <w:p w14:paraId="341FD198">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w:t>
            </w:r>
          </w:p>
        </w:tc>
        <w:tc>
          <w:tcPr>
            <w:tcW w:w="429" w:type="pct"/>
            <w:tcBorders>
              <w:tl2br w:val="nil"/>
              <w:tr2bl w:val="nil"/>
            </w:tcBorders>
            <w:vAlign w:val="center"/>
          </w:tcPr>
          <w:p w14:paraId="5803CB54">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68.2</w:t>
            </w:r>
          </w:p>
        </w:tc>
        <w:tc>
          <w:tcPr>
            <w:tcW w:w="433" w:type="pct"/>
            <w:tcBorders>
              <w:tl2br w:val="nil"/>
              <w:tr2bl w:val="nil"/>
            </w:tcBorders>
            <w:vAlign w:val="center"/>
          </w:tcPr>
          <w:p w14:paraId="10A15F8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w:t>
            </w:r>
          </w:p>
        </w:tc>
        <w:tc>
          <w:tcPr>
            <w:tcW w:w="433" w:type="pct"/>
            <w:tcBorders>
              <w:tl2br w:val="nil"/>
              <w:tr2bl w:val="nil"/>
            </w:tcBorders>
            <w:vAlign w:val="center"/>
          </w:tcPr>
          <w:p w14:paraId="4420000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58.6</w:t>
            </w:r>
          </w:p>
        </w:tc>
        <w:tc>
          <w:tcPr>
            <w:tcW w:w="435" w:type="pct"/>
            <w:tcBorders>
              <w:tl2br w:val="nil"/>
              <w:tr2bl w:val="nil"/>
            </w:tcBorders>
            <w:vAlign w:val="center"/>
          </w:tcPr>
          <w:p w14:paraId="61299FD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56</w:t>
            </w:r>
          </w:p>
        </w:tc>
      </w:tr>
      <w:tr w14:paraId="7F2CB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09C31411">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电锯</w:t>
            </w:r>
          </w:p>
        </w:tc>
        <w:tc>
          <w:tcPr>
            <w:tcW w:w="413" w:type="pct"/>
            <w:tcBorders>
              <w:tl2br w:val="nil"/>
              <w:tr2bl w:val="nil"/>
            </w:tcBorders>
            <w:vAlign w:val="center"/>
          </w:tcPr>
          <w:p w14:paraId="7EF3F01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115</w:t>
            </w:r>
          </w:p>
        </w:tc>
        <w:tc>
          <w:tcPr>
            <w:tcW w:w="461" w:type="pct"/>
            <w:tcBorders>
              <w:tl2br w:val="nil"/>
              <w:tr2bl w:val="nil"/>
            </w:tcBorders>
            <w:vAlign w:val="center"/>
          </w:tcPr>
          <w:p w14:paraId="1C57967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88</w:t>
            </w:r>
          </w:p>
        </w:tc>
        <w:tc>
          <w:tcPr>
            <w:tcW w:w="530" w:type="pct"/>
            <w:tcBorders>
              <w:tl2br w:val="nil"/>
              <w:tr2bl w:val="nil"/>
            </w:tcBorders>
            <w:vAlign w:val="center"/>
          </w:tcPr>
          <w:p w14:paraId="0F44A61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81.4</w:t>
            </w:r>
          </w:p>
        </w:tc>
        <w:tc>
          <w:tcPr>
            <w:tcW w:w="525" w:type="pct"/>
            <w:tcBorders>
              <w:tl2br w:val="nil"/>
              <w:tr2bl w:val="nil"/>
            </w:tcBorders>
            <w:vAlign w:val="center"/>
          </w:tcPr>
          <w:p w14:paraId="5979B4B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77.8</w:t>
            </w:r>
          </w:p>
        </w:tc>
        <w:tc>
          <w:tcPr>
            <w:tcW w:w="530" w:type="pct"/>
            <w:tcBorders>
              <w:tl2br w:val="nil"/>
              <w:tr2bl w:val="nil"/>
            </w:tcBorders>
            <w:vAlign w:val="center"/>
          </w:tcPr>
          <w:p w14:paraId="1000213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75</w:t>
            </w:r>
          </w:p>
        </w:tc>
        <w:tc>
          <w:tcPr>
            <w:tcW w:w="429" w:type="pct"/>
            <w:tcBorders>
              <w:tl2br w:val="nil"/>
              <w:tr2bl w:val="nil"/>
            </w:tcBorders>
            <w:vAlign w:val="center"/>
          </w:tcPr>
          <w:p w14:paraId="63F84CE7">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73.2</w:t>
            </w:r>
          </w:p>
        </w:tc>
        <w:tc>
          <w:tcPr>
            <w:tcW w:w="433" w:type="pct"/>
            <w:tcBorders>
              <w:tl2br w:val="nil"/>
              <w:tr2bl w:val="nil"/>
            </w:tcBorders>
            <w:vAlign w:val="center"/>
          </w:tcPr>
          <w:p w14:paraId="4C317E1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67</w:t>
            </w:r>
          </w:p>
        </w:tc>
        <w:tc>
          <w:tcPr>
            <w:tcW w:w="433" w:type="pct"/>
            <w:tcBorders>
              <w:tl2br w:val="nil"/>
              <w:tr2bl w:val="nil"/>
            </w:tcBorders>
            <w:vAlign w:val="center"/>
          </w:tcPr>
          <w:p w14:paraId="25B388B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63.6</w:t>
            </w:r>
          </w:p>
        </w:tc>
        <w:tc>
          <w:tcPr>
            <w:tcW w:w="435" w:type="pct"/>
            <w:tcBorders>
              <w:tl2br w:val="nil"/>
              <w:tr2bl w:val="nil"/>
            </w:tcBorders>
            <w:vAlign w:val="center"/>
          </w:tcPr>
          <w:p w14:paraId="182F285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61</w:t>
            </w:r>
          </w:p>
        </w:tc>
      </w:tr>
      <w:tr w14:paraId="219BC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18A99BC3">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卷扬机</w:t>
            </w:r>
          </w:p>
        </w:tc>
        <w:tc>
          <w:tcPr>
            <w:tcW w:w="413" w:type="pct"/>
            <w:tcBorders>
              <w:tl2br w:val="nil"/>
              <w:tr2bl w:val="nil"/>
            </w:tcBorders>
            <w:vAlign w:val="center"/>
          </w:tcPr>
          <w:p w14:paraId="24DED5A9">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100</w:t>
            </w:r>
          </w:p>
        </w:tc>
        <w:tc>
          <w:tcPr>
            <w:tcW w:w="461" w:type="pct"/>
            <w:tcBorders>
              <w:tl2br w:val="nil"/>
              <w:tr2bl w:val="nil"/>
            </w:tcBorders>
            <w:vAlign w:val="center"/>
          </w:tcPr>
          <w:p w14:paraId="1221514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73</w:t>
            </w:r>
          </w:p>
        </w:tc>
        <w:tc>
          <w:tcPr>
            <w:tcW w:w="530" w:type="pct"/>
            <w:tcBorders>
              <w:tl2br w:val="nil"/>
              <w:tr2bl w:val="nil"/>
            </w:tcBorders>
            <w:vAlign w:val="center"/>
          </w:tcPr>
          <w:p w14:paraId="07144916">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66.4</w:t>
            </w:r>
          </w:p>
        </w:tc>
        <w:tc>
          <w:tcPr>
            <w:tcW w:w="525" w:type="pct"/>
            <w:tcBorders>
              <w:tl2br w:val="nil"/>
              <w:tr2bl w:val="nil"/>
            </w:tcBorders>
            <w:vAlign w:val="center"/>
          </w:tcPr>
          <w:p w14:paraId="001D685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62.8</w:t>
            </w:r>
          </w:p>
        </w:tc>
        <w:tc>
          <w:tcPr>
            <w:tcW w:w="530" w:type="pct"/>
            <w:tcBorders>
              <w:tl2br w:val="nil"/>
              <w:tr2bl w:val="nil"/>
            </w:tcBorders>
            <w:vAlign w:val="center"/>
          </w:tcPr>
          <w:p w14:paraId="45A92CB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60</w:t>
            </w:r>
          </w:p>
        </w:tc>
        <w:tc>
          <w:tcPr>
            <w:tcW w:w="429" w:type="pct"/>
            <w:tcBorders>
              <w:tl2br w:val="nil"/>
              <w:tr2bl w:val="nil"/>
            </w:tcBorders>
            <w:vAlign w:val="center"/>
          </w:tcPr>
          <w:p w14:paraId="126E73B5">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58.2</w:t>
            </w:r>
          </w:p>
        </w:tc>
        <w:tc>
          <w:tcPr>
            <w:tcW w:w="433" w:type="pct"/>
            <w:tcBorders>
              <w:tl2br w:val="nil"/>
              <w:tr2bl w:val="nil"/>
            </w:tcBorders>
            <w:vAlign w:val="center"/>
          </w:tcPr>
          <w:p w14:paraId="69A4289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52</w:t>
            </w:r>
          </w:p>
        </w:tc>
        <w:tc>
          <w:tcPr>
            <w:tcW w:w="433" w:type="pct"/>
            <w:tcBorders>
              <w:tl2br w:val="nil"/>
              <w:tr2bl w:val="nil"/>
            </w:tcBorders>
            <w:vAlign w:val="center"/>
          </w:tcPr>
          <w:p w14:paraId="2393335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48.6</w:t>
            </w:r>
          </w:p>
        </w:tc>
        <w:tc>
          <w:tcPr>
            <w:tcW w:w="435" w:type="pct"/>
            <w:tcBorders>
              <w:tl2br w:val="nil"/>
              <w:tr2bl w:val="nil"/>
            </w:tcBorders>
            <w:vAlign w:val="center"/>
          </w:tcPr>
          <w:p w14:paraId="7688B8CE">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46</w:t>
            </w:r>
          </w:p>
        </w:tc>
      </w:tr>
      <w:tr w14:paraId="131D9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30" w:type="dxa"/>
            <w:bottom w:w="0" w:type="dxa"/>
            <w:right w:w="30" w:type="dxa"/>
          </w:tblCellMar>
        </w:tblPrEx>
        <w:trPr>
          <w:trHeight w:val="340" w:hRule="atLeast"/>
          <w:jc w:val="center"/>
        </w:trPr>
        <w:tc>
          <w:tcPr>
            <w:tcW w:w="811" w:type="pct"/>
            <w:tcBorders>
              <w:tl2br w:val="nil"/>
              <w:tr2bl w:val="nil"/>
            </w:tcBorders>
            <w:vAlign w:val="center"/>
          </w:tcPr>
          <w:p w14:paraId="466BB57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切割机</w:t>
            </w:r>
          </w:p>
        </w:tc>
        <w:tc>
          <w:tcPr>
            <w:tcW w:w="413" w:type="pct"/>
            <w:tcBorders>
              <w:tl2br w:val="nil"/>
              <w:tr2bl w:val="nil"/>
            </w:tcBorders>
            <w:vAlign w:val="center"/>
          </w:tcPr>
          <w:p w14:paraId="4B28176A">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110</w:t>
            </w:r>
          </w:p>
        </w:tc>
        <w:tc>
          <w:tcPr>
            <w:tcW w:w="461" w:type="pct"/>
            <w:tcBorders>
              <w:tl2br w:val="nil"/>
              <w:tr2bl w:val="nil"/>
            </w:tcBorders>
            <w:vAlign w:val="center"/>
          </w:tcPr>
          <w:p w14:paraId="7A1E436F">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83</w:t>
            </w:r>
          </w:p>
        </w:tc>
        <w:tc>
          <w:tcPr>
            <w:tcW w:w="530" w:type="pct"/>
            <w:tcBorders>
              <w:tl2br w:val="nil"/>
              <w:tr2bl w:val="nil"/>
            </w:tcBorders>
            <w:vAlign w:val="center"/>
          </w:tcPr>
          <w:p w14:paraId="616C3DB2">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76.4</w:t>
            </w:r>
          </w:p>
        </w:tc>
        <w:tc>
          <w:tcPr>
            <w:tcW w:w="525" w:type="pct"/>
            <w:tcBorders>
              <w:tl2br w:val="nil"/>
              <w:tr2bl w:val="nil"/>
            </w:tcBorders>
            <w:vAlign w:val="center"/>
          </w:tcPr>
          <w:p w14:paraId="2D589B90">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72.8</w:t>
            </w:r>
          </w:p>
        </w:tc>
        <w:tc>
          <w:tcPr>
            <w:tcW w:w="530" w:type="pct"/>
            <w:tcBorders>
              <w:tl2br w:val="nil"/>
              <w:tr2bl w:val="nil"/>
            </w:tcBorders>
            <w:vAlign w:val="center"/>
          </w:tcPr>
          <w:p w14:paraId="1309FF8D">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70</w:t>
            </w:r>
          </w:p>
        </w:tc>
        <w:tc>
          <w:tcPr>
            <w:tcW w:w="429" w:type="pct"/>
            <w:tcBorders>
              <w:tl2br w:val="nil"/>
              <w:tr2bl w:val="nil"/>
            </w:tcBorders>
            <w:vAlign w:val="center"/>
          </w:tcPr>
          <w:p w14:paraId="635EEC6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68.2</w:t>
            </w:r>
          </w:p>
        </w:tc>
        <w:tc>
          <w:tcPr>
            <w:tcW w:w="433" w:type="pct"/>
            <w:tcBorders>
              <w:tl2br w:val="nil"/>
              <w:tr2bl w:val="nil"/>
            </w:tcBorders>
            <w:vAlign w:val="center"/>
          </w:tcPr>
          <w:p w14:paraId="10F8551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62</w:t>
            </w:r>
          </w:p>
        </w:tc>
        <w:tc>
          <w:tcPr>
            <w:tcW w:w="433" w:type="pct"/>
            <w:tcBorders>
              <w:tl2br w:val="nil"/>
              <w:tr2bl w:val="nil"/>
            </w:tcBorders>
            <w:vAlign w:val="center"/>
          </w:tcPr>
          <w:p w14:paraId="76CE657C">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58.6</w:t>
            </w:r>
          </w:p>
        </w:tc>
        <w:tc>
          <w:tcPr>
            <w:tcW w:w="435" w:type="pct"/>
            <w:tcBorders>
              <w:tl2br w:val="nil"/>
              <w:tr2bl w:val="nil"/>
            </w:tcBorders>
            <w:vAlign w:val="center"/>
          </w:tcPr>
          <w:p w14:paraId="5B96771B">
            <w:pPr>
              <w:autoSpaceDE w:val="0"/>
              <w:autoSpaceDN w:val="0"/>
              <w:adjustRightInd w:val="0"/>
              <w:snapToGrid w:val="0"/>
              <w:spacing w:line="240" w:lineRule="auto"/>
              <w:ind w:firstLine="0" w:firstLineChars="0"/>
              <w:jc w:val="center"/>
              <w:rPr>
                <w:rFonts w:ascii="Times New Roman" w:hAnsi="Times New Roman" w:eastAsia="宋体"/>
                <w:strike w:val="0"/>
                <w:dstrike w:val="0"/>
                <w:color w:val="auto"/>
                <w:sz w:val="21"/>
                <w:szCs w:val="21"/>
                <w:highlight w:val="none"/>
              </w:rPr>
            </w:pPr>
            <w:r>
              <w:rPr>
                <w:rFonts w:hint="eastAsia" w:ascii="Times New Roman" w:hAnsi="Times New Roman" w:eastAsia="宋体"/>
                <w:strike w:val="0"/>
                <w:dstrike w:val="0"/>
                <w:color w:val="auto"/>
                <w:sz w:val="21"/>
                <w:szCs w:val="21"/>
                <w:highlight w:val="none"/>
              </w:rPr>
              <w:t>56</w:t>
            </w:r>
          </w:p>
        </w:tc>
      </w:tr>
    </w:tbl>
    <w:p w14:paraId="106B362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注：按《建筑施工场界环境噪声排放标准》（GB12523-20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）进行评价</w:t>
      </w:r>
      <w:r>
        <w:rPr>
          <w:rFonts w:hint="eastAsia" w:ascii="Times New Roman" w:hAnsi="Times New Roman" w:eastAsia="宋体"/>
          <w:strike w:val="0"/>
          <w:dstrike w:val="0"/>
          <w:color w:val="auto"/>
          <w:highlight w:val="none"/>
          <w:lang w:eastAsia="zh-CN"/>
        </w:rPr>
        <w:t>。</w:t>
      </w:r>
    </w:p>
    <w:p w14:paraId="5873D4C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按照《建筑施工场界环境噪声排放标准》（GB12523-20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）的规定，昼间的厂界噪声限值为70dB，夜间厂界噪声限值为55dB</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表5.1-2表明：项目施工方阶段厂界昼间施工噪声于声源外约100m处达标，估算夜间于355m处达标；基础施工阶段厂界昼间施工噪声于声源外125m处达标，夜间噪声达标距离估算在210m；主体结构阶段昼间厂界施工噪声于声源外100m处达标，估算夜间于380m处达标；装修阶段施工噪声昼间于声源外40m处达标，夜间于100m处达标</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项目施工机械在靠近厂界边施工时，昼夜施工厂界噪声超过《建筑施工厂界环境噪声排放标准》（GB12523-20</w:t>
      </w:r>
      <w:r>
        <w:rPr>
          <w:rFonts w:hint="eastAsia" w:ascii="Times New Roman" w:hAnsi="Times New Roman" w:eastAsia="宋体"/>
          <w:strike w:val="0"/>
          <w:dstrike w:val="0"/>
          <w:color w:val="auto"/>
          <w:highlight w:val="none"/>
          <w:lang w:val="en-US" w:eastAsia="zh-CN"/>
        </w:rPr>
        <w:t>25</w:t>
      </w:r>
      <w:r>
        <w:rPr>
          <w:rFonts w:hint="eastAsia" w:ascii="Times New Roman" w:hAnsi="Times New Roman" w:eastAsia="宋体"/>
          <w:strike w:val="0"/>
          <w:dstrike w:val="0"/>
          <w:color w:val="auto"/>
          <w:highlight w:val="none"/>
        </w:rPr>
        <w:t>）中限值的要求，本项目评价范围内无声环境敏感目标，施工期噪声经衰减后对环境影响甚微</w:t>
      </w:r>
      <w:r>
        <w:rPr>
          <w:rFonts w:hint="eastAsia" w:ascii="Times New Roman" w:hAnsi="Times New Roman" w:eastAsia="宋体"/>
          <w:strike w:val="0"/>
          <w:dstrike w:val="0"/>
          <w:color w:val="auto"/>
          <w:highlight w:val="none"/>
          <w:lang w:eastAsia="zh-CN"/>
        </w:rPr>
        <w:t>。</w:t>
      </w:r>
    </w:p>
    <w:p w14:paraId="70FC636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根据项目施工期的施工特点，提出如下噪声防治措施：</w:t>
      </w:r>
    </w:p>
    <w:p w14:paraId="3158DF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（1）施工单位施工过程中尽量避免在靠近厂界处的同一地点安排大量动力机械设备施工，以减缓局部叠加声级过高造成的厂界噪声超标的风险</w:t>
      </w:r>
      <w:r>
        <w:rPr>
          <w:rFonts w:hint="eastAsia" w:ascii="Times New Roman" w:hAnsi="Times New Roman" w:eastAsia="宋体"/>
          <w:strike w:val="0"/>
          <w:dstrike w:val="0"/>
          <w:color w:val="auto"/>
          <w:highlight w:val="none"/>
          <w:lang w:eastAsia="zh-CN"/>
        </w:rPr>
        <w:t>。</w:t>
      </w:r>
    </w:p>
    <w:p w14:paraId="5F3FC9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（2）设备选型上，在不影响施工质量的前提下，在土石方、装修等施工过程应采用低噪声、低振动的设备，对施工设备进行定期维修保养，避免因设备性能减退而使噪声增强的现象发生</w:t>
      </w:r>
      <w:r>
        <w:rPr>
          <w:rFonts w:hint="eastAsia" w:ascii="Times New Roman" w:hAnsi="Times New Roman" w:eastAsia="宋体"/>
          <w:strike w:val="0"/>
          <w:dstrike w:val="0"/>
          <w:color w:val="auto"/>
          <w:highlight w:val="none"/>
          <w:lang w:eastAsia="zh-CN"/>
        </w:rPr>
        <w:t>。</w:t>
      </w:r>
    </w:p>
    <w:p w14:paraId="7B729FE9">
      <w:pPr>
        <w:pStyle w:val="4"/>
        <w:rPr>
          <w:rFonts w:ascii="Times New Roman" w:hAnsi="Times New Roman" w:eastAsia="宋体"/>
          <w:strike w:val="0"/>
          <w:dstrike w:val="0"/>
          <w:color w:val="auto"/>
          <w:highlight w:val="none"/>
        </w:rPr>
      </w:pPr>
      <w:bookmarkStart w:id="224" w:name="_Toc22273"/>
      <w:bookmarkStart w:id="225" w:name="_Toc106663497"/>
      <w:r>
        <w:rPr>
          <w:rFonts w:hint="eastAsia" w:ascii="Times New Roman" w:hAnsi="Times New Roman" w:eastAsia="宋体"/>
          <w:strike w:val="0"/>
          <w:dstrike w:val="0"/>
          <w:color w:val="auto"/>
          <w:highlight w:val="none"/>
        </w:rPr>
        <w:t>5.1.4施工期固体废物环境影响分析</w:t>
      </w:r>
      <w:bookmarkEnd w:id="224"/>
      <w:bookmarkEnd w:id="225"/>
    </w:p>
    <w:p w14:paraId="2FD895F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由工程分析可知，施工期固体废物主要由施工建筑垃圾和施工人员产生的生活垃圾组成</w:t>
      </w:r>
      <w:r>
        <w:rPr>
          <w:rFonts w:hint="eastAsia" w:ascii="Times New Roman" w:hAnsi="Times New Roman" w:eastAsia="宋体"/>
          <w:strike w:val="0"/>
          <w:dstrike w:val="0"/>
          <w:color w:val="auto"/>
          <w:highlight w:val="none"/>
          <w:lang w:eastAsia="zh-CN"/>
        </w:rPr>
        <w:t>。</w:t>
      </w:r>
    </w:p>
    <w:p w14:paraId="7764BCC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（1）施工建筑垃圾</w:t>
      </w:r>
    </w:p>
    <w:p w14:paraId="4995304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建筑施工中会产生碎砖块、砂浆、桩头、水泥、钢筋、涂料和包装材料等建筑垃圾</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建筑废弃物在项目施工开工前应签订环保责任书，由各施工单位负责施工期固体废弃物的处理，施工产生的固体废物中遗留在现场的建筑废物要及时清运或回填，将建筑垃圾运至指定地点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各施工单位要加强施工管理，对施工产生的生活垃圾和建筑垃圾不得随意倾倒</w:t>
      </w:r>
      <w:r>
        <w:rPr>
          <w:rFonts w:hint="eastAsia" w:ascii="Times New Roman" w:hAnsi="Times New Roman" w:eastAsia="宋体"/>
          <w:strike w:val="0"/>
          <w:dstrike w:val="0"/>
          <w:color w:val="auto"/>
          <w:highlight w:val="none"/>
          <w:lang w:eastAsia="zh-CN"/>
        </w:rPr>
        <w:t>。</w:t>
      </w:r>
    </w:p>
    <w:p w14:paraId="465FA92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建筑垃圾的影响主要体现在其堆放过程中，在风力作用下，引起垃圾及粉尘随风飘散，对空气造成污染影响</w:t>
      </w:r>
      <w:r>
        <w:rPr>
          <w:rFonts w:hint="eastAsia" w:ascii="Times New Roman" w:hAnsi="Times New Roman" w:eastAsia="宋体"/>
          <w:strike w:val="0"/>
          <w:dstrike w:val="0"/>
          <w:color w:val="auto"/>
          <w:highlight w:val="none"/>
          <w:lang w:eastAsia="zh-CN"/>
        </w:rPr>
        <w:t>。</w:t>
      </w:r>
    </w:p>
    <w:p w14:paraId="7F0AAAC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（2）生活垃圾</w:t>
      </w:r>
    </w:p>
    <w:p w14:paraId="6A3C015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本项目施工高峰期施工人员及工地管理人员约30人，生活垃圾总排放量为1.35t，产生的少量生活垃圾在施工区定点收集，后统一清运交由</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环卫部门统一处理</w:t>
      </w:r>
      <w:r>
        <w:rPr>
          <w:rFonts w:hint="eastAsia" w:ascii="Times New Roman" w:hAnsi="Times New Roman" w:eastAsia="宋体"/>
          <w:strike w:val="0"/>
          <w:dstrike w:val="0"/>
          <w:color w:val="auto"/>
          <w:highlight w:val="none"/>
          <w:lang w:eastAsia="zh-CN"/>
        </w:rPr>
        <w:t>。</w:t>
      </w:r>
    </w:p>
    <w:p w14:paraId="65D131F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施工过程中的生活垃圾，如不及时处理，在气温适宜的条件下则会滋生蚊虫、产生恶臭、传播疾病，对周围环境产生不利影响，必须及时清运，杜绝因乱堆乱放对环境产生的影响</w:t>
      </w:r>
      <w:r>
        <w:rPr>
          <w:rFonts w:hint="eastAsia" w:ascii="Times New Roman" w:hAnsi="Times New Roman" w:eastAsia="宋体"/>
          <w:strike w:val="0"/>
          <w:dstrike w:val="0"/>
          <w:color w:val="auto"/>
          <w:highlight w:val="none"/>
          <w:lang w:eastAsia="zh-CN"/>
        </w:rPr>
        <w:t>。</w:t>
      </w:r>
    </w:p>
    <w:p w14:paraId="14138F3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筑垃圾若处置不当，会造成大面积占用土地，引起二次扬尘污染，影响景观等，生活垃圾若不合理堆放，及时清运，夏季气温较高，容易孳生蚊蝇和产生恶臭气体和垃圾沥水，会对当地环境卫生和空气质量造成不利影响</w:t>
      </w:r>
      <w:r>
        <w:rPr>
          <w:rFonts w:hint="eastAsia" w:ascii="Times New Roman" w:hAnsi="Times New Roman" w:eastAsia="宋体"/>
          <w:strike w:val="0"/>
          <w:dstrike w:val="0"/>
          <w:color w:val="auto"/>
          <w:highlight w:val="none"/>
          <w:lang w:eastAsia="zh-CN"/>
        </w:rPr>
        <w:t>。</w:t>
      </w:r>
    </w:p>
    <w:p w14:paraId="3D25180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施工期项目的固体废弃物排放是暂时的，随着施工的结束而减小，通过积极有效的施工管理，施工期固体废弃物对环境造成的影响不大</w:t>
      </w:r>
      <w:r>
        <w:rPr>
          <w:rFonts w:hint="eastAsia" w:ascii="Times New Roman" w:hAnsi="Times New Roman" w:eastAsia="宋体"/>
          <w:strike w:val="0"/>
          <w:dstrike w:val="0"/>
          <w:color w:val="auto"/>
          <w:highlight w:val="none"/>
          <w:lang w:eastAsia="zh-CN"/>
        </w:rPr>
        <w:t>。</w:t>
      </w:r>
    </w:p>
    <w:p w14:paraId="51D8CFD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针对项目施工期固体废弃物种类及特点，提出如下防治措施：</w:t>
      </w:r>
    </w:p>
    <w:p w14:paraId="5E56EE9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（1）临时土石方于施工区就近堆放，采取覆盖围护措施，防止大风和大雨时造成的水土流失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堆放前设置挡土墙，堆放后表土覆盖防尘布，抑制扬尘产生</w:t>
      </w:r>
      <w:r>
        <w:rPr>
          <w:rFonts w:hint="eastAsia" w:ascii="Times New Roman" w:hAnsi="Times New Roman" w:eastAsia="宋体"/>
          <w:strike w:val="0"/>
          <w:dstrike w:val="0"/>
          <w:color w:val="auto"/>
          <w:highlight w:val="none"/>
          <w:lang w:eastAsia="zh-CN"/>
        </w:rPr>
        <w:t>。</w:t>
      </w:r>
    </w:p>
    <w:p w14:paraId="3CA6D06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对施工中产生的不能再利用的建筑垃圾，应进行分类收集、分类管理，能够回收利用的尽量回收再利用，以节约资源；对于不能回收利用的要进行收集并于施工区内固定地点集中暂存，施工完成后及时处理，拉运至当地市政部门指定的建筑垃圾填埋场填埋处置或委托处置建筑垃圾的单位及时处置</w:t>
      </w:r>
      <w:r>
        <w:rPr>
          <w:rFonts w:hint="eastAsia" w:ascii="Times New Roman" w:hAnsi="Times New Roman" w:eastAsia="宋体"/>
          <w:strike w:val="0"/>
          <w:dstrike w:val="0"/>
          <w:color w:val="auto"/>
          <w:highlight w:val="none"/>
          <w:lang w:eastAsia="zh-CN"/>
        </w:rPr>
        <w:t>。</w:t>
      </w:r>
    </w:p>
    <w:p w14:paraId="4FC0BA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车辆运输建筑垃圾时，须采取覆盖措施，不得沿途漏撒；施工单位应在施工前5日向当地建设局申报工程垃圾处置计划，如实填报建筑垃圾的种类、数量、运输路线及处置方案等事项，并与有关管理部门签订环境卫生责任书</w:t>
      </w:r>
      <w:r>
        <w:rPr>
          <w:rFonts w:hint="eastAsia" w:ascii="Times New Roman" w:hAnsi="Times New Roman" w:eastAsia="宋体"/>
          <w:strike w:val="0"/>
          <w:dstrike w:val="0"/>
          <w:color w:val="auto"/>
          <w:highlight w:val="none"/>
          <w:lang w:eastAsia="zh-CN"/>
        </w:rPr>
        <w:t>。</w:t>
      </w:r>
    </w:p>
    <w:p w14:paraId="57E4EE8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（4）施工部门应当持当地建设局核发的处置证明，向运输单位办理建筑垃圾托运手续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运输车辆在运输建筑垃圾时应携带处置证明，接收渣土管理部门的检查，运输路线应按渣土管理部门会同公安、交通管理部门规定的线路运输</w:t>
      </w:r>
      <w:r>
        <w:rPr>
          <w:rFonts w:hint="eastAsia" w:ascii="Times New Roman" w:hAnsi="Times New Roman" w:eastAsia="宋体"/>
          <w:strike w:val="0"/>
          <w:dstrike w:val="0"/>
          <w:color w:val="auto"/>
          <w:highlight w:val="none"/>
          <w:lang w:eastAsia="zh-CN"/>
        </w:rPr>
        <w:t>。</w:t>
      </w:r>
    </w:p>
    <w:p w14:paraId="5C1BAAD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（5）工程完工后1个月内，应当将施工场地的剩余建筑垃圾处置干净，不得占用道路或其他类型土地来堆放建筑垃圾</w:t>
      </w:r>
      <w:r>
        <w:rPr>
          <w:rFonts w:hint="eastAsia" w:ascii="Times New Roman" w:hAnsi="Times New Roman" w:eastAsia="宋体"/>
          <w:strike w:val="0"/>
          <w:dstrike w:val="0"/>
          <w:color w:val="auto"/>
          <w:highlight w:val="none"/>
          <w:lang w:eastAsia="zh-CN"/>
        </w:rPr>
        <w:t>。</w:t>
      </w:r>
    </w:p>
    <w:p w14:paraId="3BF129E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采取以上措施后，施工期固体废物对周围环境影响较小</w:t>
      </w:r>
      <w:r>
        <w:rPr>
          <w:rFonts w:hint="eastAsia" w:ascii="Times New Roman" w:hAnsi="Times New Roman" w:eastAsia="宋体"/>
          <w:strike w:val="0"/>
          <w:dstrike w:val="0"/>
          <w:color w:val="auto"/>
          <w:highlight w:val="none"/>
          <w:lang w:eastAsia="zh-CN"/>
        </w:rPr>
        <w:t>。</w:t>
      </w:r>
    </w:p>
    <w:p w14:paraId="12C1AA8F">
      <w:pPr>
        <w:pStyle w:val="4"/>
        <w:rPr>
          <w:rFonts w:ascii="Times New Roman" w:hAnsi="Times New Roman" w:eastAsia="宋体"/>
          <w:strike w:val="0"/>
          <w:dstrike w:val="0"/>
          <w:color w:val="auto"/>
          <w:highlight w:val="none"/>
        </w:rPr>
      </w:pPr>
      <w:bookmarkStart w:id="226" w:name="_Toc106663498"/>
      <w:bookmarkStart w:id="227" w:name="_Toc25000"/>
      <w:r>
        <w:rPr>
          <w:rFonts w:hint="eastAsia" w:ascii="Times New Roman" w:hAnsi="Times New Roman" w:eastAsia="宋体"/>
          <w:strike w:val="0"/>
          <w:dstrike w:val="0"/>
          <w:color w:val="auto"/>
          <w:highlight w:val="none"/>
        </w:rPr>
        <w:t>5.1.5施工期生态影响分析</w:t>
      </w:r>
      <w:bookmarkEnd w:id="226"/>
      <w:bookmarkEnd w:id="227"/>
    </w:p>
    <w:p w14:paraId="62B8EC8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项目施工期对生态环境的影响主要是场地平整时破坏了项目区原有土壤理化性质和可能产生的水土流失影响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项目建设期对生态的影响主要体现在因施工造成的区域水土流失</w:t>
      </w:r>
      <w:r>
        <w:rPr>
          <w:rFonts w:hint="eastAsia" w:ascii="Times New Roman" w:hAnsi="Times New Roman" w:eastAsia="宋体"/>
          <w:strike w:val="0"/>
          <w:dstrike w:val="0"/>
          <w:color w:val="auto"/>
          <w:highlight w:val="none"/>
          <w:lang w:eastAsia="zh-CN"/>
        </w:rPr>
        <w:t>。</w:t>
      </w:r>
    </w:p>
    <w:p w14:paraId="09E901E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（1）占地影响</w:t>
      </w:r>
    </w:p>
    <w:p w14:paraId="7616DA1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项目占地均为永久性占地，永久性占地改变了原有土地使用功能，原有植被大部分不复存在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施工作业时的临时占地，由于施工人员及施工机械对地表植被的践踏、碾压等外力因素，破坏了原有土壤结构及性能，降低了土壤效力</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严重影响了原有的地表形态、土壤结构和理化性质，在项目结束后也难以恢复原有形态及生产力</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车辆行驶也同样对地表土壤结构造成破坏，这种破坏具有暂时性，经过一定时期能够恢复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施工期地表土层遭到不同程度的破坏，植被如不及时恢复，易引起土壤沙化</w:t>
      </w:r>
      <w:r>
        <w:rPr>
          <w:rFonts w:hint="eastAsia" w:ascii="Times New Roman" w:hAnsi="Times New Roman" w:eastAsia="宋体"/>
          <w:strike w:val="0"/>
          <w:dstrike w:val="0"/>
          <w:color w:val="auto"/>
          <w:highlight w:val="none"/>
          <w:lang w:eastAsia="zh-CN"/>
        </w:rPr>
        <w:t>。</w:t>
      </w:r>
    </w:p>
    <w:p w14:paraId="4F45EF2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施工方在施工前应先做好施工组织，做出详细的规划，划定施工活动范围，包括材料的堆存范围、人员食宿及运动范围，尽量减少临时占地数量</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在施工过程中需加强管理，严禁不按操作规程野蛮施工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施工监理部门和当地环保部门也应紧密合作，进行监督管理</w:t>
      </w:r>
      <w:r>
        <w:rPr>
          <w:rFonts w:hint="eastAsia" w:ascii="Times New Roman" w:hAnsi="Times New Roman" w:eastAsia="宋体"/>
          <w:strike w:val="0"/>
          <w:dstrike w:val="0"/>
          <w:color w:val="auto"/>
          <w:highlight w:val="none"/>
          <w:lang w:eastAsia="zh-CN"/>
        </w:rPr>
        <w:t>。</w:t>
      </w:r>
    </w:p>
    <w:p w14:paraId="46432F2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（2）对植被的影响分析</w:t>
      </w:r>
    </w:p>
    <w:p w14:paraId="163586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项目的建设将不可避免的破坏、扰动原地形地貌和植被；建设占地对区域植被的破坏是永久性的，这部分植被将永远失去生产能力，从而降低该区域植被覆盖率和生物多样性，造成植被生物量的减少</w:t>
      </w:r>
      <w:r>
        <w:rPr>
          <w:rFonts w:hint="eastAsia" w:ascii="Times New Roman" w:hAnsi="Times New Roman" w:eastAsia="宋体"/>
          <w:strike w:val="0"/>
          <w:dstrike w:val="0"/>
          <w:color w:val="auto"/>
          <w:highlight w:val="none"/>
          <w:lang w:eastAsia="zh-CN"/>
        </w:rPr>
        <w:t>。</w:t>
      </w:r>
    </w:p>
    <w:p w14:paraId="30F24DB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于施工期将引起原有植被的破坏，受破坏的植被类型为评价区内的常见类型，也无国家重点保护的珍稀濒危植物和野生动物，并且建成后通过对其进行绿化补偿，充分考虑乔、灌、草的比例，从而增加该区域内的物种数量，增强了项目区域内的生物多样性和稳定性，因此相对于整个区域而言，本项目的建设对植物区系、植被类型的影响较小，不会导致区域内现有种类和植被类型的消失灭绝</w:t>
      </w:r>
      <w:r>
        <w:rPr>
          <w:rFonts w:hint="eastAsia" w:ascii="Times New Roman" w:hAnsi="Times New Roman" w:eastAsia="宋体"/>
          <w:strike w:val="0"/>
          <w:dstrike w:val="0"/>
          <w:color w:val="auto"/>
          <w:highlight w:val="none"/>
          <w:lang w:eastAsia="zh-CN"/>
        </w:rPr>
        <w:t>。</w:t>
      </w:r>
    </w:p>
    <w:p w14:paraId="56AF2E1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（3）对动物的影响分析</w:t>
      </w:r>
    </w:p>
    <w:p w14:paraId="76B41FA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施工期对陆生动物的直接影响是施工人员集中活动和工程施工过程对动物的惊扰；间接影响主要是项目建设破坏植被和土壤，造成部分陆生动物栖息地的丧失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施工区的主要动物是小型常见鸟类和鼠类、常见的蜥蜴类，且数量不多，具有较强的迁移能力，因此，施工期对这些动物的生存影响较小</w:t>
      </w:r>
      <w:r>
        <w:rPr>
          <w:rFonts w:hint="eastAsia" w:ascii="Times New Roman" w:hAnsi="Times New Roman" w:eastAsia="宋体"/>
          <w:strike w:val="0"/>
          <w:dstrike w:val="0"/>
          <w:color w:val="auto"/>
          <w:highlight w:val="none"/>
          <w:lang w:eastAsia="zh-CN"/>
        </w:rPr>
        <w:t>。</w:t>
      </w:r>
    </w:p>
    <w:p w14:paraId="1CAD8CD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（4）对其他生态环境的影响分析</w:t>
      </w:r>
    </w:p>
    <w:p w14:paraId="770956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施工用的砂土若随意堆放和场地平整后未及时绿化，在大风天气将产生风蚀，造成环境空气污染，雨季又会产生水蚀，加重地表水体污染</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因此必须采取相应的措施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如：施工砂土在室内堆放或搭建顶棚，大风天气设置围档</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场地平整后尽快夯实、硬化，大风天气适量洒水等</w:t>
      </w:r>
      <w:r>
        <w:rPr>
          <w:rFonts w:hint="eastAsia" w:ascii="Times New Roman" w:hAnsi="Times New Roman" w:eastAsia="宋体"/>
          <w:strike w:val="0"/>
          <w:dstrike w:val="0"/>
          <w:color w:val="auto"/>
          <w:highlight w:val="none"/>
          <w:lang w:eastAsia="zh-CN"/>
        </w:rPr>
        <w:t>。</w:t>
      </w:r>
    </w:p>
    <w:p w14:paraId="08D515A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（5）对水土流失的影响分析</w:t>
      </w:r>
    </w:p>
    <w:p w14:paraId="2870633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水土流失将造成一定程度的生态影响，具体表现在：</w:t>
      </w:r>
    </w:p>
    <w:p w14:paraId="00D2329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①因施工开挖，将改变原土壤结构和地表物质组成，影响土壤肥力，从而导致土地生产力降低，给区域植被带来一定影响</w:t>
      </w:r>
      <w:r>
        <w:rPr>
          <w:rFonts w:hint="eastAsia" w:ascii="Times New Roman" w:hAnsi="Times New Roman" w:eastAsia="宋体"/>
          <w:strike w:val="0"/>
          <w:dstrike w:val="0"/>
          <w:color w:val="auto"/>
          <w:highlight w:val="none"/>
          <w:lang w:eastAsia="zh-CN"/>
        </w:rPr>
        <w:t>。</w:t>
      </w:r>
    </w:p>
    <w:p w14:paraId="2CA1DFD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②施工期运输机械往来，使施工区表层土碾压疏松，大风天将产生扬尘，加剧区域水土流失</w:t>
      </w:r>
      <w:r>
        <w:rPr>
          <w:rFonts w:hint="eastAsia" w:ascii="Times New Roman" w:hAnsi="Times New Roman" w:eastAsia="宋体"/>
          <w:strike w:val="0"/>
          <w:dstrike w:val="0"/>
          <w:color w:val="auto"/>
          <w:highlight w:val="none"/>
          <w:lang w:eastAsia="zh-CN"/>
        </w:rPr>
        <w:t>。</w:t>
      </w:r>
    </w:p>
    <w:p w14:paraId="13B2A48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③施工时产生大量的临时堆土，虽然堆置为临时堆置，但受大风影响也会产生水土流失</w:t>
      </w:r>
      <w:r>
        <w:rPr>
          <w:rFonts w:hint="eastAsia" w:ascii="Times New Roman" w:hAnsi="Times New Roman" w:eastAsia="宋体"/>
          <w:strike w:val="0"/>
          <w:dstrike w:val="0"/>
          <w:color w:val="auto"/>
          <w:highlight w:val="none"/>
          <w:lang w:eastAsia="zh-CN"/>
        </w:rPr>
        <w:t>。</w:t>
      </w:r>
    </w:p>
    <w:p w14:paraId="00787DA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④土建工程施工过程中对占地区造成扰动，降低土壤抗侵蚀能力，使施工期间项目部分区域土壤侵蚀强度呈增加趋势</w:t>
      </w:r>
      <w:r>
        <w:rPr>
          <w:rFonts w:hint="eastAsia" w:ascii="Times New Roman" w:hAnsi="Times New Roman" w:eastAsia="宋体"/>
          <w:strike w:val="0"/>
          <w:dstrike w:val="0"/>
          <w:color w:val="auto"/>
          <w:highlight w:val="none"/>
          <w:lang w:eastAsia="zh-CN"/>
        </w:rPr>
        <w:t>。</w:t>
      </w:r>
    </w:p>
    <w:p w14:paraId="3E97973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区域土壤侵蚀主要为风蚀，项目建设不可避免地要加重区域水土流失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拟建项目产生的水土流失可以分为三个阶段，第一阶段是在施工准备期，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三通一平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工作产生大量土石方的开挖、运移活动，地表扰动严重，植被几乎完全被破坏，裸露的地表水土保持功能明显减弱，土壤侵蚀强度增强；第二阶段是土建期，工业场地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三通一平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工作完成后，整个地表在绝大部分施工期内处于裸露状态，且有大量土石方和建筑材料临时堆放，再加上土建期排水系统的不完善，地表径流肆意冲刷施工面和堆放的土石料，工业场地内水土流失，如不采取有效的防治措施，将产生严重的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第三阶段是植被恢复期，地表建筑物等建设完成，土石方清理完毕，地表因大部分被硬化，地表土壤侵蚀强度较建设期有明显下降，但此时仍存在裸露地表，特别是林草植被种刚刚栽植，不能完全覆盖裸露的地表，林草植被措施还不能发挥作用，此时遇侵蚀性降雨等天气仍将不可避免的产生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运营期因采取绿化补偿等措施，可有效防止水土流失</w:t>
      </w:r>
      <w:r>
        <w:rPr>
          <w:rFonts w:hint="eastAsia" w:ascii="Times New Roman" w:hAnsi="Times New Roman" w:eastAsia="宋体"/>
          <w:strike w:val="0"/>
          <w:dstrike w:val="0"/>
          <w:color w:val="auto"/>
          <w:highlight w:val="none"/>
          <w:lang w:eastAsia="zh-CN"/>
        </w:rPr>
        <w:t>。</w:t>
      </w:r>
    </w:p>
    <w:p w14:paraId="43414B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因此，本项目建设的水土流失危害主要表现在三个方面：一是项目建设破坏部分地表植被，在施工准备期及施工期对占地范围内的地表扰动剧烈，由此引起的人为加速土壤流失将对周边环境产生不良影响；二是发生的土壤流失如不能做好防治工作，可能淤积区域排水管道，阻断区域排水体系，影响区域沟道的排水功能；三是在各分项工程区内，如果不注重施工的临时性防护，也会造成当地水土流失的加剧，对当地环境及周边居民的生产生活产生影响</w:t>
      </w:r>
      <w:r>
        <w:rPr>
          <w:rFonts w:hint="eastAsia" w:ascii="Times New Roman" w:hAnsi="Times New Roman" w:eastAsia="宋体"/>
          <w:strike w:val="0"/>
          <w:dstrike w:val="0"/>
          <w:color w:val="auto"/>
          <w:highlight w:val="none"/>
          <w:lang w:eastAsia="zh-CN"/>
        </w:rPr>
        <w:t>。</w:t>
      </w:r>
    </w:p>
    <w:p w14:paraId="350A6CC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为减少施工期的水土流失，建设单位应精心组织，合理安排施工计划，在暴雨季节采取合理的防护措施，并减少雨季时的施工，对土石方挖填等方案进行周密论证，优选出水土流失较少的方案</w:t>
      </w:r>
      <w:r>
        <w:rPr>
          <w:rFonts w:hint="eastAsia" w:ascii="Times New Roman" w:hAnsi="Times New Roman" w:eastAsia="宋体"/>
          <w:strike w:val="0"/>
          <w:dstrike w:val="0"/>
          <w:color w:val="auto"/>
          <w:highlight w:val="none"/>
          <w:lang w:eastAsia="zh-CN"/>
        </w:rPr>
        <w:t>。</w:t>
      </w:r>
    </w:p>
    <w:p w14:paraId="110DB4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要注意防止水土流失，要尽量做到挖、填方的平衡，减少借方和弃方；施工中所用材料统一堆放管理，设置专门的材料场；加强施工管理，把拟建项目引起的难以避免的植被破坏减少到最低限度，并采取措施，尽力减少土壤侵蚀；控制各种项目的地表剥离，加强项目完成后对破坏植被的恢复</w:t>
      </w:r>
      <w:r>
        <w:rPr>
          <w:rFonts w:hint="eastAsia" w:ascii="Times New Roman" w:hAnsi="Times New Roman" w:eastAsia="宋体"/>
          <w:strike w:val="0"/>
          <w:dstrike w:val="0"/>
          <w:color w:val="auto"/>
          <w:highlight w:val="none"/>
          <w:lang w:eastAsia="zh-CN"/>
        </w:rPr>
        <w:t>。</w:t>
      </w:r>
    </w:p>
    <w:p w14:paraId="23C9948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（6）对景观的影响</w:t>
      </w:r>
    </w:p>
    <w:p w14:paraId="52D2C4A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本项目在施工建筑材料、土石方临时堆放、运输、土方开挖将会对周围景观的不良影响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项目在施工活动中，应注重施工活动与周围景观的协调性与完整性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建筑材料、土石方临时堆放时应整齐堆放，采用防尘布覆盖</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项目施工虽然在施工期内存在对自然景观和自然生态的影响，但在运营期采取场内防疫隔离绿化带、防护林植被绿化措施后，可将施工期对景观不利影响减到最低程度</w:t>
      </w:r>
      <w:r>
        <w:rPr>
          <w:rFonts w:hint="eastAsia" w:ascii="Times New Roman" w:hAnsi="Times New Roman" w:eastAsia="宋体"/>
          <w:strike w:val="0"/>
          <w:dstrike w:val="0"/>
          <w:color w:val="auto"/>
          <w:highlight w:val="none"/>
          <w:lang w:eastAsia="zh-CN"/>
        </w:rPr>
        <w:t>。</w:t>
      </w:r>
    </w:p>
    <w:p w14:paraId="0328EC7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（7）对自然体系稳定性影响</w:t>
      </w:r>
    </w:p>
    <w:p w14:paraId="1552668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项目对自然体系稳定状况的度量从恢复稳定性和阻抗稳定性两个角度来度量</w:t>
      </w:r>
      <w:r>
        <w:rPr>
          <w:rFonts w:hint="eastAsia" w:ascii="Times New Roman" w:hAnsi="Times New Roman" w:eastAsia="宋体"/>
          <w:strike w:val="0"/>
          <w:dstrike w:val="0"/>
          <w:color w:val="auto"/>
          <w:highlight w:val="none"/>
          <w:lang w:eastAsia="zh-CN"/>
        </w:rPr>
        <w:t>。</w:t>
      </w:r>
    </w:p>
    <w:p w14:paraId="169E006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对自然体系阻抗稳定性的度量，是通过对植被异质性程度的改变程度来度量的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项目区的土地利用类型主要为农业生态区的人工管理生态系统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从景观生态学角度看，人工管理的生态系统相对自然生态系统的稳定性调控能力不是很强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天然植被对自然系统有着较强的调控的能力，项目区目前人为活动相对较少，天然植被大部分还未被侵扰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因此，项目实施对区域自然体系中模地组分自身的异质化程度将产生一定影响</w:t>
      </w:r>
      <w:r>
        <w:rPr>
          <w:rFonts w:hint="eastAsia" w:ascii="Times New Roman" w:hAnsi="Times New Roman" w:eastAsia="宋体"/>
          <w:strike w:val="0"/>
          <w:dstrike w:val="0"/>
          <w:color w:val="auto"/>
          <w:highlight w:val="none"/>
          <w:lang w:eastAsia="zh-CN"/>
        </w:rPr>
        <w:t>。</w:t>
      </w:r>
    </w:p>
    <w:p w14:paraId="39C183CB">
      <w:pPr>
        <w:pStyle w:val="3"/>
        <w:rPr>
          <w:rFonts w:hint="eastAsia" w:ascii="Times New Roman" w:hAnsi="Times New Roman" w:eastAsia="宋体"/>
          <w:strike w:val="0"/>
          <w:dstrike w:val="0"/>
          <w:color w:val="auto"/>
          <w:highlight w:val="none"/>
        </w:rPr>
      </w:pPr>
      <w:bookmarkStart w:id="228" w:name="_Toc31465"/>
      <w:bookmarkStart w:id="229" w:name="_Toc89619344"/>
      <w:r>
        <w:rPr>
          <w:rFonts w:hint="eastAsia" w:ascii="Times New Roman" w:hAnsi="Times New Roman" w:eastAsia="宋体"/>
          <w:strike w:val="0"/>
          <w:dstrike w:val="0"/>
          <w:color w:val="auto"/>
          <w:highlight w:val="none"/>
        </w:rPr>
        <w:t>5.2运营期环境影响分析</w:t>
      </w:r>
      <w:bookmarkEnd w:id="228"/>
      <w:bookmarkEnd w:id="229"/>
    </w:p>
    <w:p w14:paraId="0DA88F9A">
      <w:pPr>
        <w:pStyle w:val="4"/>
        <w:rPr>
          <w:rFonts w:hint="eastAsia" w:ascii="Times New Roman" w:hAnsi="Times New Roman" w:eastAsia="宋体"/>
          <w:strike w:val="0"/>
          <w:dstrike w:val="0"/>
          <w:color w:val="auto"/>
          <w:highlight w:val="none"/>
        </w:rPr>
      </w:pPr>
      <w:bookmarkStart w:id="230" w:name="_Toc106663500"/>
      <w:bookmarkStart w:id="231" w:name="_Toc6709"/>
      <w:r>
        <w:rPr>
          <w:rFonts w:hint="eastAsia" w:ascii="Times New Roman" w:hAnsi="Times New Roman" w:eastAsia="宋体"/>
          <w:strike w:val="0"/>
          <w:dstrike w:val="0"/>
          <w:color w:val="auto"/>
          <w:highlight w:val="none"/>
        </w:rPr>
        <w:t>5.2.1大气环境影响分析与评价</w:t>
      </w:r>
      <w:bookmarkEnd w:id="230"/>
      <w:bookmarkEnd w:id="231"/>
    </w:p>
    <w:p w14:paraId="20543DF4">
      <w:pPr>
        <w:pStyle w:val="5"/>
        <w:ind w:firstLine="0" w:firstLineChars="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.2.1.1</w:t>
      </w:r>
      <w:r>
        <w:rPr>
          <w:rFonts w:hint="default" w:ascii="Times New Roman" w:hAnsi="Times New Roman" w:eastAsia="宋体"/>
          <w:strike w:val="0"/>
          <w:dstrike w:val="0"/>
          <w:color w:val="auto"/>
          <w:highlight w:val="none"/>
          <w:lang w:val="en-US" w:eastAsia="zh-CN"/>
        </w:rPr>
        <w:t>大气环境影响预测</w:t>
      </w:r>
    </w:p>
    <w:p w14:paraId="184BD6BB">
      <w:pPr>
        <w:spacing w:line="360" w:lineRule="auto"/>
        <w:ind w:firstLine="480" w:firstLineChars="200"/>
        <w:rPr>
          <w:rFonts w:hint="eastAsia" w:ascii="Times New Roman" w:hAnsi="Times New Roman" w:eastAsia="宋体" w:cs="Times New Roman"/>
          <w:strike w:val="0"/>
          <w:dstrike w:val="0"/>
          <w:color w:val="auto"/>
          <w:kern w:val="0"/>
          <w:sz w:val="24"/>
          <w:szCs w:val="24"/>
          <w:lang w:val="en-US" w:eastAsia="zh-CN" w:bidi="ar"/>
        </w:rPr>
      </w:pPr>
      <w:r>
        <w:rPr>
          <w:rFonts w:ascii="Times New Roman" w:hAnsi="Times New Roman" w:eastAsia="宋体"/>
          <w:color w:val="auto"/>
          <w:sz w:val="24"/>
          <w:szCs w:val="24"/>
        </w:rPr>
        <w:t>根据项目工程分析，本项目废气污染源主要表现为</w:t>
      </w:r>
      <w:r>
        <w:rPr>
          <w:rFonts w:hint="eastAsia" w:ascii="Times New Roman" w:hAnsi="Times New Roman" w:eastAsia="宋体"/>
          <w:color w:val="auto"/>
          <w:sz w:val="24"/>
          <w:szCs w:val="24"/>
          <w:lang w:eastAsia="zh-CN"/>
        </w:rPr>
        <w:t>恶臭</w:t>
      </w:r>
      <w:r>
        <w:rPr>
          <w:rFonts w:ascii="Times New Roman" w:hAnsi="Times New Roman" w:eastAsia="宋体"/>
          <w:color w:val="auto"/>
          <w:sz w:val="24"/>
          <w:szCs w:val="24"/>
        </w:rPr>
        <w:t>污染，主要来自</w:t>
      </w:r>
      <w:r>
        <w:rPr>
          <w:rFonts w:hint="eastAsia" w:ascii="Times New Roman" w:hAnsi="Times New Roman" w:eastAsia="宋体" w:cs="Times New Roman"/>
          <w:strike w:val="0"/>
          <w:dstrike w:val="0"/>
          <w:color w:val="auto"/>
          <w:kern w:val="0"/>
          <w:sz w:val="24"/>
          <w:szCs w:val="24"/>
          <w:lang w:val="en-US" w:eastAsia="zh-CN" w:bidi="ar"/>
        </w:rPr>
        <w:t>骆驼圈舍</w:t>
      </w:r>
      <w:r>
        <w:rPr>
          <w:rFonts w:hint="eastAsia" w:ascii="Times New Roman" w:hAnsi="Times New Roman" w:eastAsia="宋体" w:cs="Times New Roman"/>
          <w:strike w:val="0"/>
          <w:dstrike w:val="0"/>
          <w:color w:val="auto"/>
          <w:kern w:val="0"/>
          <w:sz w:val="24"/>
          <w:szCs w:val="24"/>
          <w:lang w:val="en-US" w:eastAsia="zh-CN" w:bidi="ar"/>
        </w:rPr>
        <w:t>、</w:t>
      </w:r>
      <w:r>
        <w:rPr>
          <w:rFonts w:hint="eastAsia" w:ascii="Times New Roman" w:hAnsi="Times New Roman" w:eastAsia="宋体" w:cs="Times New Roman"/>
          <w:strike w:val="0"/>
          <w:dstrike w:val="0"/>
          <w:color w:val="auto"/>
          <w:kern w:val="0"/>
          <w:sz w:val="24"/>
          <w:szCs w:val="24"/>
          <w:lang w:val="en-US" w:eastAsia="zh-CN" w:bidi="ar"/>
        </w:rPr>
        <w:t>堆肥场、黑膜池</w:t>
      </w:r>
      <w:r>
        <w:rPr>
          <w:rFonts w:hint="eastAsia" w:ascii="Times New Roman" w:hAnsi="Times New Roman" w:eastAsia="宋体" w:cs="Times New Roman"/>
          <w:strike w:val="0"/>
          <w:dstrike w:val="0"/>
          <w:color w:val="auto"/>
          <w:kern w:val="0"/>
          <w:sz w:val="24"/>
          <w:szCs w:val="24"/>
          <w:lang w:val="en-US" w:eastAsia="zh-CN" w:bidi="ar"/>
        </w:rPr>
        <w:t>无组织排放的NH</w:t>
      </w:r>
      <w:r>
        <w:rPr>
          <w:rFonts w:hint="eastAsia" w:ascii="Times New Roman" w:hAnsi="Times New Roman" w:eastAsia="宋体" w:cs="Times New Roman"/>
          <w:strike w:val="0"/>
          <w:dstrike w:val="0"/>
          <w:color w:val="auto"/>
          <w:kern w:val="0"/>
          <w:sz w:val="24"/>
          <w:szCs w:val="24"/>
          <w:vertAlign w:val="subscript"/>
          <w:lang w:val="en-US" w:eastAsia="zh-CN" w:bidi="ar"/>
        </w:rPr>
        <w:t>3</w:t>
      </w:r>
      <w:r>
        <w:rPr>
          <w:rFonts w:hint="eastAsia" w:ascii="Times New Roman" w:hAnsi="Times New Roman" w:eastAsia="宋体" w:cs="Times New Roman"/>
          <w:strike w:val="0"/>
          <w:dstrike w:val="0"/>
          <w:color w:val="auto"/>
          <w:kern w:val="0"/>
          <w:sz w:val="24"/>
          <w:szCs w:val="24"/>
          <w:lang w:val="en-US" w:eastAsia="zh-CN" w:bidi="ar"/>
        </w:rPr>
        <w:t>、H</w:t>
      </w:r>
      <w:r>
        <w:rPr>
          <w:rFonts w:hint="eastAsia" w:ascii="Times New Roman" w:hAnsi="Times New Roman" w:eastAsia="宋体" w:cs="Times New Roman"/>
          <w:strike w:val="0"/>
          <w:dstrike w:val="0"/>
          <w:color w:val="auto"/>
          <w:kern w:val="0"/>
          <w:sz w:val="24"/>
          <w:szCs w:val="24"/>
          <w:vertAlign w:val="subscript"/>
          <w:lang w:val="en-US" w:eastAsia="zh-CN" w:bidi="ar"/>
        </w:rPr>
        <w:t>2</w:t>
      </w:r>
      <w:r>
        <w:rPr>
          <w:rFonts w:hint="eastAsia" w:ascii="Times New Roman" w:hAnsi="Times New Roman" w:eastAsia="宋体" w:cs="Times New Roman"/>
          <w:strike w:val="0"/>
          <w:dstrike w:val="0"/>
          <w:color w:val="auto"/>
          <w:kern w:val="0"/>
          <w:sz w:val="24"/>
          <w:szCs w:val="24"/>
          <w:lang w:val="en-US" w:eastAsia="zh-CN" w:bidi="ar"/>
        </w:rPr>
        <w:t>S，采用《环境影响评价技术导则大气环境》（HJ2.2-2018）附录A推荐模型中估算模型（AERSCREEN）计算项目污染源的最大环境影响，按评价工作分级判据进行分级</w:t>
      </w:r>
      <w:r>
        <w:rPr>
          <w:rFonts w:hint="eastAsia" w:ascii="Times New Roman" w:hAnsi="Times New Roman" w:eastAsia="宋体" w:cs="Times New Roman"/>
          <w:strike w:val="0"/>
          <w:dstrike w:val="0"/>
          <w:color w:val="auto"/>
          <w:kern w:val="0"/>
          <w:sz w:val="24"/>
          <w:szCs w:val="24"/>
          <w:lang w:val="en-US" w:eastAsia="zh-CN" w:bidi="ar"/>
        </w:rPr>
        <w:t>。</w:t>
      </w:r>
    </w:p>
    <w:p w14:paraId="0E7192F5">
      <w:pPr>
        <w:spacing w:line="360" w:lineRule="auto"/>
        <w:ind w:firstLine="480" w:firstLineChars="200"/>
        <w:rPr>
          <w:rFonts w:hint="eastAsia" w:ascii="Times New Roman" w:hAnsi="Times New Roman" w:eastAsia="宋体" w:cs="Times New Roman"/>
          <w:strike w:val="0"/>
          <w:dstrike w:val="0"/>
          <w:color w:val="auto"/>
          <w:kern w:val="0"/>
          <w:sz w:val="24"/>
          <w:szCs w:val="24"/>
          <w:lang w:val="en-US" w:eastAsia="zh-CN" w:bidi="ar"/>
        </w:rPr>
      </w:pPr>
      <w:r>
        <w:rPr>
          <w:rFonts w:hint="eastAsia" w:ascii="Times New Roman" w:hAnsi="Times New Roman" w:eastAsia="宋体" w:cs="Times New Roman"/>
          <w:strike w:val="0"/>
          <w:dstrike w:val="0"/>
          <w:color w:val="auto"/>
          <w:kern w:val="0"/>
          <w:sz w:val="24"/>
          <w:szCs w:val="24"/>
          <w:lang w:val="en-US" w:eastAsia="zh-CN" w:bidi="ar"/>
        </w:rPr>
        <w:t>（1）预测情景及因子</w:t>
      </w:r>
    </w:p>
    <w:p w14:paraId="7DBA6FB5">
      <w:pPr>
        <w:spacing w:line="360" w:lineRule="auto"/>
        <w:ind w:firstLine="480" w:firstLineChars="200"/>
        <w:rPr>
          <w:rFonts w:hint="default" w:ascii="Times New Roman" w:hAnsi="Times New Roman" w:eastAsia="宋体" w:cs="Times New Roman"/>
          <w:strike w:val="0"/>
          <w:dstrike w:val="0"/>
          <w:color w:val="auto"/>
          <w:kern w:val="0"/>
          <w:sz w:val="24"/>
          <w:szCs w:val="24"/>
          <w:lang w:val="en-US" w:eastAsia="zh-CN" w:bidi="ar"/>
        </w:rPr>
      </w:pPr>
      <w:r>
        <w:rPr>
          <w:rFonts w:hint="eastAsia" w:ascii="Times New Roman" w:hAnsi="Times New Roman" w:eastAsia="宋体" w:cs="Times New Roman"/>
          <w:strike w:val="0"/>
          <w:dstrike w:val="0"/>
          <w:color w:val="auto"/>
          <w:kern w:val="0"/>
          <w:sz w:val="24"/>
          <w:szCs w:val="24"/>
          <w:lang w:val="en-US" w:eastAsia="zh-CN" w:bidi="ar"/>
        </w:rPr>
        <w:t>根据项目工程分析和排污特点，大气污染物预测因子和预测情景见下表，评价因子和标准见下表</w:t>
      </w:r>
      <w:r>
        <w:rPr>
          <w:rFonts w:hint="eastAsia" w:ascii="Times New Roman" w:hAnsi="Times New Roman" w:eastAsia="宋体" w:cs="Times New Roman"/>
          <w:strike w:val="0"/>
          <w:dstrike w:val="0"/>
          <w:color w:val="auto"/>
          <w:kern w:val="0"/>
          <w:sz w:val="24"/>
          <w:szCs w:val="24"/>
          <w:lang w:val="en-US" w:eastAsia="zh-CN" w:bidi="ar"/>
        </w:rPr>
        <w:t>。</w:t>
      </w:r>
    </w:p>
    <w:p w14:paraId="2D30C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default" w:ascii="Times New Roman" w:hAnsi="Times New Roman" w:eastAsia="宋体"/>
          <w:b/>
          <w:bCs/>
          <w:strike w:val="0"/>
          <w:dstrike w:val="0"/>
          <w:color w:val="auto"/>
          <w:highlight w:val="none"/>
          <w:lang w:val="en-US" w:eastAsia="zh-CN"/>
        </w:rPr>
        <w:t>表5.2-</w:t>
      </w:r>
      <w:r>
        <w:rPr>
          <w:rFonts w:hint="eastAsia" w:ascii="Times New Roman" w:hAnsi="Times New Roman" w:eastAsia="宋体"/>
          <w:b/>
          <w:bCs/>
          <w:strike w:val="0"/>
          <w:dstrike w:val="0"/>
          <w:color w:val="auto"/>
          <w:highlight w:val="none"/>
          <w:lang w:val="en-US" w:eastAsia="zh-CN"/>
        </w:rPr>
        <w:t>1</w:t>
      </w:r>
      <w:r>
        <w:rPr>
          <w:rFonts w:hint="default" w:ascii="Times New Roman" w:hAnsi="Times New Roman" w:eastAsia="宋体"/>
          <w:b/>
          <w:bCs/>
          <w:strike w:val="0"/>
          <w:dstrike w:val="0"/>
          <w:color w:val="auto"/>
          <w:highlight w:val="none"/>
          <w:lang w:val="en-US" w:eastAsia="zh-CN"/>
        </w:rPr>
        <w:t>预测情景及因子</w:t>
      </w:r>
    </w:p>
    <w:tbl>
      <w:tblPr>
        <w:tblStyle w:val="39"/>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1687"/>
        <w:gridCol w:w="3103"/>
        <w:gridCol w:w="2047"/>
        <w:gridCol w:w="1487"/>
      </w:tblGrid>
      <w:tr w14:paraId="5AD11D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013" w:type="pct"/>
            <w:tcBorders>
              <w:tl2br w:val="nil"/>
              <w:tr2bl w:val="nil"/>
            </w:tcBorders>
            <w:noWrap w:val="0"/>
            <w:vAlign w:val="center"/>
          </w:tcPr>
          <w:p w14:paraId="7CA0068D">
            <w:pPr>
              <w:pStyle w:val="113"/>
              <w:spacing w:line="240" w:lineRule="auto"/>
              <w:jc w:val="center"/>
              <w:rPr>
                <w:rFonts w:hint="eastAsia" w:ascii="Times New Roman" w:hAnsi="Times New Roman" w:eastAsia="宋体" w:cs="Times New Roman"/>
                <w:b w:val="0"/>
                <w:bCs w:val="0"/>
                <w:strike w:val="0"/>
                <w:dstrike w:val="0"/>
                <w:color w:val="auto"/>
                <w:szCs w:val="21"/>
                <w:lang w:eastAsia="zh-CN"/>
              </w:rPr>
            </w:pPr>
            <w:r>
              <w:rPr>
                <w:rFonts w:hint="default" w:ascii="Times New Roman" w:hAnsi="Times New Roman" w:eastAsia="宋体" w:cs="Times New Roman"/>
                <w:b w:val="0"/>
                <w:bCs w:val="0"/>
                <w:strike w:val="0"/>
                <w:dstrike w:val="0"/>
                <w:color w:val="auto"/>
                <w:szCs w:val="21"/>
              </w:rPr>
              <w:t>污染</w:t>
            </w:r>
            <w:r>
              <w:rPr>
                <w:rFonts w:hint="eastAsia" w:ascii="Times New Roman" w:hAnsi="Times New Roman" w:eastAsia="宋体" w:cs="Times New Roman"/>
                <w:b w:val="0"/>
                <w:bCs w:val="0"/>
                <w:strike w:val="0"/>
                <w:dstrike w:val="0"/>
                <w:color w:val="auto"/>
                <w:szCs w:val="21"/>
                <w:lang w:eastAsia="zh-CN"/>
              </w:rPr>
              <w:t>源类别</w:t>
            </w:r>
          </w:p>
        </w:tc>
        <w:tc>
          <w:tcPr>
            <w:tcW w:w="1863" w:type="pct"/>
            <w:tcBorders>
              <w:tl2br w:val="nil"/>
              <w:tr2bl w:val="nil"/>
            </w:tcBorders>
            <w:noWrap w:val="0"/>
            <w:vAlign w:val="center"/>
          </w:tcPr>
          <w:p w14:paraId="303314DF">
            <w:pPr>
              <w:pStyle w:val="113"/>
              <w:spacing w:line="240" w:lineRule="auto"/>
              <w:jc w:val="center"/>
              <w:rPr>
                <w:rFonts w:hint="eastAsia" w:ascii="Times New Roman" w:hAnsi="Times New Roman" w:eastAsia="宋体" w:cs="Times New Roman"/>
                <w:b w:val="0"/>
                <w:bCs w:val="0"/>
                <w:strike w:val="0"/>
                <w:dstrike w:val="0"/>
                <w:color w:val="auto"/>
                <w:szCs w:val="21"/>
                <w:lang w:eastAsia="zh-CN"/>
              </w:rPr>
            </w:pPr>
            <w:r>
              <w:rPr>
                <w:rFonts w:hint="eastAsia" w:ascii="Times New Roman" w:hAnsi="Times New Roman" w:eastAsia="宋体" w:cs="Times New Roman"/>
                <w:b w:val="0"/>
                <w:bCs w:val="0"/>
                <w:strike w:val="0"/>
                <w:dstrike w:val="0"/>
                <w:color w:val="auto"/>
                <w:szCs w:val="21"/>
                <w:lang w:eastAsia="zh-CN"/>
              </w:rPr>
              <w:t>预测因子</w:t>
            </w:r>
          </w:p>
        </w:tc>
        <w:tc>
          <w:tcPr>
            <w:tcW w:w="1229" w:type="pct"/>
            <w:tcBorders>
              <w:tl2br w:val="nil"/>
              <w:tr2bl w:val="nil"/>
            </w:tcBorders>
            <w:noWrap w:val="0"/>
            <w:vAlign w:val="center"/>
          </w:tcPr>
          <w:p w14:paraId="397F7004">
            <w:pPr>
              <w:pStyle w:val="113"/>
              <w:spacing w:line="240" w:lineRule="auto"/>
              <w:jc w:val="center"/>
              <w:rPr>
                <w:rFonts w:hint="eastAsia" w:ascii="Times New Roman" w:hAnsi="Times New Roman" w:eastAsia="宋体" w:cs="Times New Roman"/>
                <w:b w:val="0"/>
                <w:bCs w:val="0"/>
                <w:strike w:val="0"/>
                <w:dstrike w:val="0"/>
                <w:color w:val="auto"/>
                <w:szCs w:val="21"/>
                <w:lang w:val="en-US" w:eastAsia="zh-CN"/>
              </w:rPr>
            </w:pPr>
            <w:r>
              <w:rPr>
                <w:rFonts w:hint="eastAsia" w:ascii="Times New Roman" w:hAnsi="Times New Roman" w:eastAsia="宋体" w:cs="Times New Roman"/>
                <w:b w:val="0"/>
                <w:bCs w:val="0"/>
                <w:strike w:val="0"/>
                <w:dstrike w:val="0"/>
                <w:color w:val="auto"/>
                <w:szCs w:val="21"/>
                <w:lang w:val="en-US" w:eastAsia="zh-CN"/>
              </w:rPr>
              <w:t>计算点</w:t>
            </w:r>
          </w:p>
        </w:tc>
        <w:tc>
          <w:tcPr>
            <w:tcW w:w="892" w:type="pct"/>
            <w:tcBorders>
              <w:tl2br w:val="nil"/>
              <w:tr2bl w:val="nil"/>
            </w:tcBorders>
            <w:noWrap w:val="0"/>
            <w:vAlign w:val="center"/>
          </w:tcPr>
          <w:p w14:paraId="4C0EC680">
            <w:pPr>
              <w:pStyle w:val="113"/>
              <w:spacing w:line="240" w:lineRule="auto"/>
              <w:jc w:val="center"/>
              <w:rPr>
                <w:rFonts w:hint="eastAsia" w:ascii="Times New Roman" w:hAnsi="Times New Roman" w:eastAsia="宋体" w:cs="Times New Roman"/>
                <w:b w:val="0"/>
                <w:bCs w:val="0"/>
                <w:strike w:val="0"/>
                <w:dstrike w:val="0"/>
                <w:color w:val="auto"/>
                <w:szCs w:val="21"/>
                <w:lang w:eastAsia="zh-CN"/>
              </w:rPr>
            </w:pPr>
            <w:r>
              <w:rPr>
                <w:rFonts w:hint="eastAsia" w:ascii="Times New Roman" w:hAnsi="Times New Roman" w:eastAsia="宋体" w:cs="Times New Roman"/>
                <w:b w:val="0"/>
                <w:bCs w:val="0"/>
                <w:strike w:val="0"/>
                <w:dstrike w:val="0"/>
                <w:color w:val="auto"/>
                <w:szCs w:val="21"/>
                <w:lang w:eastAsia="zh-CN"/>
              </w:rPr>
              <w:t>常规预测内容</w:t>
            </w:r>
          </w:p>
        </w:tc>
      </w:tr>
      <w:tr w14:paraId="759447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013" w:type="pct"/>
            <w:tcBorders>
              <w:tl2br w:val="nil"/>
              <w:tr2bl w:val="nil"/>
            </w:tcBorders>
            <w:noWrap w:val="0"/>
            <w:vAlign w:val="center"/>
          </w:tcPr>
          <w:p w14:paraId="4C1486FB">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eastAsia" w:ascii="Times New Roman" w:hAnsi="Times New Roman" w:eastAsia="宋体" w:cs="Times New Roman"/>
                <w:strike w:val="0"/>
                <w:dstrike w:val="0"/>
                <w:color w:val="auto"/>
                <w:szCs w:val="21"/>
                <w:lang w:val="en-US" w:eastAsia="zh-CN"/>
              </w:rPr>
              <w:t>厂区</w:t>
            </w:r>
          </w:p>
        </w:tc>
        <w:tc>
          <w:tcPr>
            <w:tcW w:w="1863" w:type="pct"/>
            <w:tcBorders>
              <w:tl2br w:val="nil"/>
              <w:tr2bl w:val="nil"/>
            </w:tcBorders>
            <w:noWrap w:val="0"/>
            <w:vAlign w:val="center"/>
          </w:tcPr>
          <w:p w14:paraId="254EA838">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default" w:ascii="Times New Roman" w:hAnsi="Times New Roman" w:eastAsia="宋体" w:cs="Times New Roman"/>
                <w:strike w:val="0"/>
                <w:dstrike w:val="0"/>
                <w:color w:val="auto"/>
                <w:position w:val="2"/>
                <w:szCs w:val="21"/>
              </w:rPr>
              <w:t>H</w:t>
            </w:r>
            <w:r>
              <w:rPr>
                <w:rFonts w:hint="default" w:ascii="Times New Roman" w:hAnsi="Times New Roman" w:eastAsia="宋体" w:cs="Times New Roman"/>
                <w:strike w:val="0"/>
                <w:dstrike w:val="0"/>
                <w:color w:val="auto"/>
                <w:szCs w:val="21"/>
                <w:vertAlign w:val="subscript"/>
              </w:rPr>
              <w:t>2</w:t>
            </w:r>
            <w:r>
              <w:rPr>
                <w:rFonts w:hint="default" w:ascii="Times New Roman" w:hAnsi="Times New Roman" w:eastAsia="宋体" w:cs="Times New Roman"/>
                <w:strike w:val="0"/>
                <w:dstrike w:val="0"/>
                <w:color w:val="auto"/>
                <w:position w:val="2"/>
                <w:szCs w:val="21"/>
              </w:rPr>
              <w:t>S</w:t>
            </w:r>
            <w:r>
              <w:rPr>
                <w:rFonts w:hint="eastAsia" w:ascii="Times New Roman" w:hAnsi="Times New Roman" w:eastAsia="宋体" w:cs="Times New Roman"/>
                <w:strike w:val="0"/>
                <w:dstrike w:val="0"/>
                <w:color w:val="auto"/>
                <w:position w:val="2"/>
                <w:szCs w:val="21"/>
                <w:lang w:eastAsia="zh-CN"/>
              </w:rPr>
              <w:t>、</w:t>
            </w:r>
            <w:r>
              <w:rPr>
                <w:rFonts w:hint="default" w:ascii="Times New Roman" w:hAnsi="Times New Roman" w:eastAsia="宋体" w:cs="Times New Roman"/>
                <w:strike w:val="0"/>
                <w:dstrike w:val="0"/>
                <w:color w:val="auto"/>
                <w:position w:val="2"/>
                <w:szCs w:val="21"/>
              </w:rPr>
              <w:t>NH</w:t>
            </w:r>
            <w:r>
              <w:rPr>
                <w:rFonts w:hint="default" w:ascii="Times New Roman" w:hAnsi="Times New Roman" w:eastAsia="宋体" w:cs="Times New Roman"/>
                <w:strike w:val="0"/>
                <w:dstrike w:val="0"/>
                <w:color w:val="auto"/>
                <w:szCs w:val="21"/>
                <w:vertAlign w:val="subscript"/>
              </w:rPr>
              <w:t>3</w:t>
            </w:r>
          </w:p>
        </w:tc>
        <w:tc>
          <w:tcPr>
            <w:tcW w:w="1229" w:type="pct"/>
            <w:tcBorders>
              <w:tl2br w:val="nil"/>
              <w:tr2bl w:val="nil"/>
            </w:tcBorders>
            <w:noWrap w:val="0"/>
            <w:vAlign w:val="center"/>
          </w:tcPr>
          <w:p w14:paraId="4282453F">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default" w:ascii="Times New Roman" w:hAnsi="Times New Roman" w:eastAsia="宋体" w:cs="Times New Roman"/>
                <w:strike w:val="0"/>
                <w:dstrike w:val="0"/>
                <w:color w:val="auto"/>
                <w:szCs w:val="21"/>
                <w:lang w:val="en-US" w:eastAsia="zh-CN"/>
              </w:rPr>
              <w:t>区域最大地面浓度点</w:t>
            </w:r>
          </w:p>
        </w:tc>
        <w:tc>
          <w:tcPr>
            <w:tcW w:w="892" w:type="pct"/>
            <w:tcBorders>
              <w:tl2br w:val="nil"/>
              <w:tr2bl w:val="nil"/>
            </w:tcBorders>
            <w:noWrap w:val="0"/>
            <w:vAlign w:val="center"/>
          </w:tcPr>
          <w:p w14:paraId="7781151C">
            <w:pPr>
              <w:pStyle w:val="113"/>
              <w:spacing w:line="240" w:lineRule="auto"/>
              <w:jc w:val="center"/>
              <w:rPr>
                <w:rFonts w:hint="default" w:ascii="Times New Roman" w:hAnsi="Times New Roman" w:eastAsia="宋体" w:cs="Times New Roman"/>
                <w:strike w:val="0"/>
                <w:dstrike w:val="0"/>
                <w:color w:val="auto"/>
                <w:szCs w:val="21"/>
                <w:lang w:val="en-US" w:eastAsia="zh-CN"/>
              </w:rPr>
            </w:pPr>
            <w:r>
              <w:rPr>
                <w:rFonts w:hint="default" w:ascii="Times New Roman" w:hAnsi="Times New Roman" w:eastAsia="宋体" w:cs="Times New Roman"/>
                <w:strike w:val="0"/>
                <w:dstrike w:val="0"/>
                <w:color w:val="auto"/>
                <w:szCs w:val="21"/>
                <w:lang w:val="en-US" w:eastAsia="zh-CN"/>
              </w:rPr>
              <w:t>小时浓度</w:t>
            </w:r>
          </w:p>
        </w:tc>
      </w:tr>
    </w:tbl>
    <w:p w14:paraId="10975F32">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eastAsia="zh-CN"/>
        </w:rPr>
        <w:t>（</w:t>
      </w:r>
      <w:r>
        <w:rPr>
          <w:rFonts w:hint="eastAsia" w:ascii="Times New Roman" w:hAnsi="Times New Roman" w:eastAsia="宋体" w:cs="宋体"/>
          <w:strike w:val="0"/>
          <w:dstrike w:val="0"/>
          <w:color w:val="auto"/>
          <w:spacing w:val="0"/>
          <w:sz w:val="24"/>
          <w:szCs w:val="24"/>
          <w:highlight w:val="none"/>
          <w:lang w:val="en-US" w:eastAsia="zh-CN"/>
        </w:rPr>
        <w:t>2</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大气环境影响估算</w:t>
      </w:r>
    </w:p>
    <w:p w14:paraId="376403B9">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①</w:t>
      </w:r>
      <w:r>
        <w:rPr>
          <w:rFonts w:ascii="Times New Roman" w:hAnsi="Times New Roman" w:eastAsia="宋体" w:cs="宋体"/>
          <w:strike w:val="0"/>
          <w:dstrike w:val="0"/>
          <w:color w:val="auto"/>
          <w:spacing w:val="0"/>
          <w:sz w:val="24"/>
          <w:szCs w:val="24"/>
          <w:highlight w:val="none"/>
        </w:rPr>
        <w:t>估算模型选取</w:t>
      </w:r>
    </w:p>
    <w:p w14:paraId="54798113">
      <w:pPr>
        <w:keepNext w:val="0"/>
        <w:keepLines w:val="0"/>
        <w:pageBreakBefore w:val="0"/>
        <w:widowControl w:val="0"/>
        <w:kinsoku/>
        <w:wordWrap/>
        <w:overflowPunct/>
        <w:topLinePunct w:val="0"/>
        <w:autoSpaceDE/>
        <w:autoSpaceDN/>
        <w:bidi w:val="0"/>
        <w:adjustRightInd/>
        <w:snapToGrid/>
        <w:spacing w:line="480" w:lineRule="exact"/>
        <w:ind w:left="0" w:right="0" w:firstLine="481"/>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为了解本项目废气对周边环境的影响，本此评价根据《环境影响评价技术导则大气环境》</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HJ2.2-2018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，采用估算模式</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AERSCREEN</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对项目排放的废气进行预测分析</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结合本项目特点，本评价选取</w:t>
      </w:r>
      <w:r>
        <w:rPr>
          <w:rFonts w:ascii="Times New Roman" w:hAnsi="Times New Roman" w:eastAsia="宋体" w:cs="Times New Roman"/>
          <w:strike w:val="0"/>
          <w:dstrike w:val="0"/>
          <w:color w:val="auto"/>
          <w:spacing w:val="0"/>
          <w:sz w:val="24"/>
          <w:szCs w:val="24"/>
          <w:highlight w:val="none"/>
        </w:rPr>
        <w:t>NH</w:t>
      </w:r>
      <w:r>
        <w:rPr>
          <w:rFonts w:ascii="Times New Roman" w:hAnsi="Times New Roman" w:eastAsia="宋体" w:cs="Times New Roman"/>
          <w:strike w:val="0"/>
          <w:dstrike w:val="0"/>
          <w:color w:val="auto"/>
          <w:spacing w:val="0"/>
          <w:sz w:val="24"/>
          <w:szCs w:val="15"/>
          <w:highlight w:val="none"/>
          <w:vertAlign w:val="subscript"/>
        </w:rPr>
        <w:t>3</w:t>
      </w:r>
      <w:r>
        <w:rPr>
          <w:rFonts w:ascii="Times New Roman" w:hAnsi="Times New Roman" w:eastAsia="宋体" w:cs="宋体"/>
          <w:strike w:val="0"/>
          <w:dstrike w:val="0"/>
          <w:color w:val="auto"/>
          <w:spacing w:val="0"/>
          <w:sz w:val="24"/>
          <w:szCs w:val="24"/>
          <w:highlight w:val="none"/>
        </w:rPr>
        <w:t>、</w:t>
      </w:r>
      <w:r>
        <w:rPr>
          <w:rFonts w:ascii="Times New Roman" w:hAnsi="Times New Roman" w:eastAsia="宋体" w:cs="Times New Roman"/>
          <w:strike w:val="0"/>
          <w:dstrike w:val="0"/>
          <w:color w:val="auto"/>
          <w:spacing w:val="0"/>
          <w:sz w:val="24"/>
          <w:szCs w:val="24"/>
          <w:highlight w:val="none"/>
        </w:rPr>
        <w:t>H</w:t>
      </w:r>
      <w:r>
        <w:rPr>
          <w:rFonts w:ascii="Times New Roman" w:hAnsi="Times New Roman" w:eastAsia="宋体" w:cs="Times New Roman"/>
          <w:strike w:val="0"/>
          <w:dstrike w:val="0"/>
          <w:color w:val="auto"/>
          <w:spacing w:val="0"/>
          <w:sz w:val="24"/>
          <w:szCs w:val="15"/>
          <w:highlight w:val="none"/>
          <w:vertAlign w:val="subscript"/>
        </w:rPr>
        <w:t>2</w:t>
      </w:r>
      <w:r>
        <w:rPr>
          <w:rFonts w:ascii="Times New Roman" w:hAnsi="Times New Roman" w:eastAsia="宋体" w:cs="Times New Roman"/>
          <w:strike w:val="0"/>
          <w:dstrike w:val="0"/>
          <w:color w:val="auto"/>
          <w:spacing w:val="0"/>
          <w:sz w:val="24"/>
          <w:szCs w:val="24"/>
          <w:highlight w:val="none"/>
        </w:rPr>
        <w:t>S</w:t>
      </w:r>
      <w:r>
        <w:rPr>
          <w:rFonts w:ascii="Times New Roman" w:hAnsi="Times New Roman" w:eastAsia="宋体" w:cs="宋体"/>
          <w:strike w:val="0"/>
          <w:dstrike w:val="0"/>
          <w:color w:val="auto"/>
          <w:spacing w:val="0"/>
          <w:sz w:val="24"/>
          <w:szCs w:val="24"/>
          <w:highlight w:val="none"/>
        </w:rPr>
        <w:t>作为预测估算因子</w:t>
      </w:r>
      <w:r>
        <w:rPr>
          <w:rFonts w:hint="eastAsia" w:ascii="Times New Roman" w:hAnsi="Times New Roman" w:eastAsia="宋体" w:cs="宋体"/>
          <w:strike w:val="0"/>
          <w:dstrike w:val="0"/>
          <w:color w:val="auto"/>
          <w:spacing w:val="0"/>
          <w:sz w:val="24"/>
          <w:szCs w:val="24"/>
          <w:highlight w:val="none"/>
          <w:lang w:eastAsia="zh-CN"/>
        </w:rPr>
        <w:t>。</w:t>
      </w:r>
    </w:p>
    <w:p w14:paraId="69AC1A2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②</w:t>
      </w:r>
      <w:r>
        <w:rPr>
          <w:rFonts w:ascii="Times New Roman" w:hAnsi="Times New Roman" w:eastAsia="宋体" w:cs="宋体"/>
          <w:strike w:val="0"/>
          <w:dstrike w:val="0"/>
          <w:color w:val="auto"/>
          <w:spacing w:val="0"/>
          <w:sz w:val="24"/>
          <w:szCs w:val="24"/>
          <w:highlight w:val="none"/>
        </w:rPr>
        <w:t>评价标准</w:t>
      </w:r>
    </w:p>
    <w:p w14:paraId="1E906CE8">
      <w:pPr>
        <w:keepNext w:val="0"/>
        <w:keepLines w:val="0"/>
        <w:pageBreakBefore w:val="0"/>
        <w:widowControl w:val="0"/>
        <w:kinsoku/>
        <w:wordWrap/>
        <w:overflowPunct/>
        <w:topLinePunct w:val="0"/>
        <w:autoSpaceDE/>
        <w:autoSpaceDN/>
        <w:bidi w:val="0"/>
        <w:adjustRightInd/>
        <w:snapToGrid/>
        <w:spacing w:line="480" w:lineRule="exact"/>
        <w:ind w:left="0" w:righ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项目评价因子和和评价标准详见表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.2-2</w:t>
      </w:r>
      <w:r>
        <w:rPr>
          <w:rFonts w:hint="eastAsia" w:ascii="Times New Roman" w:hAnsi="Times New Roman" w:eastAsia="宋体" w:cs="宋体"/>
          <w:strike w:val="0"/>
          <w:dstrike w:val="0"/>
          <w:color w:val="auto"/>
          <w:spacing w:val="0"/>
          <w:sz w:val="24"/>
          <w:szCs w:val="24"/>
          <w:highlight w:val="none"/>
          <w:lang w:eastAsia="zh-CN"/>
        </w:rPr>
        <w:t>。</w:t>
      </w:r>
    </w:p>
    <w:p w14:paraId="34AEFF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表5.2-2评价因子和评价标准一览表</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367"/>
        <w:gridCol w:w="1533"/>
        <w:gridCol w:w="1813"/>
        <w:gridCol w:w="3597"/>
      </w:tblGrid>
      <w:tr w14:paraId="30DFC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822" w:type="pct"/>
            <w:vAlign w:val="center"/>
          </w:tcPr>
          <w:p w14:paraId="0FBF8FD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评价因子</w:t>
            </w:r>
          </w:p>
        </w:tc>
        <w:tc>
          <w:tcPr>
            <w:tcW w:w="922" w:type="pct"/>
            <w:vAlign w:val="center"/>
          </w:tcPr>
          <w:p w14:paraId="583A497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评价时段</w:t>
            </w:r>
          </w:p>
        </w:tc>
        <w:tc>
          <w:tcPr>
            <w:tcW w:w="1090" w:type="pct"/>
            <w:vAlign w:val="center"/>
          </w:tcPr>
          <w:p w14:paraId="3603DC4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标准值</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μg/m</w:t>
            </w:r>
            <w:r>
              <w:rPr>
                <w:rFonts w:ascii="Times New Roman" w:hAnsi="Times New Roman" w:eastAsia="宋体" w:cs="Times New Roman"/>
                <w:strike w:val="0"/>
                <w:dstrike w:val="0"/>
                <w:color w:val="auto"/>
                <w:spacing w:val="0"/>
                <w:position w:val="0"/>
                <w:sz w:val="21"/>
                <w:szCs w:val="14"/>
                <w:highlight w:val="none"/>
                <w:vertAlign w:val="superscript"/>
              </w:rPr>
              <w:t>3</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2163" w:type="pct"/>
            <w:vAlign w:val="center"/>
          </w:tcPr>
          <w:p w14:paraId="766A332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标准来源</w:t>
            </w:r>
          </w:p>
        </w:tc>
      </w:tr>
      <w:tr w14:paraId="550E3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822" w:type="pct"/>
            <w:vAlign w:val="center"/>
          </w:tcPr>
          <w:p w14:paraId="6732EF8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p>
        </w:tc>
        <w:tc>
          <w:tcPr>
            <w:tcW w:w="922" w:type="pct"/>
            <w:vAlign w:val="center"/>
          </w:tcPr>
          <w:p w14:paraId="5594D49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小时</w:t>
            </w:r>
          </w:p>
        </w:tc>
        <w:tc>
          <w:tcPr>
            <w:tcW w:w="1090" w:type="pct"/>
            <w:vAlign w:val="center"/>
          </w:tcPr>
          <w:p w14:paraId="6101A70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200</w:t>
            </w:r>
          </w:p>
        </w:tc>
        <w:tc>
          <w:tcPr>
            <w:tcW w:w="2163" w:type="pct"/>
            <w:vMerge w:val="restart"/>
            <w:tcBorders>
              <w:bottom w:val="nil"/>
            </w:tcBorders>
            <w:vAlign w:val="center"/>
          </w:tcPr>
          <w:p w14:paraId="4A5EDB2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《环境影响评价技术导则大气环境》</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0HJ2.2-2018</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附录</w:t>
            </w:r>
            <w:r>
              <w:rPr>
                <w:rFonts w:ascii="Times New Roman" w:hAnsi="Times New Roman" w:eastAsia="宋体" w:cs="Times New Roman"/>
                <w:strike w:val="0"/>
                <w:dstrike w:val="0"/>
                <w:color w:val="auto"/>
                <w:spacing w:val="0"/>
                <w:position w:val="0"/>
                <w:sz w:val="21"/>
                <w:szCs w:val="21"/>
                <w:highlight w:val="none"/>
              </w:rPr>
              <w:t>D</w:t>
            </w:r>
            <w:r>
              <w:rPr>
                <w:rFonts w:ascii="Times New Roman" w:hAnsi="Times New Roman" w:eastAsia="宋体" w:cs="宋体"/>
                <w:strike w:val="0"/>
                <w:dstrike w:val="0"/>
                <w:color w:val="auto"/>
                <w:spacing w:val="0"/>
                <w:position w:val="0"/>
                <w:sz w:val="21"/>
                <w:szCs w:val="21"/>
                <w:highlight w:val="none"/>
              </w:rPr>
              <w:t>浓度限</w:t>
            </w:r>
          </w:p>
          <w:p w14:paraId="0D09037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值</w:t>
            </w:r>
          </w:p>
        </w:tc>
      </w:tr>
      <w:tr w14:paraId="03781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822" w:type="pct"/>
            <w:vAlign w:val="center"/>
          </w:tcPr>
          <w:p w14:paraId="17E2DF2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H</w:t>
            </w:r>
            <w:r>
              <w:rPr>
                <w:rFonts w:ascii="Times New Roman" w:hAnsi="Times New Roman" w:eastAsia="宋体" w:cs="Times New Roman"/>
                <w:strike w:val="0"/>
                <w:dstrike w:val="0"/>
                <w:color w:val="auto"/>
                <w:spacing w:val="0"/>
                <w:position w:val="0"/>
                <w:sz w:val="21"/>
                <w:szCs w:val="14"/>
                <w:highlight w:val="none"/>
                <w:vertAlign w:val="subscript"/>
              </w:rPr>
              <w:t>2</w:t>
            </w:r>
            <w:r>
              <w:rPr>
                <w:rFonts w:ascii="Times New Roman" w:hAnsi="Times New Roman" w:eastAsia="宋体" w:cs="Times New Roman"/>
                <w:strike w:val="0"/>
                <w:dstrike w:val="0"/>
                <w:color w:val="auto"/>
                <w:spacing w:val="0"/>
                <w:position w:val="0"/>
                <w:sz w:val="21"/>
                <w:szCs w:val="21"/>
                <w:highlight w:val="none"/>
              </w:rPr>
              <w:t>S</w:t>
            </w:r>
          </w:p>
        </w:tc>
        <w:tc>
          <w:tcPr>
            <w:tcW w:w="922" w:type="pct"/>
            <w:vAlign w:val="center"/>
          </w:tcPr>
          <w:p w14:paraId="2E43DEA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小时</w:t>
            </w:r>
          </w:p>
        </w:tc>
        <w:tc>
          <w:tcPr>
            <w:tcW w:w="1090" w:type="pct"/>
            <w:vAlign w:val="center"/>
          </w:tcPr>
          <w:p w14:paraId="1FCA835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10</w:t>
            </w:r>
          </w:p>
        </w:tc>
        <w:tc>
          <w:tcPr>
            <w:tcW w:w="2163" w:type="pct"/>
            <w:vMerge w:val="continue"/>
            <w:tcBorders>
              <w:top w:val="nil"/>
            </w:tcBorders>
            <w:vAlign w:val="center"/>
          </w:tcPr>
          <w:p w14:paraId="16BDF02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bl>
    <w:p w14:paraId="447FE77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③</w:t>
      </w:r>
      <w:r>
        <w:rPr>
          <w:rFonts w:ascii="Times New Roman" w:hAnsi="Times New Roman" w:eastAsia="宋体" w:cs="宋体"/>
          <w:strike w:val="0"/>
          <w:dstrike w:val="0"/>
          <w:color w:val="auto"/>
          <w:spacing w:val="0"/>
          <w:sz w:val="24"/>
          <w:szCs w:val="24"/>
          <w:highlight w:val="none"/>
        </w:rPr>
        <w:t>污染源强</w:t>
      </w:r>
    </w:p>
    <w:p w14:paraId="3611B91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根据工程分析，项目工程污染源具体见表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.2-3</w:t>
      </w:r>
      <w:r>
        <w:rPr>
          <w:rFonts w:hint="eastAsia" w:ascii="Times New Roman" w:hAnsi="Times New Roman" w:eastAsia="宋体" w:cs="宋体"/>
          <w:strike w:val="0"/>
          <w:dstrike w:val="0"/>
          <w:color w:val="auto"/>
          <w:spacing w:val="0"/>
          <w:sz w:val="24"/>
          <w:szCs w:val="24"/>
          <w:highlight w:val="none"/>
          <w:lang w:eastAsia="zh-CN"/>
        </w:rPr>
        <w:t>。</w:t>
      </w:r>
    </w:p>
    <w:p w14:paraId="53475C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表5.2-3圈舍无组织废气污染源一览表（面源）</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943"/>
        <w:gridCol w:w="1541"/>
        <w:gridCol w:w="1430"/>
        <w:gridCol w:w="1642"/>
        <w:gridCol w:w="1110"/>
        <w:gridCol w:w="1218"/>
      </w:tblGrid>
      <w:tr w14:paraId="724C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restart"/>
            <w:vAlign w:val="center"/>
          </w:tcPr>
          <w:p w14:paraId="28B6CB6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编号</w:t>
            </w:r>
          </w:p>
        </w:tc>
        <w:tc>
          <w:tcPr>
            <w:tcW w:w="553" w:type="pct"/>
            <w:vMerge w:val="restart"/>
            <w:vAlign w:val="center"/>
          </w:tcPr>
          <w:p w14:paraId="11E8503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名称</w:t>
            </w:r>
          </w:p>
        </w:tc>
        <w:tc>
          <w:tcPr>
            <w:tcW w:w="904" w:type="pct"/>
            <w:vMerge w:val="restart"/>
            <w:vAlign w:val="center"/>
          </w:tcPr>
          <w:p w14:paraId="37F2545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面源长（m）</w:t>
            </w:r>
          </w:p>
        </w:tc>
        <w:tc>
          <w:tcPr>
            <w:tcW w:w="839" w:type="pct"/>
            <w:vMerge w:val="restart"/>
            <w:vAlign w:val="center"/>
          </w:tcPr>
          <w:p w14:paraId="374C2EF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面源宽（m）</w:t>
            </w:r>
          </w:p>
        </w:tc>
        <w:tc>
          <w:tcPr>
            <w:tcW w:w="963" w:type="pct"/>
            <w:vMerge w:val="restart"/>
            <w:vAlign w:val="center"/>
          </w:tcPr>
          <w:p w14:paraId="18EE701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排放高度（m）</w:t>
            </w:r>
          </w:p>
        </w:tc>
        <w:tc>
          <w:tcPr>
            <w:tcW w:w="1365" w:type="pct"/>
            <w:gridSpan w:val="2"/>
            <w:vAlign w:val="center"/>
          </w:tcPr>
          <w:p w14:paraId="05430EB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评价因子源强（kg/h）</w:t>
            </w:r>
          </w:p>
        </w:tc>
      </w:tr>
      <w:tr w14:paraId="5E16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continue"/>
            <w:vAlign w:val="center"/>
          </w:tcPr>
          <w:p w14:paraId="597EF32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553" w:type="pct"/>
            <w:vMerge w:val="continue"/>
            <w:vAlign w:val="center"/>
          </w:tcPr>
          <w:p w14:paraId="457B7A6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904" w:type="pct"/>
            <w:vMerge w:val="continue"/>
            <w:vAlign w:val="center"/>
          </w:tcPr>
          <w:p w14:paraId="3134179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839" w:type="pct"/>
            <w:vMerge w:val="continue"/>
            <w:vAlign w:val="center"/>
          </w:tcPr>
          <w:p w14:paraId="1582D77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963" w:type="pct"/>
            <w:vMerge w:val="continue"/>
            <w:vAlign w:val="center"/>
          </w:tcPr>
          <w:p w14:paraId="3DA6D6C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eastAsia="zh-CN"/>
              </w:rPr>
            </w:pPr>
          </w:p>
        </w:tc>
        <w:tc>
          <w:tcPr>
            <w:tcW w:w="651" w:type="pct"/>
            <w:vAlign w:val="center"/>
          </w:tcPr>
          <w:p w14:paraId="17E039E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氨</w:t>
            </w:r>
          </w:p>
        </w:tc>
        <w:tc>
          <w:tcPr>
            <w:tcW w:w="714" w:type="pct"/>
            <w:vAlign w:val="center"/>
          </w:tcPr>
          <w:p w14:paraId="1517751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硫化氢</w:t>
            </w:r>
          </w:p>
        </w:tc>
      </w:tr>
      <w:tr w14:paraId="1C4B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7019911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w:t>
            </w:r>
          </w:p>
        </w:tc>
        <w:tc>
          <w:tcPr>
            <w:tcW w:w="553" w:type="pct"/>
            <w:vAlign w:val="center"/>
          </w:tcPr>
          <w:p w14:paraId="1139328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骆驼圈舍</w:t>
            </w:r>
          </w:p>
        </w:tc>
        <w:tc>
          <w:tcPr>
            <w:tcW w:w="904" w:type="pct"/>
            <w:vAlign w:val="center"/>
          </w:tcPr>
          <w:p w14:paraId="1E706D0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120</w:t>
            </w:r>
          </w:p>
        </w:tc>
        <w:tc>
          <w:tcPr>
            <w:tcW w:w="839" w:type="pct"/>
            <w:vAlign w:val="center"/>
          </w:tcPr>
          <w:p w14:paraId="1B6332C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170</w:t>
            </w:r>
          </w:p>
        </w:tc>
        <w:tc>
          <w:tcPr>
            <w:tcW w:w="963" w:type="pct"/>
            <w:vAlign w:val="center"/>
          </w:tcPr>
          <w:p w14:paraId="74742D9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4.5</w:t>
            </w:r>
          </w:p>
        </w:tc>
        <w:tc>
          <w:tcPr>
            <w:tcW w:w="651" w:type="pct"/>
            <w:vAlign w:val="center"/>
          </w:tcPr>
          <w:p w14:paraId="545E97E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-2</w:t>
            </w:r>
          </w:p>
        </w:tc>
        <w:tc>
          <w:tcPr>
            <w:tcW w:w="714" w:type="pct"/>
            <w:vAlign w:val="center"/>
          </w:tcPr>
          <w:p w14:paraId="0C1D1C7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1.62</w:t>
            </w:r>
            <w:r>
              <w:rPr>
                <w:rFonts w:hint="default" w:ascii="Times New Roman" w:hAnsi="Times New Roman" w:eastAsia="宋体" w:cs="Arial"/>
                <w:strike w:val="0"/>
                <w:dstrike w:val="0"/>
                <w:color w:val="auto"/>
                <w:spacing w:val="0"/>
                <w:position w:val="0"/>
                <w:sz w:val="21"/>
                <w:szCs w:val="21"/>
                <w:highlight w:val="none"/>
                <w:lang w:val="en-US" w:eastAsia="zh-CN"/>
              </w:rPr>
              <w:t>×</w:t>
            </w:r>
            <w:r>
              <w:rPr>
                <w:rFonts w:hint="eastAsia" w:ascii="Times New Roman" w:hAnsi="Times New Roman" w:eastAsia="宋体" w:cs="Times New Roman"/>
                <w:strike w:val="0"/>
                <w:dstrike w:val="0"/>
                <w:color w:val="auto"/>
                <w:spacing w:val="0"/>
                <w:position w:val="0"/>
                <w:sz w:val="21"/>
                <w:szCs w:val="21"/>
                <w:highlight w:val="none"/>
                <w:lang w:val="en-US" w:eastAsia="zh-CN"/>
              </w:rPr>
              <w:t>10</w:t>
            </w:r>
            <w:r>
              <w:rPr>
                <w:rFonts w:hint="eastAsia" w:ascii="Times New Roman" w:hAnsi="Times New Roman" w:eastAsia="宋体" w:cs="Times New Roman"/>
                <w:strike w:val="0"/>
                <w:dstrike w:val="0"/>
                <w:color w:val="auto"/>
                <w:spacing w:val="0"/>
                <w:position w:val="0"/>
                <w:sz w:val="21"/>
                <w:szCs w:val="21"/>
                <w:highlight w:val="none"/>
                <w:vertAlign w:val="superscript"/>
                <w:lang w:val="en-US" w:eastAsia="zh-CN"/>
              </w:rPr>
              <w:t>-3</w:t>
            </w:r>
          </w:p>
        </w:tc>
      </w:tr>
      <w:tr w14:paraId="499C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0B53030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w:t>
            </w:r>
          </w:p>
        </w:tc>
        <w:tc>
          <w:tcPr>
            <w:tcW w:w="553" w:type="pct"/>
            <w:vAlign w:val="center"/>
          </w:tcPr>
          <w:p w14:paraId="34C73CA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堆肥场</w:t>
            </w:r>
          </w:p>
        </w:tc>
        <w:tc>
          <w:tcPr>
            <w:tcW w:w="904" w:type="pct"/>
            <w:vAlign w:val="center"/>
          </w:tcPr>
          <w:p w14:paraId="047EEE3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65</w:t>
            </w:r>
          </w:p>
        </w:tc>
        <w:tc>
          <w:tcPr>
            <w:tcW w:w="839" w:type="pct"/>
            <w:vAlign w:val="center"/>
          </w:tcPr>
          <w:p w14:paraId="6B2194E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40</w:t>
            </w:r>
          </w:p>
        </w:tc>
        <w:tc>
          <w:tcPr>
            <w:tcW w:w="963" w:type="pct"/>
            <w:vAlign w:val="center"/>
          </w:tcPr>
          <w:p w14:paraId="12B7965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651" w:type="pct"/>
            <w:vAlign w:val="center"/>
          </w:tcPr>
          <w:p w14:paraId="53491AB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strike w:val="0"/>
                <w:dstrike w:val="0"/>
                <w:color w:val="auto"/>
                <w:spacing w:val="0"/>
                <w:sz w:val="21"/>
                <w:szCs w:val="21"/>
                <w:highlight w:val="none"/>
                <w:lang w:val="en-US" w:eastAsia="zh-CN"/>
              </w:rPr>
              <w:t>1.04</w:t>
            </w:r>
            <w:r>
              <w:rPr>
                <w:rFonts w:hint="default" w:ascii="Times New Roman" w:hAnsi="Times New Roman" w:eastAsia="宋体" w:cs="Arial"/>
                <w:strike w:val="0"/>
                <w:dstrike w:val="0"/>
                <w:color w:val="auto"/>
                <w:spacing w:val="0"/>
                <w:sz w:val="21"/>
                <w:szCs w:val="21"/>
                <w:highlight w:val="none"/>
                <w:lang w:val="en-US" w:eastAsia="zh-CN"/>
              </w:rPr>
              <w:t>×</w:t>
            </w:r>
            <w:r>
              <w:rPr>
                <w:rFonts w:hint="eastAsia" w:ascii="Times New Roman" w:hAnsi="Times New Roman" w:eastAsia="宋体"/>
                <w:strike w:val="0"/>
                <w:dstrike w:val="0"/>
                <w:color w:val="auto"/>
                <w:spacing w:val="0"/>
                <w:sz w:val="21"/>
                <w:szCs w:val="21"/>
                <w:highlight w:val="none"/>
                <w:lang w:val="en-US" w:eastAsia="zh-CN"/>
              </w:rPr>
              <w:t>10</w:t>
            </w:r>
            <w:r>
              <w:rPr>
                <w:rFonts w:hint="eastAsia" w:ascii="Times New Roman" w:hAnsi="Times New Roman" w:eastAsia="宋体"/>
                <w:strike w:val="0"/>
                <w:dstrike w:val="0"/>
                <w:color w:val="auto"/>
                <w:spacing w:val="0"/>
                <w:sz w:val="21"/>
                <w:szCs w:val="21"/>
                <w:highlight w:val="none"/>
                <w:vertAlign w:val="superscript"/>
                <w:lang w:val="en-US" w:eastAsia="zh-CN"/>
              </w:rPr>
              <w:t>-3</w:t>
            </w:r>
          </w:p>
        </w:tc>
        <w:tc>
          <w:tcPr>
            <w:tcW w:w="714" w:type="pct"/>
            <w:vAlign w:val="center"/>
          </w:tcPr>
          <w:p w14:paraId="6B69D07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strike w:val="0"/>
                <w:dstrike w:val="0"/>
                <w:color w:val="auto"/>
                <w:spacing w:val="0"/>
                <w:sz w:val="21"/>
                <w:szCs w:val="21"/>
                <w:highlight w:val="none"/>
                <w:lang w:val="en-US" w:eastAsia="zh-CN"/>
              </w:rPr>
              <w:t>2.50</w:t>
            </w:r>
            <w:r>
              <w:rPr>
                <w:rFonts w:hint="default" w:ascii="Times New Roman" w:hAnsi="Times New Roman" w:eastAsia="宋体" w:cs="Arial"/>
                <w:strike w:val="0"/>
                <w:dstrike w:val="0"/>
                <w:color w:val="auto"/>
                <w:spacing w:val="0"/>
                <w:sz w:val="21"/>
                <w:szCs w:val="21"/>
                <w:highlight w:val="none"/>
                <w:lang w:val="en-US" w:eastAsia="zh-CN"/>
              </w:rPr>
              <w:t>×</w:t>
            </w:r>
            <w:r>
              <w:rPr>
                <w:rFonts w:hint="eastAsia" w:ascii="Times New Roman" w:hAnsi="Times New Roman" w:eastAsia="宋体"/>
                <w:strike w:val="0"/>
                <w:dstrike w:val="0"/>
                <w:color w:val="auto"/>
                <w:spacing w:val="0"/>
                <w:sz w:val="21"/>
                <w:szCs w:val="21"/>
                <w:highlight w:val="none"/>
                <w:lang w:val="en-US" w:eastAsia="zh-CN"/>
              </w:rPr>
              <w:t>10</w:t>
            </w:r>
            <w:r>
              <w:rPr>
                <w:rFonts w:hint="eastAsia" w:ascii="Times New Roman" w:hAnsi="Times New Roman" w:eastAsia="宋体"/>
                <w:strike w:val="0"/>
                <w:dstrike w:val="0"/>
                <w:color w:val="auto"/>
                <w:spacing w:val="0"/>
                <w:sz w:val="21"/>
                <w:szCs w:val="21"/>
                <w:highlight w:val="none"/>
                <w:vertAlign w:val="superscript"/>
                <w:lang w:val="en-US" w:eastAsia="zh-CN"/>
              </w:rPr>
              <w:t>-5</w:t>
            </w:r>
          </w:p>
        </w:tc>
      </w:tr>
      <w:tr w14:paraId="51AB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2821CAB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3</w:t>
            </w:r>
          </w:p>
        </w:tc>
        <w:tc>
          <w:tcPr>
            <w:tcW w:w="553" w:type="pct"/>
            <w:vAlign w:val="center"/>
          </w:tcPr>
          <w:p w14:paraId="354B86F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黑膜池</w:t>
            </w:r>
          </w:p>
        </w:tc>
        <w:tc>
          <w:tcPr>
            <w:tcW w:w="904" w:type="pct"/>
            <w:vAlign w:val="center"/>
          </w:tcPr>
          <w:p w14:paraId="4B4036A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20</w:t>
            </w:r>
          </w:p>
        </w:tc>
        <w:tc>
          <w:tcPr>
            <w:tcW w:w="839" w:type="pct"/>
            <w:vAlign w:val="center"/>
          </w:tcPr>
          <w:p w14:paraId="1824CA2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15</w:t>
            </w:r>
          </w:p>
        </w:tc>
        <w:tc>
          <w:tcPr>
            <w:tcW w:w="963" w:type="pct"/>
            <w:vAlign w:val="center"/>
          </w:tcPr>
          <w:p w14:paraId="3599BFA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s="黑体"/>
                <w:b w:val="0"/>
                <w:bCs/>
                <w:strike w:val="0"/>
                <w:dstrike w:val="0"/>
                <w:color w:val="auto"/>
                <w:spacing w:val="0"/>
                <w:sz w:val="21"/>
                <w:szCs w:val="21"/>
                <w:highlight w:val="none"/>
                <w:vertAlign w:val="baseline"/>
                <w:lang w:val="en-US" w:eastAsia="zh-CN"/>
              </w:rPr>
              <w:t>0.5</w:t>
            </w:r>
          </w:p>
        </w:tc>
        <w:tc>
          <w:tcPr>
            <w:tcW w:w="651" w:type="pct"/>
            <w:vAlign w:val="center"/>
          </w:tcPr>
          <w:p w14:paraId="010EFD9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8.33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-5</w:t>
            </w:r>
          </w:p>
        </w:tc>
        <w:tc>
          <w:tcPr>
            <w:tcW w:w="714" w:type="pct"/>
            <w:vAlign w:val="center"/>
          </w:tcPr>
          <w:p w14:paraId="69369CD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黑体"/>
                <w:b w:val="0"/>
                <w:bCs/>
                <w:strike w:val="0"/>
                <w:dstrike w:val="0"/>
                <w:color w:val="auto"/>
                <w:spacing w:val="0"/>
                <w:sz w:val="21"/>
                <w:szCs w:val="21"/>
                <w:highlight w:val="none"/>
                <w:vertAlign w:val="baseline"/>
                <w:lang w:val="en-US" w:eastAsia="zh-CN"/>
              </w:rPr>
            </w:pPr>
            <w:r>
              <w:rPr>
                <w:rFonts w:hint="eastAsia" w:ascii="Times New Roman" w:hAnsi="Times New Roman" w:eastAsia="宋体"/>
                <w:color w:val="auto"/>
                <w:kern w:val="0"/>
                <w:sz w:val="21"/>
                <w:szCs w:val="21"/>
                <w:lang w:val="en-US" w:eastAsia="zh-CN" w:bidi="ar"/>
              </w:rPr>
              <w:t>3.23</w:t>
            </w:r>
            <w:r>
              <w:rPr>
                <w:rFonts w:hint="default" w:ascii="Times New Roman" w:hAnsi="Times New Roman" w:eastAsia="宋体" w:cs="Arial"/>
                <w:color w:val="auto"/>
                <w:kern w:val="0"/>
                <w:sz w:val="21"/>
                <w:szCs w:val="21"/>
                <w:lang w:val="en-US" w:eastAsia="zh-CN" w:bidi="ar"/>
              </w:rPr>
              <w:t>×</w:t>
            </w:r>
            <w:r>
              <w:rPr>
                <w:rFonts w:hint="eastAsia" w:ascii="Times New Roman" w:hAnsi="Times New Roman" w:eastAsia="宋体"/>
                <w:color w:val="auto"/>
                <w:kern w:val="0"/>
                <w:sz w:val="21"/>
                <w:szCs w:val="21"/>
                <w:lang w:val="en-US" w:eastAsia="zh-CN" w:bidi="ar"/>
              </w:rPr>
              <w:t>10</w:t>
            </w:r>
            <w:r>
              <w:rPr>
                <w:rFonts w:hint="eastAsia" w:ascii="Times New Roman" w:hAnsi="Times New Roman" w:eastAsia="宋体"/>
                <w:color w:val="auto"/>
                <w:kern w:val="0"/>
                <w:sz w:val="21"/>
                <w:szCs w:val="21"/>
                <w:vertAlign w:val="superscript"/>
                <w:lang w:val="en-US" w:eastAsia="zh-CN" w:bidi="ar"/>
              </w:rPr>
              <w:t>-6</w:t>
            </w:r>
          </w:p>
        </w:tc>
      </w:tr>
    </w:tbl>
    <w:p w14:paraId="6D10375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④</w:t>
      </w:r>
      <w:r>
        <w:rPr>
          <w:rFonts w:ascii="Times New Roman" w:hAnsi="Times New Roman" w:eastAsia="宋体" w:cs="宋体"/>
          <w:strike w:val="0"/>
          <w:dstrike w:val="0"/>
          <w:color w:val="auto"/>
          <w:spacing w:val="0"/>
          <w:sz w:val="24"/>
          <w:szCs w:val="24"/>
          <w:highlight w:val="none"/>
        </w:rPr>
        <w:t>估算模型参数</w:t>
      </w:r>
    </w:p>
    <w:p w14:paraId="131DDEA0">
      <w:pPr>
        <w:keepNext w:val="0"/>
        <w:keepLines w:val="0"/>
        <w:pageBreakBefore w:val="0"/>
        <w:widowControl w:val="0"/>
        <w:kinsoku/>
        <w:wordWrap/>
        <w:overflowPunct/>
        <w:topLinePunct w:val="0"/>
        <w:autoSpaceDE/>
        <w:autoSpaceDN/>
        <w:bidi w:val="0"/>
        <w:adjustRightInd/>
        <w:snapToGrid/>
        <w:spacing w:line="360" w:lineRule="auto"/>
        <w:ind w:left="0" w:right="0" w:firstLine="488"/>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本次评价选用《环境影响评价技术导则大气环境》</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Times New Roman"/>
          <w:strike w:val="0"/>
          <w:dstrike w:val="0"/>
          <w:color w:val="auto"/>
          <w:spacing w:val="0"/>
          <w:sz w:val="24"/>
          <w:szCs w:val="24"/>
          <w:highlight w:val="none"/>
        </w:rPr>
        <w:t>HJ2.2-2018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推荐的</w:t>
      </w:r>
      <w:r>
        <w:rPr>
          <w:rFonts w:ascii="Times New Roman" w:hAnsi="Times New Roman" w:eastAsia="宋体" w:cs="Times New Roman"/>
          <w:strike w:val="0"/>
          <w:dstrike w:val="0"/>
          <w:color w:val="auto"/>
          <w:spacing w:val="0"/>
          <w:sz w:val="24"/>
          <w:szCs w:val="24"/>
          <w:highlight w:val="none"/>
        </w:rPr>
        <w:t>AERSCREEN</w:t>
      </w:r>
      <w:r>
        <w:rPr>
          <w:rFonts w:ascii="Times New Roman" w:hAnsi="Times New Roman" w:eastAsia="宋体" w:cs="宋体"/>
          <w:strike w:val="0"/>
          <w:dstrike w:val="0"/>
          <w:color w:val="auto"/>
          <w:spacing w:val="0"/>
          <w:sz w:val="24"/>
          <w:szCs w:val="24"/>
          <w:highlight w:val="none"/>
        </w:rPr>
        <w:t>模型，估算模型参数详见表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.2-4</w:t>
      </w:r>
      <w:r>
        <w:rPr>
          <w:rFonts w:hint="eastAsia" w:ascii="Times New Roman" w:hAnsi="Times New Roman" w:eastAsia="宋体" w:cs="宋体"/>
          <w:strike w:val="0"/>
          <w:dstrike w:val="0"/>
          <w:color w:val="auto"/>
          <w:spacing w:val="0"/>
          <w:sz w:val="24"/>
          <w:szCs w:val="24"/>
          <w:highlight w:val="none"/>
          <w:lang w:eastAsia="zh-CN"/>
        </w:rPr>
        <w:t>。</w:t>
      </w:r>
    </w:p>
    <w:p w14:paraId="224834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表5.2-4估算模型参数表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680"/>
        <w:gridCol w:w="3350"/>
        <w:gridCol w:w="2281"/>
      </w:tblGrid>
      <w:tr w14:paraId="24D92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4725101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参数</w:t>
            </w:r>
          </w:p>
        </w:tc>
        <w:tc>
          <w:tcPr>
            <w:tcW w:w="1372" w:type="pct"/>
            <w:vAlign w:val="center"/>
          </w:tcPr>
          <w:p w14:paraId="349E5BB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取值</w:t>
            </w:r>
          </w:p>
        </w:tc>
      </w:tr>
      <w:tr w14:paraId="02611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5C30D3ED">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农村选项</w:t>
            </w:r>
          </w:p>
        </w:tc>
        <w:tc>
          <w:tcPr>
            <w:tcW w:w="2015" w:type="pct"/>
            <w:vAlign w:val="center"/>
          </w:tcPr>
          <w:p w14:paraId="79578EC0">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城市</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农村</w:t>
            </w:r>
          </w:p>
        </w:tc>
        <w:tc>
          <w:tcPr>
            <w:tcW w:w="1372" w:type="pct"/>
            <w:vAlign w:val="center"/>
          </w:tcPr>
          <w:p w14:paraId="7E8AC9CA">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农村</w:t>
            </w:r>
          </w:p>
        </w:tc>
      </w:tr>
      <w:tr w14:paraId="2BF34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72A6CEE5">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746006D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人口数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城市选项时</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372" w:type="pct"/>
            <w:vAlign w:val="center"/>
          </w:tcPr>
          <w:p w14:paraId="7F0B729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eastAsia" w:ascii="Times New Roman" w:hAnsi="Times New Roman" w:eastAsia="宋体"/>
                <w:strike w:val="0"/>
                <w:dstrike w:val="0"/>
                <w:color w:val="auto"/>
                <w:spacing w:val="0"/>
                <w:position w:val="0"/>
                <w:sz w:val="21"/>
                <w:highlight w:val="none"/>
                <w:lang w:val="en-US" w:eastAsia="zh-CN"/>
              </w:rPr>
            </w:pPr>
            <w:r>
              <w:rPr>
                <w:rFonts w:hint="eastAsia" w:ascii="Times New Roman" w:hAnsi="Times New Roman" w:eastAsia="宋体"/>
                <w:strike w:val="0"/>
                <w:dstrike w:val="0"/>
                <w:color w:val="auto"/>
                <w:spacing w:val="0"/>
                <w:position w:val="0"/>
                <w:sz w:val="21"/>
                <w:highlight w:val="none"/>
                <w:lang w:val="en-US" w:eastAsia="zh-CN"/>
              </w:rPr>
              <w:t>/</w:t>
            </w:r>
          </w:p>
        </w:tc>
      </w:tr>
      <w:tr w14:paraId="442274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133ABF10">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最高环境温度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736C6537">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36.5</w:t>
            </w:r>
          </w:p>
        </w:tc>
      </w:tr>
      <w:tr w14:paraId="30493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2B38392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最低环境温度</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p>
        </w:tc>
        <w:tc>
          <w:tcPr>
            <w:tcW w:w="1372" w:type="pct"/>
            <w:vAlign w:val="center"/>
          </w:tcPr>
          <w:p w14:paraId="6169D06F">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val="en-US" w:eastAsia="zh-CN"/>
              </w:rPr>
              <w:t>31</w:t>
            </w:r>
          </w:p>
        </w:tc>
      </w:tr>
      <w:tr w14:paraId="20039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7C68A58A">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土地利用类型</w:t>
            </w:r>
          </w:p>
        </w:tc>
        <w:tc>
          <w:tcPr>
            <w:tcW w:w="1372" w:type="pct"/>
            <w:vAlign w:val="center"/>
          </w:tcPr>
          <w:p w14:paraId="5E62013D">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农作地</w:t>
            </w:r>
          </w:p>
        </w:tc>
      </w:tr>
      <w:tr w14:paraId="71E0F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627" w:type="pct"/>
            <w:gridSpan w:val="2"/>
            <w:vAlign w:val="center"/>
          </w:tcPr>
          <w:p w14:paraId="55F7EA6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区域湿度条件</w:t>
            </w:r>
          </w:p>
        </w:tc>
        <w:tc>
          <w:tcPr>
            <w:tcW w:w="1372" w:type="pct"/>
            <w:vAlign w:val="center"/>
          </w:tcPr>
          <w:p w14:paraId="1DF1BA0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干燥</w:t>
            </w:r>
          </w:p>
        </w:tc>
      </w:tr>
      <w:tr w14:paraId="0085E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0A2B28A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是否考虑地形</w:t>
            </w:r>
          </w:p>
        </w:tc>
        <w:tc>
          <w:tcPr>
            <w:tcW w:w="2015" w:type="pct"/>
            <w:vAlign w:val="center"/>
          </w:tcPr>
          <w:p w14:paraId="3B120F19">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考虑地形</w:t>
            </w:r>
          </w:p>
        </w:tc>
        <w:tc>
          <w:tcPr>
            <w:tcW w:w="1372" w:type="pct"/>
            <w:vAlign w:val="center"/>
          </w:tcPr>
          <w:p w14:paraId="277A6483">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drawing>
                <wp:inline distT="0" distB="0" distL="0" distR="0">
                  <wp:extent cx="114300" cy="13335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是□否</w:t>
            </w:r>
          </w:p>
        </w:tc>
      </w:tr>
      <w:tr w14:paraId="74954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4C5D3476">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145D8A54">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地形数据分辨率</w:t>
            </w:r>
            <w:r>
              <w:rPr>
                <w:rFonts w:ascii="Times New Roman" w:hAnsi="Times New Roman" w:eastAsia="宋体" w:cs="Times New Roman"/>
                <w:strike w:val="0"/>
                <w:dstrike w:val="0"/>
                <w:color w:val="auto"/>
                <w:spacing w:val="0"/>
                <w:position w:val="0"/>
                <w:sz w:val="21"/>
                <w:szCs w:val="21"/>
                <w:highlight w:val="none"/>
              </w:rPr>
              <w:t>/m</w:t>
            </w:r>
          </w:p>
        </w:tc>
        <w:tc>
          <w:tcPr>
            <w:tcW w:w="1372" w:type="pct"/>
            <w:vAlign w:val="center"/>
          </w:tcPr>
          <w:p w14:paraId="7C70EF40">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90</w:t>
            </w:r>
          </w:p>
        </w:tc>
      </w:tr>
      <w:tr w14:paraId="3EC75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restart"/>
            <w:tcBorders>
              <w:bottom w:val="nil"/>
            </w:tcBorders>
            <w:vAlign w:val="center"/>
          </w:tcPr>
          <w:p w14:paraId="62C22D1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是否考虑岸线熏烟</w:t>
            </w:r>
          </w:p>
        </w:tc>
        <w:tc>
          <w:tcPr>
            <w:tcW w:w="2015" w:type="pct"/>
            <w:vAlign w:val="center"/>
          </w:tcPr>
          <w:p w14:paraId="6DAF882B">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考虑岸线熏烟</w:t>
            </w:r>
          </w:p>
        </w:tc>
        <w:tc>
          <w:tcPr>
            <w:tcW w:w="1372" w:type="pct"/>
            <w:vAlign w:val="center"/>
          </w:tcPr>
          <w:p w14:paraId="5A58926C">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□是</w:t>
            </w:r>
            <w:r>
              <w:rPr>
                <w:rFonts w:ascii="Times New Roman" w:hAnsi="Times New Roman" w:eastAsia="宋体"/>
                <w:strike w:val="0"/>
                <w:dstrike w:val="0"/>
                <w:color w:val="auto"/>
                <w:spacing w:val="0"/>
                <w:position w:val="0"/>
                <w:sz w:val="21"/>
                <w:szCs w:val="21"/>
                <w:highlight w:val="none"/>
              </w:rPr>
              <w:drawing>
                <wp:inline distT="0" distB="0" distL="0" distR="0">
                  <wp:extent cx="114300" cy="133350"/>
                  <wp:effectExtent l="0" t="0" r="0" b="0"/>
                  <wp:docPr id="50" name="IM 33"/>
                  <wp:cNvGraphicFramePr/>
                  <a:graphic xmlns:a="http://schemas.openxmlformats.org/drawingml/2006/main">
                    <a:graphicData uri="http://schemas.openxmlformats.org/drawingml/2006/picture">
                      <pic:pic xmlns:pic="http://schemas.openxmlformats.org/drawingml/2006/picture">
                        <pic:nvPicPr>
                          <pic:cNvPr id="50" name="IM 33"/>
                          <pic:cNvPicPr/>
                        </pic:nvPicPr>
                        <pic:blipFill>
                          <a:blip r:embed="rId30"/>
                          <a:stretch>
                            <a:fillRect/>
                          </a:stretch>
                        </pic:blipFill>
                        <pic:spPr>
                          <a:xfrm>
                            <a:off x="0" y="0"/>
                            <a:ext cx="114547" cy="133350"/>
                          </a:xfrm>
                          <a:prstGeom prst="rect">
                            <a:avLst/>
                          </a:prstGeom>
                        </pic:spPr>
                      </pic:pic>
                    </a:graphicData>
                  </a:graphic>
                </wp:inline>
              </w:drawing>
            </w:r>
            <w:r>
              <w:rPr>
                <w:rFonts w:ascii="Times New Roman" w:hAnsi="Times New Roman" w:eastAsia="宋体" w:cs="宋体"/>
                <w:strike w:val="0"/>
                <w:dstrike w:val="0"/>
                <w:color w:val="auto"/>
                <w:spacing w:val="0"/>
                <w:position w:val="0"/>
                <w:sz w:val="21"/>
                <w:szCs w:val="21"/>
                <w:highlight w:val="none"/>
              </w:rPr>
              <w:t>否</w:t>
            </w:r>
          </w:p>
        </w:tc>
      </w:tr>
      <w:tr w14:paraId="5EA74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612" w:type="pct"/>
            <w:vMerge w:val="continue"/>
            <w:tcBorders>
              <w:top w:val="nil"/>
            </w:tcBorders>
            <w:vAlign w:val="center"/>
          </w:tcPr>
          <w:p w14:paraId="75D80FC8">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2015" w:type="pct"/>
            <w:vAlign w:val="center"/>
          </w:tcPr>
          <w:p w14:paraId="14AD3842">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岸线距离</w:t>
            </w:r>
            <w:r>
              <w:rPr>
                <w:rFonts w:ascii="Times New Roman" w:hAnsi="Times New Roman" w:eastAsia="宋体" w:cs="Times New Roman"/>
                <w:strike w:val="0"/>
                <w:dstrike w:val="0"/>
                <w:color w:val="auto"/>
                <w:spacing w:val="0"/>
                <w:position w:val="0"/>
                <w:sz w:val="21"/>
                <w:szCs w:val="21"/>
                <w:highlight w:val="none"/>
              </w:rPr>
              <w:t>/km</w:t>
            </w:r>
          </w:p>
        </w:tc>
        <w:tc>
          <w:tcPr>
            <w:tcW w:w="1372" w:type="pct"/>
            <w:vAlign w:val="center"/>
          </w:tcPr>
          <w:p w14:paraId="5C846564">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bl>
    <w:p w14:paraId="56C793E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⑤</w:t>
      </w:r>
      <w:r>
        <w:rPr>
          <w:rFonts w:ascii="Times New Roman" w:hAnsi="Times New Roman" w:eastAsia="宋体" w:cs="宋体"/>
          <w:strike w:val="0"/>
          <w:dstrike w:val="0"/>
          <w:color w:val="auto"/>
          <w:spacing w:val="0"/>
          <w:sz w:val="24"/>
          <w:szCs w:val="24"/>
          <w:highlight w:val="none"/>
        </w:rPr>
        <w:t>主要污染源估算模型计算结果</w:t>
      </w:r>
    </w:p>
    <w:p w14:paraId="04F56D2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主要污染源估算模型计算结果详见表</w:t>
      </w:r>
      <w:r>
        <w:rPr>
          <w:rFonts w:hint="eastAsia" w:ascii="Times New Roman" w:hAnsi="Times New Roman" w:eastAsia="宋体" w:cs="Times New Roman"/>
          <w:strike w:val="0"/>
          <w:dstrike w:val="0"/>
          <w:color w:val="auto"/>
          <w:spacing w:val="0"/>
          <w:sz w:val="24"/>
          <w:szCs w:val="24"/>
          <w:highlight w:val="none"/>
          <w:lang w:val="en-US" w:eastAsia="zh-CN"/>
        </w:rPr>
        <w:t>5</w:t>
      </w:r>
      <w:r>
        <w:rPr>
          <w:rFonts w:ascii="Times New Roman" w:hAnsi="Times New Roman" w:eastAsia="宋体" w:cs="Times New Roman"/>
          <w:strike w:val="0"/>
          <w:dstrike w:val="0"/>
          <w:color w:val="auto"/>
          <w:spacing w:val="0"/>
          <w:sz w:val="24"/>
          <w:szCs w:val="24"/>
          <w:highlight w:val="none"/>
        </w:rPr>
        <w:t>.2-5</w:t>
      </w:r>
      <w:r>
        <w:rPr>
          <w:rFonts w:hint="eastAsia" w:ascii="Times New Roman" w:hAnsi="Times New Roman" w:eastAsia="宋体" w:cs="宋体"/>
          <w:strike w:val="0"/>
          <w:dstrike w:val="0"/>
          <w:color w:val="auto"/>
          <w:spacing w:val="0"/>
          <w:sz w:val="24"/>
          <w:szCs w:val="24"/>
          <w:highlight w:val="none"/>
          <w:lang w:eastAsia="zh-CN"/>
        </w:rPr>
        <w:t>。</w:t>
      </w:r>
    </w:p>
    <w:p w14:paraId="55F553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表5.2-5骆驼圈舍硫化氢、氨气估算模式计算结果表</w:t>
      </w:r>
    </w:p>
    <w:tbl>
      <w:tblPr>
        <w:tblStyle w:val="183"/>
        <w:tblW w:w="501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4"/>
        <w:gridCol w:w="933"/>
        <w:gridCol w:w="1499"/>
        <w:gridCol w:w="1284"/>
        <w:gridCol w:w="1584"/>
        <w:gridCol w:w="1502"/>
        <w:gridCol w:w="1039"/>
      </w:tblGrid>
      <w:tr w14:paraId="3E41A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restart"/>
            <w:tcBorders>
              <w:tl2br w:val="nil"/>
              <w:tr2bl w:val="nil"/>
            </w:tcBorders>
            <w:vAlign w:val="center"/>
          </w:tcPr>
          <w:p w14:paraId="114346C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序号</w:t>
            </w:r>
          </w:p>
        </w:tc>
        <w:tc>
          <w:tcPr>
            <w:tcW w:w="559" w:type="pct"/>
            <w:vMerge w:val="restart"/>
            <w:tcBorders>
              <w:tl2br w:val="nil"/>
              <w:tr2bl w:val="nil"/>
            </w:tcBorders>
            <w:vAlign w:val="center"/>
          </w:tcPr>
          <w:p w14:paraId="3B4BF793">
            <w:pPr>
              <w:keepNext w:val="0"/>
              <w:keepLines w:val="0"/>
              <w:pageBreakBefore w:val="0"/>
              <w:widowControl w:val="0"/>
              <w:tabs>
                <w:tab w:val="left" w:pos="459"/>
              </w:tabs>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667" w:type="pct"/>
            <w:gridSpan w:val="2"/>
            <w:tcBorders>
              <w:tl2br w:val="nil"/>
              <w:tr2bl w:val="nil"/>
            </w:tcBorders>
            <w:vAlign w:val="center"/>
          </w:tcPr>
          <w:p w14:paraId="747FA33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氨</w:t>
            </w:r>
          </w:p>
        </w:tc>
        <w:tc>
          <w:tcPr>
            <w:tcW w:w="949" w:type="pct"/>
            <w:vMerge w:val="restart"/>
            <w:tcBorders>
              <w:tl2br w:val="nil"/>
              <w:tr2bl w:val="nil"/>
            </w:tcBorders>
            <w:vAlign w:val="center"/>
          </w:tcPr>
          <w:p w14:paraId="03883FD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521" w:type="pct"/>
            <w:gridSpan w:val="2"/>
            <w:tcBorders>
              <w:tl2br w:val="nil"/>
              <w:tr2bl w:val="nil"/>
            </w:tcBorders>
            <w:vAlign w:val="center"/>
          </w:tcPr>
          <w:p w14:paraId="780A2AA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硫化氢</w:t>
            </w:r>
          </w:p>
        </w:tc>
      </w:tr>
      <w:tr w14:paraId="58976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continue"/>
            <w:tcBorders>
              <w:tl2br w:val="nil"/>
              <w:tr2bl w:val="nil"/>
            </w:tcBorders>
            <w:vAlign w:val="center"/>
          </w:tcPr>
          <w:p w14:paraId="04DE6E1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559" w:type="pct"/>
            <w:vMerge w:val="continue"/>
            <w:tcBorders>
              <w:tl2br w:val="nil"/>
              <w:tr2bl w:val="nil"/>
            </w:tcBorders>
            <w:vAlign w:val="center"/>
          </w:tcPr>
          <w:p w14:paraId="5D0FF84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898" w:type="pct"/>
            <w:tcBorders>
              <w:tl2br w:val="nil"/>
              <w:tr2bl w:val="nil"/>
            </w:tcBorders>
            <w:vAlign w:val="center"/>
          </w:tcPr>
          <w:p w14:paraId="2D949D0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hint="eastAsia" w:ascii="Times New Roman" w:hAnsi="Times New Roman" w:eastAsia="宋体" w:cs="Times New Roman"/>
                <w:b w:val="0"/>
                <w:strike w:val="0"/>
                <w:dstrike w:val="0"/>
                <w:color w:val="auto"/>
                <w:spacing w:val="0"/>
                <w:position w:val="0"/>
                <w:sz w:val="21"/>
                <w:szCs w:val="21"/>
                <w:highlight w:val="none"/>
                <w:vertAlign w:val="superscript"/>
                <w:lang w:val="en-US" w:eastAsia="zh-CN"/>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769" w:type="pct"/>
            <w:tcBorders>
              <w:tl2br w:val="nil"/>
              <w:tr2bl w:val="nil"/>
            </w:tcBorders>
            <w:vAlign w:val="center"/>
          </w:tcPr>
          <w:p w14:paraId="08722D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949" w:type="pct"/>
            <w:vMerge w:val="continue"/>
            <w:tcBorders>
              <w:tl2br w:val="nil"/>
              <w:tr2bl w:val="nil"/>
            </w:tcBorders>
            <w:vAlign w:val="center"/>
          </w:tcPr>
          <w:p w14:paraId="6A6915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p>
        </w:tc>
        <w:tc>
          <w:tcPr>
            <w:tcW w:w="899" w:type="pct"/>
            <w:tcBorders>
              <w:tl2br w:val="nil"/>
              <w:tr2bl w:val="nil"/>
            </w:tcBorders>
            <w:vAlign w:val="center"/>
          </w:tcPr>
          <w:p w14:paraId="7FC7A4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ascii="Times New Roman" w:hAnsi="Times New Roman" w:eastAsia="宋体" w:cs="Times New Roman"/>
                <w:b w:val="0"/>
                <w:strike w:val="0"/>
                <w:dstrike w:val="0"/>
                <w:color w:val="auto"/>
                <w:spacing w:val="0"/>
                <w:position w:val="0"/>
                <w:sz w:val="21"/>
                <w:szCs w:val="14"/>
                <w:highlight w:val="none"/>
                <w:vertAlign w:val="superscript"/>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622" w:type="pct"/>
            <w:tcBorders>
              <w:tl2br w:val="nil"/>
              <w:tr2bl w:val="nil"/>
            </w:tcBorders>
            <w:vAlign w:val="center"/>
          </w:tcPr>
          <w:p w14:paraId="3AE53F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r>
      <w:tr w14:paraId="413A6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6E2AB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w:t>
            </w:r>
          </w:p>
        </w:tc>
        <w:tc>
          <w:tcPr>
            <w:tcW w:w="933" w:type="dxa"/>
            <w:tcBorders>
              <w:tl2br w:val="nil"/>
              <w:tr2bl w:val="nil"/>
            </w:tcBorders>
            <w:vAlign w:val="center"/>
          </w:tcPr>
          <w:p w14:paraId="61E3B4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499" w:type="dxa"/>
            <w:tcBorders>
              <w:tl2br w:val="nil"/>
              <w:tr2bl w:val="nil"/>
            </w:tcBorders>
            <w:vAlign w:val="center"/>
          </w:tcPr>
          <w:p w14:paraId="71B7F5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5.608</w:t>
            </w:r>
          </w:p>
        </w:tc>
        <w:tc>
          <w:tcPr>
            <w:tcW w:w="1284" w:type="dxa"/>
            <w:tcBorders>
              <w:tl2br w:val="nil"/>
              <w:tr2bl w:val="nil"/>
            </w:tcBorders>
            <w:vAlign w:val="center"/>
          </w:tcPr>
          <w:p w14:paraId="4FABB9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2.804</w:t>
            </w:r>
          </w:p>
        </w:tc>
        <w:tc>
          <w:tcPr>
            <w:tcW w:w="1571" w:type="dxa"/>
            <w:tcBorders>
              <w:tl2br w:val="nil"/>
              <w:tr2bl w:val="nil"/>
            </w:tcBorders>
            <w:vAlign w:val="center"/>
          </w:tcPr>
          <w:p w14:paraId="7E035B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488" w:type="dxa"/>
            <w:tcBorders>
              <w:tl2br w:val="nil"/>
              <w:tr2bl w:val="nil"/>
            </w:tcBorders>
            <w:vAlign w:val="center"/>
          </w:tcPr>
          <w:p w14:paraId="65C556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0.5608</w:t>
            </w:r>
          </w:p>
        </w:tc>
        <w:tc>
          <w:tcPr>
            <w:tcW w:w="1025" w:type="dxa"/>
            <w:tcBorders>
              <w:tl2br w:val="nil"/>
              <w:tr2bl w:val="nil"/>
            </w:tcBorders>
            <w:vAlign w:val="center"/>
          </w:tcPr>
          <w:p w14:paraId="4D53A0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5.608</w:t>
            </w:r>
          </w:p>
        </w:tc>
      </w:tr>
      <w:tr w14:paraId="3E9F8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8C211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w:t>
            </w:r>
          </w:p>
        </w:tc>
        <w:tc>
          <w:tcPr>
            <w:tcW w:w="933" w:type="dxa"/>
            <w:tcBorders>
              <w:tl2br w:val="nil"/>
              <w:tr2bl w:val="nil"/>
            </w:tcBorders>
            <w:vAlign w:val="center"/>
          </w:tcPr>
          <w:p w14:paraId="56DB45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499" w:type="dxa"/>
            <w:tcBorders>
              <w:tl2br w:val="nil"/>
              <w:tr2bl w:val="nil"/>
            </w:tcBorders>
            <w:vAlign w:val="center"/>
          </w:tcPr>
          <w:p w14:paraId="5387311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7.449</w:t>
            </w:r>
          </w:p>
        </w:tc>
        <w:tc>
          <w:tcPr>
            <w:tcW w:w="1284" w:type="dxa"/>
            <w:tcBorders>
              <w:tl2br w:val="nil"/>
              <w:tr2bl w:val="nil"/>
            </w:tcBorders>
            <w:vAlign w:val="center"/>
          </w:tcPr>
          <w:p w14:paraId="62F25A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3.7245</w:t>
            </w:r>
          </w:p>
        </w:tc>
        <w:tc>
          <w:tcPr>
            <w:tcW w:w="1571" w:type="dxa"/>
            <w:tcBorders>
              <w:tl2br w:val="nil"/>
              <w:tr2bl w:val="nil"/>
            </w:tcBorders>
            <w:vAlign w:val="center"/>
          </w:tcPr>
          <w:p w14:paraId="3F2875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488" w:type="dxa"/>
            <w:tcBorders>
              <w:tl2br w:val="nil"/>
              <w:tr2bl w:val="nil"/>
            </w:tcBorders>
            <w:vAlign w:val="center"/>
          </w:tcPr>
          <w:p w14:paraId="651D0E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0.7449</w:t>
            </w:r>
          </w:p>
        </w:tc>
        <w:tc>
          <w:tcPr>
            <w:tcW w:w="1025" w:type="dxa"/>
            <w:tcBorders>
              <w:tl2br w:val="nil"/>
              <w:tr2bl w:val="nil"/>
            </w:tcBorders>
            <w:vAlign w:val="center"/>
          </w:tcPr>
          <w:p w14:paraId="475313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7.449</w:t>
            </w:r>
          </w:p>
        </w:tc>
      </w:tr>
      <w:tr w14:paraId="52DE7C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11959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3</w:t>
            </w:r>
          </w:p>
        </w:tc>
        <w:tc>
          <w:tcPr>
            <w:tcW w:w="933" w:type="dxa"/>
            <w:tcBorders>
              <w:tl2br w:val="nil"/>
              <w:tr2bl w:val="nil"/>
            </w:tcBorders>
            <w:vAlign w:val="center"/>
          </w:tcPr>
          <w:p w14:paraId="027ADD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249</w:t>
            </w:r>
          </w:p>
        </w:tc>
        <w:tc>
          <w:tcPr>
            <w:tcW w:w="1499" w:type="dxa"/>
            <w:tcBorders>
              <w:tl2br w:val="nil"/>
              <w:tr2bl w:val="nil"/>
            </w:tcBorders>
            <w:vAlign w:val="center"/>
          </w:tcPr>
          <w:p w14:paraId="5EDB3C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7.657</w:t>
            </w:r>
          </w:p>
        </w:tc>
        <w:tc>
          <w:tcPr>
            <w:tcW w:w="1284" w:type="dxa"/>
            <w:tcBorders>
              <w:tl2br w:val="nil"/>
              <w:tr2bl w:val="nil"/>
            </w:tcBorders>
            <w:vAlign w:val="center"/>
          </w:tcPr>
          <w:p w14:paraId="36D300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3.8285</w:t>
            </w:r>
          </w:p>
        </w:tc>
        <w:tc>
          <w:tcPr>
            <w:tcW w:w="1571" w:type="dxa"/>
            <w:tcBorders>
              <w:tl2br w:val="nil"/>
              <w:tr2bl w:val="nil"/>
            </w:tcBorders>
            <w:vAlign w:val="center"/>
          </w:tcPr>
          <w:p w14:paraId="4938E2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249</w:t>
            </w:r>
          </w:p>
        </w:tc>
        <w:tc>
          <w:tcPr>
            <w:tcW w:w="1488" w:type="dxa"/>
            <w:tcBorders>
              <w:tl2br w:val="nil"/>
              <w:tr2bl w:val="nil"/>
            </w:tcBorders>
            <w:vAlign w:val="center"/>
          </w:tcPr>
          <w:p w14:paraId="577136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0.7657</w:t>
            </w:r>
          </w:p>
        </w:tc>
        <w:tc>
          <w:tcPr>
            <w:tcW w:w="1025" w:type="dxa"/>
            <w:tcBorders>
              <w:tl2br w:val="nil"/>
              <w:tr2bl w:val="nil"/>
            </w:tcBorders>
            <w:vAlign w:val="center"/>
          </w:tcPr>
          <w:p w14:paraId="7FE081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7.6569998</w:t>
            </w:r>
          </w:p>
        </w:tc>
      </w:tr>
      <w:tr w14:paraId="1CBEF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CD2E6E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4</w:t>
            </w:r>
          </w:p>
        </w:tc>
        <w:tc>
          <w:tcPr>
            <w:tcW w:w="933" w:type="dxa"/>
            <w:tcBorders>
              <w:tl2br w:val="nil"/>
              <w:tr2bl w:val="nil"/>
            </w:tcBorders>
            <w:vAlign w:val="center"/>
          </w:tcPr>
          <w:p w14:paraId="551271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499" w:type="dxa"/>
            <w:tcBorders>
              <w:tl2br w:val="nil"/>
              <w:tr2bl w:val="nil"/>
            </w:tcBorders>
            <w:vAlign w:val="center"/>
          </w:tcPr>
          <w:p w14:paraId="06EBD9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7.487</w:t>
            </w:r>
          </w:p>
        </w:tc>
        <w:tc>
          <w:tcPr>
            <w:tcW w:w="1284" w:type="dxa"/>
            <w:tcBorders>
              <w:tl2br w:val="nil"/>
              <w:tr2bl w:val="nil"/>
            </w:tcBorders>
            <w:vAlign w:val="center"/>
          </w:tcPr>
          <w:p w14:paraId="315B31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3.7435</w:t>
            </w:r>
          </w:p>
        </w:tc>
        <w:tc>
          <w:tcPr>
            <w:tcW w:w="1571" w:type="dxa"/>
            <w:tcBorders>
              <w:tl2br w:val="nil"/>
              <w:tr2bl w:val="nil"/>
            </w:tcBorders>
            <w:vAlign w:val="center"/>
          </w:tcPr>
          <w:p w14:paraId="7795DA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488" w:type="dxa"/>
            <w:tcBorders>
              <w:tl2br w:val="nil"/>
              <w:tr2bl w:val="nil"/>
            </w:tcBorders>
            <w:vAlign w:val="center"/>
          </w:tcPr>
          <w:p w14:paraId="761422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0.7487</w:t>
            </w:r>
          </w:p>
        </w:tc>
        <w:tc>
          <w:tcPr>
            <w:tcW w:w="1025" w:type="dxa"/>
            <w:tcBorders>
              <w:tl2br w:val="nil"/>
              <w:tr2bl w:val="nil"/>
            </w:tcBorders>
            <w:vAlign w:val="center"/>
          </w:tcPr>
          <w:p w14:paraId="40DC09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7.487</w:t>
            </w:r>
          </w:p>
        </w:tc>
      </w:tr>
      <w:tr w14:paraId="0E1E8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89486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5</w:t>
            </w:r>
          </w:p>
        </w:tc>
        <w:tc>
          <w:tcPr>
            <w:tcW w:w="933" w:type="dxa"/>
            <w:tcBorders>
              <w:tl2br w:val="nil"/>
              <w:tr2bl w:val="nil"/>
            </w:tcBorders>
            <w:vAlign w:val="center"/>
          </w:tcPr>
          <w:p w14:paraId="033A03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499" w:type="dxa"/>
            <w:tcBorders>
              <w:tl2br w:val="nil"/>
              <w:tr2bl w:val="nil"/>
            </w:tcBorders>
            <w:vAlign w:val="center"/>
          </w:tcPr>
          <w:p w14:paraId="3CD943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6.725</w:t>
            </w:r>
          </w:p>
        </w:tc>
        <w:tc>
          <w:tcPr>
            <w:tcW w:w="1284" w:type="dxa"/>
            <w:tcBorders>
              <w:tl2br w:val="nil"/>
              <w:tr2bl w:val="nil"/>
            </w:tcBorders>
            <w:vAlign w:val="center"/>
          </w:tcPr>
          <w:p w14:paraId="3E03C3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3.3625</w:t>
            </w:r>
          </w:p>
        </w:tc>
        <w:tc>
          <w:tcPr>
            <w:tcW w:w="1571" w:type="dxa"/>
            <w:tcBorders>
              <w:tl2br w:val="nil"/>
              <w:tr2bl w:val="nil"/>
            </w:tcBorders>
            <w:vAlign w:val="center"/>
          </w:tcPr>
          <w:p w14:paraId="49B807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488" w:type="dxa"/>
            <w:tcBorders>
              <w:tl2br w:val="nil"/>
              <w:tr2bl w:val="nil"/>
            </w:tcBorders>
            <w:vAlign w:val="center"/>
          </w:tcPr>
          <w:p w14:paraId="13DEA3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0.6725</w:t>
            </w:r>
          </w:p>
        </w:tc>
        <w:tc>
          <w:tcPr>
            <w:tcW w:w="1025" w:type="dxa"/>
            <w:tcBorders>
              <w:tl2br w:val="nil"/>
              <w:tr2bl w:val="nil"/>
            </w:tcBorders>
            <w:vAlign w:val="center"/>
          </w:tcPr>
          <w:p w14:paraId="0FB52B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6.725</w:t>
            </w:r>
          </w:p>
        </w:tc>
      </w:tr>
      <w:tr w14:paraId="6B5AD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493E0F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6</w:t>
            </w:r>
          </w:p>
        </w:tc>
        <w:tc>
          <w:tcPr>
            <w:tcW w:w="933" w:type="dxa"/>
            <w:tcBorders>
              <w:tl2br w:val="nil"/>
              <w:tr2bl w:val="nil"/>
            </w:tcBorders>
            <w:vAlign w:val="center"/>
          </w:tcPr>
          <w:p w14:paraId="626EB7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499" w:type="dxa"/>
            <w:tcBorders>
              <w:tl2br w:val="nil"/>
              <w:tr2bl w:val="nil"/>
            </w:tcBorders>
            <w:vAlign w:val="center"/>
          </w:tcPr>
          <w:p w14:paraId="1B4446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5.893</w:t>
            </w:r>
          </w:p>
        </w:tc>
        <w:tc>
          <w:tcPr>
            <w:tcW w:w="1284" w:type="dxa"/>
            <w:tcBorders>
              <w:tl2br w:val="nil"/>
              <w:tr2bl w:val="nil"/>
            </w:tcBorders>
            <w:vAlign w:val="center"/>
          </w:tcPr>
          <w:p w14:paraId="43D8D9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2.9465</w:t>
            </w:r>
          </w:p>
        </w:tc>
        <w:tc>
          <w:tcPr>
            <w:tcW w:w="1571" w:type="dxa"/>
            <w:tcBorders>
              <w:tl2br w:val="nil"/>
              <w:tr2bl w:val="nil"/>
            </w:tcBorders>
            <w:vAlign w:val="center"/>
          </w:tcPr>
          <w:p w14:paraId="6141D5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488" w:type="dxa"/>
            <w:tcBorders>
              <w:tl2br w:val="nil"/>
              <w:tr2bl w:val="nil"/>
            </w:tcBorders>
            <w:vAlign w:val="center"/>
          </w:tcPr>
          <w:p w14:paraId="6D7466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0.5893</w:t>
            </w:r>
          </w:p>
        </w:tc>
        <w:tc>
          <w:tcPr>
            <w:tcW w:w="1025" w:type="dxa"/>
            <w:tcBorders>
              <w:tl2br w:val="nil"/>
              <w:tr2bl w:val="nil"/>
            </w:tcBorders>
            <w:vAlign w:val="center"/>
          </w:tcPr>
          <w:p w14:paraId="090F91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5.893</w:t>
            </w:r>
          </w:p>
        </w:tc>
      </w:tr>
      <w:tr w14:paraId="13E81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444B59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bCs/>
                <w:strike w:val="0"/>
                <w:dstrike w:val="0"/>
                <w:color w:val="auto"/>
                <w:spacing w:val="0"/>
                <w:position w:val="0"/>
                <w:sz w:val="21"/>
                <w:szCs w:val="21"/>
                <w:highlight w:val="none"/>
              </w:rPr>
              <w:t>7</w:t>
            </w:r>
          </w:p>
        </w:tc>
        <w:tc>
          <w:tcPr>
            <w:tcW w:w="933" w:type="dxa"/>
            <w:tcBorders>
              <w:tl2br w:val="nil"/>
              <w:tr2bl w:val="nil"/>
            </w:tcBorders>
            <w:vAlign w:val="center"/>
          </w:tcPr>
          <w:p w14:paraId="65BDE8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499" w:type="dxa"/>
            <w:tcBorders>
              <w:tl2br w:val="nil"/>
              <w:tr2bl w:val="nil"/>
            </w:tcBorders>
            <w:vAlign w:val="center"/>
          </w:tcPr>
          <w:p w14:paraId="154CA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5.504</w:t>
            </w:r>
          </w:p>
        </w:tc>
        <w:tc>
          <w:tcPr>
            <w:tcW w:w="1284" w:type="dxa"/>
            <w:tcBorders>
              <w:tl2br w:val="nil"/>
              <w:tr2bl w:val="nil"/>
            </w:tcBorders>
            <w:vAlign w:val="center"/>
          </w:tcPr>
          <w:p w14:paraId="309C3B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2.752</w:t>
            </w:r>
          </w:p>
        </w:tc>
        <w:tc>
          <w:tcPr>
            <w:tcW w:w="1571" w:type="dxa"/>
            <w:tcBorders>
              <w:tl2br w:val="nil"/>
              <w:tr2bl w:val="nil"/>
            </w:tcBorders>
            <w:vAlign w:val="center"/>
          </w:tcPr>
          <w:p w14:paraId="50BCCE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488" w:type="dxa"/>
            <w:tcBorders>
              <w:tl2br w:val="nil"/>
              <w:tr2bl w:val="nil"/>
            </w:tcBorders>
            <w:vAlign w:val="center"/>
          </w:tcPr>
          <w:p w14:paraId="75D000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0.5504</w:t>
            </w:r>
          </w:p>
        </w:tc>
        <w:tc>
          <w:tcPr>
            <w:tcW w:w="1025" w:type="dxa"/>
            <w:tcBorders>
              <w:tl2br w:val="nil"/>
              <w:tr2bl w:val="nil"/>
            </w:tcBorders>
            <w:vAlign w:val="center"/>
          </w:tcPr>
          <w:p w14:paraId="0B8EED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5.504</w:t>
            </w:r>
          </w:p>
        </w:tc>
      </w:tr>
      <w:tr w14:paraId="74E45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FD9C0D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8</w:t>
            </w:r>
          </w:p>
        </w:tc>
        <w:tc>
          <w:tcPr>
            <w:tcW w:w="933" w:type="dxa"/>
            <w:tcBorders>
              <w:tl2br w:val="nil"/>
              <w:tr2bl w:val="nil"/>
            </w:tcBorders>
            <w:vAlign w:val="center"/>
          </w:tcPr>
          <w:p w14:paraId="00BD16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499" w:type="dxa"/>
            <w:tcBorders>
              <w:tl2br w:val="nil"/>
              <w:tr2bl w:val="nil"/>
            </w:tcBorders>
            <w:vAlign w:val="center"/>
          </w:tcPr>
          <w:p w14:paraId="404FC4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5.339</w:t>
            </w:r>
          </w:p>
        </w:tc>
        <w:tc>
          <w:tcPr>
            <w:tcW w:w="1284" w:type="dxa"/>
            <w:tcBorders>
              <w:tl2br w:val="nil"/>
              <w:tr2bl w:val="nil"/>
            </w:tcBorders>
            <w:vAlign w:val="center"/>
          </w:tcPr>
          <w:p w14:paraId="47E2A6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2.6695</w:t>
            </w:r>
          </w:p>
        </w:tc>
        <w:tc>
          <w:tcPr>
            <w:tcW w:w="1571" w:type="dxa"/>
            <w:tcBorders>
              <w:tl2br w:val="nil"/>
              <w:tr2bl w:val="nil"/>
            </w:tcBorders>
            <w:vAlign w:val="center"/>
          </w:tcPr>
          <w:p w14:paraId="21FEAA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488" w:type="dxa"/>
            <w:tcBorders>
              <w:tl2br w:val="nil"/>
              <w:tr2bl w:val="nil"/>
            </w:tcBorders>
            <w:vAlign w:val="center"/>
          </w:tcPr>
          <w:p w14:paraId="2DEE56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0.5339</w:t>
            </w:r>
          </w:p>
        </w:tc>
        <w:tc>
          <w:tcPr>
            <w:tcW w:w="1025" w:type="dxa"/>
            <w:tcBorders>
              <w:tl2br w:val="nil"/>
              <w:tr2bl w:val="nil"/>
            </w:tcBorders>
            <w:vAlign w:val="center"/>
          </w:tcPr>
          <w:p w14:paraId="4EF2B8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5.339</w:t>
            </w:r>
          </w:p>
        </w:tc>
      </w:tr>
      <w:tr w14:paraId="5BC04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275AB4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9</w:t>
            </w:r>
          </w:p>
        </w:tc>
        <w:tc>
          <w:tcPr>
            <w:tcW w:w="933" w:type="dxa"/>
            <w:tcBorders>
              <w:tl2br w:val="nil"/>
              <w:tr2bl w:val="nil"/>
            </w:tcBorders>
            <w:vAlign w:val="center"/>
          </w:tcPr>
          <w:p w14:paraId="33AC26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499" w:type="dxa"/>
            <w:tcBorders>
              <w:tl2br w:val="nil"/>
              <w:tr2bl w:val="nil"/>
            </w:tcBorders>
            <w:vAlign w:val="center"/>
          </w:tcPr>
          <w:p w14:paraId="0C4057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5.125</w:t>
            </w:r>
          </w:p>
        </w:tc>
        <w:tc>
          <w:tcPr>
            <w:tcW w:w="1284" w:type="dxa"/>
            <w:tcBorders>
              <w:tl2br w:val="nil"/>
              <w:tr2bl w:val="nil"/>
            </w:tcBorders>
            <w:vAlign w:val="center"/>
          </w:tcPr>
          <w:p w14:paraId="6D239F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2.5625</w:t>
            </w:r>
          </w:p>
        </w:tc>
        <w:tc>
          <w:tcPr>
            <w:tcW w:w="1571" w:type="dxa"/>
            <w:tcBorders>
              <w:tl2br w:val="nil"/>
              <w:tr2bl w:val="nil"/>
            </w:tcBorders>
            <w:vAlign w:val="center"/>
          </w:tcPr>
          <w:p w14:paraId="4C3FC3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488" w:type="dxa"/>
            <w:tcBorders>
              <w:tl2br w:val="nil"/>
              <w:tr2bl w:val="nil"/>
            </w:tcBorders>
            <w:vAlign w:val="center"/>
          </w:tcPr>
          <w:p w14:paraId="579C50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0.5125</w:t>
            </w:r>
          </w:p>
        </w:tc>
        <w:tc>
          <w:tcPr>
            <w:tcW w:w="1025" w:type="dxa"/>
            <w:tcBorders>
              <w:tl2br w:val="nil"/>
              <w:tr2bl w:val="nil"/>
            </w:tcBorders>
            <w:vAlign w:val="center"/>
          </w:tcPr>
          <w:p w14:paraId="2DF576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5.125</w:t>
            </w:r>
          </w:p>
        </w:tc>
      </w:tr>
      <w:tr w14:paraId="3ED25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DEFD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10</w:t>
            </w:r>
          </w:p>
        </w:tc>
        <w:tc>
          <w:tcPr>
            <w:tcW w:w="933" w:type="dxa"/>
            <w:tcBorders>
              <w:tl2br w:val="nil"/>
              <w:tr2bl w:val="nil"/>
            </w:tcBorders>
            <w:vAlign w:val="center"/>
          </w:tcPr>
          <w:p w14:paraId="5A40C0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499" w:type="dxa"/>
            <w:tcBorders>
              <w:tl2br w:val="nil"/>
              <w:tr2bl w:val="nil"/>
            </w:tcBorders>
            <w:vAlign w:val="center"/>
          </w:tcPr>
          <w:p w14:paraId="137CCC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4.89</w:t>
            </w:r>
          </w:p>
        </w:tc>
        <w:tc>
          <w:tcPr>
            <w:tcW w:w="1284" w:type="dxa"/>
            <w:tcBorders>
              <w:tl2br w:val="nil"/>
              <w:tr2bl w:val="nil"/>
            </w:tcBorders>
            <w:vAlign w:val="center"/>
          </w:tcPr>
          <w:p w14:paraId="4694EC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2.445</w:t>
            </w:r>
          </w:p>
        </w:tc>
        <w:tc>
          <w:tcPr>
            <w:tcW w:w="1571" w:type="dxa"/>
            <w:tcBorders>
              <w:tl2br w:val="nil"/>
              <w:tr2bl w:val="nil"/>
            </w:tcBorders>
            <w:vAlign w:val="center"/>
          </w:tcPr>
          <w:p w14:paraId="24E60A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488" w:type="dxa"/>
            <w:tcBorders>
              <w:tl2br w:val="nil"/>
              <w:tr2bl w:val="nil"/>
            </w:tcBorders>
            <w:vAlign w:val="center"/>
          </w:tcPr>
          <w:p w14:paraId="1EFF45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0.489</w:t>
            </w:r>
          </w:p>
        </w:tc>
        <w:tc>
          <w:tcPr>
            <w:tcW w:w="1025" w:type="dxa"/>
            <w:tcBorders>
              <w:tl2br w:val="nil"/>
              <w:tr2bl w:val="nil"/>
            </w:tcBorders>
            <w:vAlign w:val="center"/>
          </w:tcPr>
          <w:p w14:paraId="0A9A22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4.89</w:t>
            </w:r>
          </w:p>
        </w:tc>
      </w:tr>
      <w:tr w14:paraId="0D50E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E892F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11</w:t>
            </w:r>
          </w:p>
        </w:tc>
        <w:tc>
          <w:tcPr>
            <w:tcW w:w="933" w:type="dxa"/>
            <w:tcBorders>
              <w:tl2br w:val="nil"/>
              <w:tr2bl w:val="nil"/>
            </w:tcBorders>
            <w:vAlign w:val="center"/>
          </w:tcPr>
          <w:p w14:paraId="692CEC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499" w:type="dxa"/>
            <w:tcBorders>
              <w:tl2br w:val="nil"/>
              <w:tr2bl w:val="nil"/>
            </w:tcBorders>
            <w:vAlign w:val="center"/>
          </w:tcPr>
          <w:p w14:paraId="3C0F69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4.655</w:t>
            </w:r>
          </w:p>
        </w:tc>
        <w:tc>
          <w:tcPr>
            <w:tcW w:w="1284" w:type="dxa"/>
            <w:tcBorders>
              <w:tl2br w:val="nil"/>
              <w:tr2bl w:val="nil"/>
            </w:tcBorders>
            <w:vAlign w:val="center"/>
          </w:tcPr>
          <w:p w14:paraId="7AE806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2.3275</w:t>
            </w:r>
          </w:p>
        </w:tc>
        <w:tc>
          <w:tcPr>
            <w:tcW w:w="1571" w:type="dxa"/>
            <w:tcBorders>
              <w:tl2br w:val="nil"/>
              <w:tr2bl w:val="nil"/>
            </w:tcBorders>
            <w:vAlign w:val="center"/>
          </w:tcPr>
          <w:p w14:paraId="1F1B32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488" w:type="dxa"/>
            <w:tcBorders>
              <w:tl2br w:val="nil"/>
              <w:tr2bl w:val="nil"/>
            </w:tcBorders>
            <w:vAlign w:val="center"/>
          </w:tcPr>
          <w:p w14:paraId="514085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0.4655</w:t>
            </w:r>
          </w:p>
        </w:tc>
        <w:tc>
          <w:tcPr>
            <w:tcW w:w="1025" w:type="dxa"/>
            <w:tcBorders>
              <w:tl2br w:val="nil"/>
              <w:tr2bl w:val="nil"/>
            </w:tcBorders>
            <w:vAlign w:val="center"/>
          </w:tcPr>
          <w:p w14:paraId="05E5BC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4.655</w:t>
            </w:r>
          </w:p>
        </w:tc>
      </w:tr>
      <w:tr w14:paraId="3A2A9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64AC2D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12</w:t>
            </w:r>
          </w:p>
        </w:tc>
        <w:tc>
          <w:tcPr>
            <w:tcW w:w="933" w:type="dxa"/>
            <w:tcBorders>
              <w:tl2br w:val="nil"/>
              <w:tr2bl w:val="nil"/>
            </w:tcBorders>
            <w:vAlign w:val="center"/>
          </w:tcPr>
          <w:p w14:paraId="7C32EA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499" w:type="dxa"/>
            <w:tcBorders>
              <w:tl2br w:val="nil"/>
              <w:tr2bl w:val="nil"/>
            </w:tcBorders>
            <w:vAlign w:val="center"/>
          </w:tcPr>
          <w:p w14:paraId="2847E6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4.425</w:t>
            </w:r>
          </w:p>
        </w:tc>
        <w:tc>
          <w:tcPr>
            <w:tcW w:w="1284" w:type="dxa"/>
            <w:tcBorders>
              <w:tl2br w:val="nil"/>
              <w:tr2bl w:val="nil"/>
            </w:tcBorders>
            <w:vAlign w:val="center"/>
          </w:tcPr>
          <w:p w14:paraId="162FCA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2.2125</w:t>
            </w:r>
          </w:p>
        </w:tc>
        <w:tc>
          <w:tcPr>
            <w:tcW w:w="1571" w:type="dxa"/>
            <w:tcBorders>
              <w:tl2br w:val="nil"/>
              <w:tr2bl w:val="nil"/>
            </w:tcBorders>
            <w:vAlign w:val="center"/>
          </w:tcPr>
          <w:p w14:paraId="7A3B68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488" w:type="dxa"/>
            <w:tcBorders>
              <w:tl2br w:val="nil"/>
              <w:tr2bl w:val="nil"/>
            </w:tcBorders>
            <w:vAlign w:val="center"/>
          </w:tcPr>
          <w:p w14:paraId="3F8ED1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0.4425</w:t>
            </w:r>
          </w:p>
        </w:tc>
        <w:tc>
          <w:tcPr>
            <w:tcW w:w="1025" w:type="dxa"/>
            <w:tcBorders>
              <w:tl2br w:val="nil"/>
              <w:tr2bl w:val="nil"/>
            </w:tcBorders>
            <w:vAlign w:val="center"/>
          </w:tcPr>
          <w:p w14:paraId="67B3C5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4.425</w:t>
            </w:r>
          </w:p>
        </w:tc>
      </w:tr>
      <w:tr w14:paraId="2B6A1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1F655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13</w:t>
            </w:r>
          </w:p>
        </w:tc>
        <w:tc>
          <w:tcPr>
            <w:tcW w:w="933" w:type="dxa"/>
            <w:tcBorders>
              <w:tl2br w:val="nil"/>
              <w:tr2bl w:val="nil"/>
            </w:tcBorders>
            <w:vAlign w:val="center"/>
          </w:tcPr>
          <w:p w14:paraId="113C02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499" w:type="dxa"/>
            <w:tcBorders>
              <w:tl2br w:val="nil"/>
              <w:tr2bl w:val="nil"/>
            </w:tcBorders>
            <w:vAlign w:val="center"/>
          </w:tcPr>
          <w:p w14:paraId="200BC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4.206</w:t>
            </w:r>
          </w:p>
        </w:tc>
        <w:tc>
          <w:tcPr>
            <w:tcW w:w="1284" w:type="dxa"/>
            <w:tcBorders>
              <w:tl2br w:val="nil"/>
              <w:tr2bl w:val="nil"/>
            </w:tcBorders>
            <w:vAlign w:val="center"/>
          </w:tcPr>
          <w:p w14:paraId="3670D3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2.103</w:t>
            </w:r>
          </w:p>
        </w:tc>
        <w:tc>
          <w:tcPr>
            <w:tcW w:w="1571" w:type="dxa"/>
            <w:tcBorders>
              <w:tl2br w:val="nil"/>
              <w:tr2bl w:val="nil"/>
            </w:tcBorders>
            <w:vAlign w:val="center"/>
          </w:tcPr>
          <w:p w14:paraId="1F72BC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488" w:type="dxa"/>
            <w:tcBorders>
              <w:tl2br w:val="nil"/>
              <w:tr2bl w:val="nil"/>
            </w:tcBorders>
            <w:vAlign w:val="center"/>
          </w:tcPr>
          <w:p w14:paraId="441300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0.4206</w:t>
            </w:r>
          </w:p>
        </w:tc>
        <w:tc>
          <w:tcPr>
            <w:tcW w:w="1025" w:type="dxa"/>
            <w:tcBorders>
              <w:tl2br w:val="nil"/>
              <w:tr2bl w:val="nil"/>
            </w:tcBorders>
            <w:vAlign w:val="center"/>
          </w:tcPr>
          <w:p w14:paraId="686DA1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4.206</w:t>
            </w:r>
          </w:p>
        </w:tc>
      </w:tr>
      <w:tr w14:paraId="6F523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FA19B7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14</w:t>
            </w:r>
          </w:p>
        </w:tc>
        <w:tc>
          <w:tcPr>
            <w:tcW w:w="933" w:type="dxa"/>
            <w:tcBorders>
              <w:tl2br w:val="nil"/>
              <w:tr2bl w:val="nil"/>
            </w:tcBorders>
            <w:vAlign w:val="center"/>
          </w:tcPr>
          <w:p w14:paraId="4BEF73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499" w:type="dxa"/>
            <w:tcBorders>
              <w:tl2br w:val="nil"/>
              <w:tr2bl w:val="nil"/>
            </w:tcBorders>
            <w:vAlign w:val="center"/>
          </w:tcPr>
          <w:p w14:paraId="715459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4.001</w:t>
            </w:r>
          </w:p>
        </w:tc>
        <w:tc>
          <w:tcPr>
            <w:tcW w:w="1284" w:type="dxa"/>
            <w:tcBorders>
              <w:tl2br w:val="nil"/>
              <w:tr2bl w:val="nil"/>
            </w:tcBorders>
            <w:vAlign w:val="center"/>
          </w:tcPr>
          <w:p w14:paraId="48DA64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2.0005</w:t>
            </w:r>
          </w:p>
        </w:tc>
        <w:tc>
          <w:tcPr>
            <w:tcW w:w="1571" w:type="dxa"/>
            <w:tcBorders>
              <w:tl2br w:val="nil"/>
              <w:tr2bl w:val="nil"/>
            </w:tcBorders>
            <w:vAlign w:val="center"/>
          </w:tcPr>
          <w:p w14:paraId="3C93BD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488" w:type="dxa"/>
            <w:tcBorders>
              <w:tl2br w:val="nil"/>
              <w:tr2bl w:val="nil"/>
            </w:tcBorders>
            <w:vAlign w:val="center"/>
          </w:tcPr>
          <w:p w14:paraId="0DACD2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0.4001</w:t>
            </w:r>
          </w:p>
        </w:tc>
        <w:tc>
          <w:tcPr>
            <w:tcW w:w="1025" w:type="dxa"/>
            <w:tcBorders>
              <w:tl2br w:val="nil"/>
              <w:tr2bl w:val="nil"/>
            </w:tcBorders>
            <w:vAlign w:val="center"/>
          </w:tcPr>
          <w:p w14:paraId="1EF249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4.001</w:t>
            </w:r>
          </w:p>
        </w:tc>
      </w:tr>
      <w:tr w14:paraId="1E2D6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8498CE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15</w:t>
            </w:r>
          </w:p>
        </w:tc>
        <w:tc>
          <w:tcPr>
            <w:tcW w:w="933" w:type="dxa"/>
            <w:tcBorders>
              <w:tl2br w:val="nil"/>
              <w:tr2bl w:val="nil"/>
            </w:tcBorders>
            <w:vAlign w:val="center"/>
          </w:tcPr>
          <w:p w14:paraId="632F7F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499" w:type="dxa"/>
            <w:tcBorders>
              <w:tl2br w:val="nil"/>
              <w:tr2bl w:val="nil"/>
            </w:tcBorders>
            <w:vAlign w:val="center"/>
          </w:tcPr>
          <w:p w14:paraId="67B0C75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3.808</w:t>
            </w:r>
          </w:p>
        </w:tc>
        <w:tc>
          <w:tcPr>
            <w:tcW w:w="1284" w:type="dxa"/>
            <w:tcBorders>
              <w:tl2br w:val="nil"/>
              <w:tr2bl w:val="nil"/>
            </w:tcBorders>
            <w:vAlign w:val="center"/>
          </w:tcPr>
          <w:p w14:paraId="0F3349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1.904</w:t>
            </w:r>
          </w:p>
        </w:tc>
        <w:tc>
          <w:tcPr>
            <w:tcW w:w="1571" w:type="dxa"/>
            <w:tcBorders>
              <w:tl2br w:val="nil"/>
              <w:tr2bl w:val="nil"/>
            </w:tcBorders>
            <w:vAlign w:val="center"/>
          </w:tcPr>
          <w:p w14:paraId="1BD30D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488" w:type="dxa"/>
            <w:tcBorders>
              <w:tl2br w:val="nil"/>
              <w:tr2bl w:val="nil"/>
            </w:tcBorders>
            <w:vAlign w:val="center"/>
          </w:tcPr>
          <w:p w14:paraId="010D48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0.3808</w:t>
            </w:r>
          </w:p>
        </w:tc>
        <w:tc>
          <w:tcPr>
            <w:tcW w:w="1025" w:type="dxa"/>
            <w:tcBorders>
              <w:tl2br w:val="nil"/>
              <w:tr2bl w:val="nil"/>
            </w:tcBorders>
            <w:vAlign w:val="center"/>
          </w:tcPr>
          <w:p w14:paraId="1E2DDB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3.808</w:t>
            </w:r>
          </w:p>
        </w:tc>
      </w:tr>
      <w:tr w14:paraId="31BA9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42B5AF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16</w:t>
            </w:r>
          </w:p>
        </w:tc>
        <w:tc>
          <w:tcPr>
            <w:tcW w:w="933" w:type="dxa"/>
            <w:tcBorders>
              <w:tl2br w:val="nil"/>
              <w:tr2bl w:val="nil"/>
            </w:tcBorders>
            <w:vAlign w:val="center"/>
          </w:tcPr>
          <w:p w14:paraId="4D542D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499" w:type="dxa"/>
            <w:tcBorders>
              <w:tl2br w:val="nil"/>
              <w:tr2bl w:val="nil"/>
            </w:tcBorders>
            <w:vAlign w:val="center"/>
          </w:tcPr>
          <w:p w14:paraId="7F6CEE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3.628</w:t>
            </w:r>
          </w:p>
        </w:tc>
        <w:tc>
          <w:tcPr>
            <w:tcW w:w="1284" w:type="dxa"/>
            <w:tcBorders>
              <w:tl2br w:val="nil"/>
              <w:tr2bl w:val="nil"/>
            </w:tcBorders>
            <w:vAlign w:val="center"/>
          </w:tcPr>
          <w:p w14:paraId="2A2E53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1.814</w:t>
            </w:r>
          </w:p>
        </w:tc>
        <w:tc>
          <w:tcPr>
            <w:tcW w:w="1571" w:type="dxa"/>
            <w:tcBorders>
              <w:tl2br w:val="nil"/>
              <w:tr2bl w:val="nil"/>
            </w:tcBorders>
            <w:vAlign w:val="center"/>
          </w:tcPr>
          <w:p w14:paraId="0FF2D6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488" w:type="dxa"/>
            <w:tcBorders>
              <w:tl2br w:val="nil"/>
              <w:tr2bl w:val="nil"/>
            </w:tcBorders>
            <w:vAlign w:val="center"/>
          </w:tcPr>
          <w:p w14:paraId="16A53F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0.3628</w:t>
            </w:r>
          </w:p>
        </w:tc>
        <w:tc>
          <w:tcPr>
            <w:tcW w:w="1025" w:type="dxa"/>
            <w:tcBorders>
              <w:tl2br w:val="nil"/>
              <w:tr2bl w:val="nil"/>
            </w:tcBorders>
            <w:vAlign w:val="center"/>
          </w:tcPr>
          <w:p w14:paraId="11E0CA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3.628</w:t>
            </w:r>
          </w:p>
        </w:tc>
      </w:tr>
      <w:tr w14:paraId="22BBB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A684F9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17</w:t>
            </w:r>
          </w:p>
        </w:tc>
        <w:tc>
          <w:tcPr>
            <w:tcW w:w="933" w:type="dxa"/>
            <w:tcBorders>
              <w:tl2br w:val="nil"/>
              <w:tr2bl w:val="nil"/>
            </w:tcBorders>
            <w:vAlign w:val="center"/>
          </w:tcPr>
          <w:p w14:paraId="55F560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499" w:type="dxa"/>
            <w:tcBorders>
              <w:tl2br w:val="nil"/>
              <w:tr2bl w:val="nil"/>
            </w:tcBorders>
            <w:vAlign w:val="center"/>
          </w:tcPr>
          <w:p w14:paraId="6D47EF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3.462</w:t>
            </w:r>
          </w:p>
        </w:tc>
        <w:tc>
          <w:tcPr>
            <w:tcW w:w="1284" w:type="dxa"/>
            <w:tcBorders>
              <w:tl2br w:val="nil"/>
              <w:tr2bl w:val="nil"/>
            </w:tcBorders>
            <w:vAlign w:val="center"/>
          </w:tcPr>
          <w:p w14:paraId="2A5E48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1.731</w:t>
            </w:r>
          </w:p>
        </w:tc>
        <w:tc>
          <w:tcPr>
            <w:tcW w:w="1571" w:type="dxa"/>
            <w:tcBorders>
              <w:tl2br w:val="nil"/>
              <w:tr2bl w:val="nil"/>
            </w:tcBorders>
            <w:vAlign w:val="center"/>
          </w:tcPr>
          <w:p w14:paraId="3B83EF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488" w:type="dxa"/>
            <w:tcBorders>
              <w:tl2br w:val="nil"/>
              <w:tr2bl w:val="nil"/>
            </w:tcBorders>
            <w:vAlign w:val="center"/>
          </w:tcPr>
          <w:p w14:paraId="72D3C6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0.3462</w:t>
            </w:r>
          </w:p>
        </w:tc>
        <w:tc>
          <w:tcPr>
            <w:tcW w:w="1025" w:type="dxa"/>
            <w:tcBorders>
              <w:tl2br w:val="nil"/>
              <w:tr2bl w:val="nil"/>
            </w:tcBorders>
            <w:vAlign w:val="center"/>
          </w:tcPr>
          <w:p w14:paraId="413855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3.462</w:t>
            </w:r>
          </w:p>
        </w:tc>
      </w:tr>
      <w:tr w14:paraId="1B3B8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CAA782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18</w:t>
            </w:r>
          </w:p>
        </w:tc>
        <w:tc>
          <w:tcPr>
            <w:tcW w:w="933" w:type="dxa"/>
            <w:tcBorders>
              <w:tl2br w:val="nil"/>
              <w:tr2bl w:val="nil"/>
            </w:tcBorders>
            <w:vAlign w:val="center"/>
          </w:tcPr>
          <w:p w14:paraId="554F1D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499" w:type="dxa"/>
            <w:tcBorders>
              <w:tl2br w:val="nil"/>
              <w:tr2bl w:val="nil"/>
            </w:tcBorders>
            <w:vAlign w:val="center"/>
          </w:tcPr>
          <w:p w14:paraId="58E94B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3.308</w:t>
            </w:r>
          </w:p>
        </w:tc>
        <w:tc>
          <w:tcPr>
            <w:tcW w:w="1284" w:type="dxa"/>
            <w:tcBorders>
              <w:tl2br w:val="nil"/>
              <w:tr2bl w:val="nil"/>
            </w:tcBorders>
            <w:vAlign w:val="center"/>
          </w:tcPr>
          <w:p w14:paraId="74A5CC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1.654</w:t>
            </w:r>
          </w:p>
        </w:tc>
        <w:tc>
          <w:tcPr>
            <w:tcW w:w="1571" w:type="dxa"/>
            <w:tcBorders>
              <w:tl2br w:val="nil"/>
              <w:tr2bl w:val="nil"/>
            </w:tcBorders>
            <w:vAlign w:val="center"/>
          </w:tcPr>
          <w:p w14:paraId="601E2A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488" w:type="dxa"/>
            <w:tcBorders>
              <w:tl2br w:val="nil"/>
              <w:tr2bl w:val="nil"/>
            </w:tcBorders>
            <w:vAlign w:val="center"/>
          </w:tcPr>
          <w:p w14:paraId="0271B1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0.3308</w:t>
            </w:r>
          </w:p>
        </w:tc>
        <w:tc>
          <w:tcPr>
            <w:tcW w:w="1025" w:type="dxa"/>
            <w:tcBorders>
              <w:tl2br w:val="nil"/>
              <w:tr2bl w:val="nil"/>
            </w:tcBorders>
            <w:vAlign w:val="center"/>
          </w:tcPr>
          <w:p w14:paraId="6A5C9F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3.308</w:t>
            </w:r>
          </w:p>
        </w:tc>
      </w:tr>
      <w:tr w14:paraId="3229C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3D22A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19</w:t>
            </w:r>
          </w:p>
        </w:tc>
        <w:tc>
          <w:tcPr>
            <w:tcW w:w="933" w:type="dxa"/>
            <w:tcBorders>
              <w:tl2br w:val="nil"/>
              <w:tr2bl w:val="nil"/>
            </w:tcBorders>
            <w:vAlign w:val="center"/>
          </w:tcPr>
          <w:p w14:paraId="0479C5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499" w:type="dxa"/>
            <w:tcBorders>
              <w:tl2br w:val="nil"/>
              <w:tr2bl w:val="nil"/>
            </w:tcBorders>
            <w:vAlign w:val="center"/>
          </w:tcPr>
          <w:p w14:paraId="4D1AC8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3.178</w:t>
            </w:r>
          </w:p>
        </w:tc>
        <w:tc>
          <w:tcPr>
            <w:tcW w:w="1284" w:type="dxa"/>
            <w:tcBorders>
              <w:tl2br w:val="nil"/>
              <w:tr2bl w:val="nil"/>
            </w:tcBorders>
            <w:vAlign w:val="center"/>
          </w:tcPr>
          <w:p w14:paraId="1B9DD2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1.589</w:t>
            </w:r>
          </w:p>
        </w:tc>
        <w:tc>
          <w:tcPr>
            <w:tcW w:w="1571" w:type="dxa"/>
            <w:tcBorders>
              <w:tl2br w:val="nil"/>
              <w:tr2bl w:val="nil"/>
            </w:tcBorders>
            <w:vAlign w:val="center"/>
          </w:tcPr>
          <w:p w14:paraId="489DF2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488" w:type="dxa"/>
            <w:tcBorders>
              <w:tl2br w:val="nil"/>
              <w:tr2bl w:val="nil"/>
            </w:tcBorders>
            <w:vAlign w:val="center"/>
          </w:tcPr>
          <w:p w14:paraId="6008A6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0.3178</w:t>
            </w:r>
          </w:p>
        </w:tc>
        <w:tc>
          <w:tcPr>
            <w:tcW w:w="1025" w:type="dxa"/>
            <w:tcBorders>
              <w:tl2br w:val="nil"/>
              <w:tr2bl w:val="nil"/>
            </w:tcBorders>
            <w:vAlign w:val="center"/>
          </w:tcPr>
          <w:p w14:paraId="7E6483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3.178</w:t>
            </w:r>
          </w:p>
        </w:tc>
      </w:tr>
      <w:tr w14:paraId="50ACA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3FE5B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20</w:t>
            </w:r>
          </w:p>
        </w:tc>
        <w:tc>
          <w:tcPr>
            <w:tcW w:w="933" w:type="dxa"/>
            <w:tcBorders>
              <w:tl2br w:val="nil"/>
              <w:tr2bl w:val="nil"/>
            </w:tcBorders>
            <w:vAlign w:val="center"/>
          </w:tcPr>
          <w:p w14:paraId="655509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1900</w:t>
            </w:r>
          </w:p>
        </w:tc>
        <w:tc>
          <w:tcPr>
            <w:tcW w:w="1499" w:type="dxa"/>
            <w:tcBorders>
              <w:tl2br w:val="nil"/>
              <w:tr2bl w:val="nil"/>
            </w:tcBorders>
            <w:vAlign w:val="center"/>
          </w:tcPr>
          <w:p w14:paraId="328DC7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3.056</w:t>
            </w:r>
          </w:p>
        </w:tc>
        <w:tc>
          <w:tcPr>
            <w:tcW w:w="1284" w:type="dxa"/>
            <w:tcBorders>
              <w:tl2br w:val="nil"/>
              <w:tr2bl w:val="nil"/>
            </w:tcBorders>
            <w:vAlign w:val="center"/>
          </w:tcPr>
          <w:p w14:paraId="6BB2BA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1.528</w:t>
            </w:r>
          </w:p>
        </w:tc>
        <w:tc>
          <w:tcPr>
            <w:tcW w:w="1571" w:type="dxa"/>
            <w:tcBorders>
              <w:tl2br w:val="nil"/>
              <w:tr2bl w:val="nil"/>
            </w:tcBorders>
            <w:vAlign w:val="center"/>
          </w:tcPr>
          <w:p w14:paraId="641345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1900</w:t>
            </w:r>
          </w:p>
        </w:tc>
        <w:tc>
          <w:tcPr>
            <w:tcW w:w="1488" w:type="dxa"/>
            <w:tcBorders>
              <w:tl2br w:val="nil"/>
              <w:tr2bl w:val="nil"/>
            </w:tcBorders>
            <w:vAlign w:val="center"/>
          </w:tcPr>
          <w:p w14:paraId="3BE386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0.3056</w:t>
            </w:r>
          </w:p>
        </w:tc>
        <w:tc>
          <w:tcPr>
            <w:tcW w:w="1025" w:type="dxa"/>
            <w:tcBorders>
              <w:tl2br w:val="nil"/>
              <w:tr2bl w:val="nil"/>
            </w:tcBorders>
            <w:vAlign w:val="center"/>
          </w:tcPr>
          <w:p w14:paraId="6ABD3C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3.056</w:t>
            </w:r>
          </w:p>
        </w:tc>
      </w:tr>
      <w:tr w14:paraId="2E71D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8AA72C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21</w:t>
            </w:r>
          </w:p>
        </w:tc>
        <w:tc>
          <w:tcPr>
            <w:tcW w:w="933" w:type="dxa"/>
            <w:tcBorders>
              <w:tl2br w:val="nil"/>
              <w:tr2bl w:val="nil"/>
            </w:tcBorders>
            <w:vAlign w:val="center"/>
          </w:tcPr>
          <w:p w14:paraId="0D8D44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499" w:type="dxa"/>
            <w:tcBorders>
              <w:tl2br w:val="nil"/>
              <w:tr2bl w:val="nil"/>
            </w:tcBorders>
            <w:vAlign w:val="center"/>
          </w:tcPr>
          <w:p w14:paraId="5AAE26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2.941</w:t>
            </w:r>
          </w:p>
        </w:tc>
        <w:tc>
          <w:tcPr>
            <w:tcW w:w="1284" w:type="dxa"/>
            <w:tcBorders>
              <w:tl2br w:val="nil"/>
              <w:tr2bl w:val="nil"/>
            </w:tcBorders>
            <w:vAlign w:val="center"/>
          </w:tcPr>
          <w:p w14:paraId="1866EA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1.4705</w:t>
            </w:r>
          </w:p>
        </w:tc>
        <w:tc>
          <w:tcPr>
            <w:tcW w:w="1571" w:type="dxa"/>
            <w:tcBorders>
              <w:tl2br w:val="nil"/>
              <w:tr2bl w:val="nil"/>
            </w:tcBorders>
            <w:vAlign w:val="center"/>
          </w:tcPr>
          <w:p w14:paraId="0F0AFA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488" w:type="dxa"/>
            <w:tcBorders>
              <w:tl2br w:val="nil"/>
              <w:tr2bl w:val="nil"/>
            </w:tcBorders>
            <w:vAlign w:val="center"/>
          </w:tcPr>
          <w:p w14:paraId="6A102A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0.2941</w:t>
            </w:r>
          </w:p>
        </w:tc>
        <w:tc>
          <w:tcPr>
            <w:tcW w:w="1025" w:type="dxa"/>
            <w:tcBorders>
              <w:tl2br w:val="nil"/>
              <w:tr2bl w:val="nil"/>
            </w:tcBorders>
            <w:vAlign w:val="center"/>
          </w:tcPr>
          <w:p w14:paraId="53CB64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2.941</w:t>
            </w:r>
          </w:p>
        </w:tc>
      </w:tr>
      <w:tr w14:paraId="2F114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DECCA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22</w:t>
            </w:r>
          </w:p>
        </w:tc>
        <w:tc>
          <w:tcPr>
            <w:tcW w:w="933" w:type="dxa"/>
            <w:tcBorders>
              <w:tl2br w:val="nil"/>
              <w:tr2bl w:val="nil"/>
            </w:tcBorders>
            <w:vAlign w:val="center"/>
          </w:tcPr>
          <w:p w14:paraId="4CBFFF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499" w:type="dxa"/>
            <w:tcBorders>
              <w:tl2br w:val="nil"/>
              <w:tr2bl w:val="nil"/>
            </w:tcBorders>
            <w:vAlign w:val="center"/>
          </w:tcPr>
          <w:p w14:paraId="137578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2.837</w:t>
            </w:r>
          </w:p>
        </w:tc>
        <w:tc>
          <w:tcPr>
            <w:tcW w:w="1284" w:type="dxa"/>
            <w:tcBorders>
              <w:tl2br w:val="nil"/>
              <w:tr2bl w:val="nil"/>
            </w:tcBorders>
            <w:vAlign w:val="center"/>
          </w:tcPr>
          <w:p w14:paraId="65B9FE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1.4185</w:t>
            </w:r>
          </w:p>
        </w:tc>
        <w:tc>
          <w:tcPr>
            <w:tcW w:w="1571" w:type="dxa"/>
            <w:tcBorders>
              <w:tl2br w:val="nil"/>
              <w:tr2bl w:val="nil"/>
            </w:tcBorders>
            <w:vAlign w:val="center"/>
          </w:tcPr>
          <w:p w14:paraId="27EA99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488" w:type="dxa"/>
            <w:tcBorders>
              <w:tl2br w:val="nil"/>
              <w:tr2bl w:val="nil"/>
            </w:tcBorders>
            <w:vAlign w:val="center"/>
          </w:tcPr>
          <w:p w14:paraId="2FFAAE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0.2837</w:t>
            </w:r>
          </w:p>
        </w:tc>
        <w:tc>
          <w:tcPr>
            <w:tcW w:w="1025" w:type="dxa"/>
            <w:tcBorders>
              <w:tl2br w:val="nil"/>
              <w:tr2bl w:val="nil"/>
            </w:tcBorders>
            <w:vAlign w:val="center"/>
          </w:tcPr>
          <w:p w14:paraId="7C9741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2.837</w:t>
            </w:r>
          </w:p>
        </w:tc>
      </w:tr>
      <w:tr w14:paraId="34E6D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39CF5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23</w:t>
            </w:r>
          </w:p>
        </w:tc>
        <w:tc>
          <w:tcPr>
            <w:tcW w:w="933" w:type="dxa"/>
            <w:tcBorders>
              <w:tl2br w:val="nil"/>
              <w:tr2bl w:val="nil"/>
            </w:tcBorders>
            <w:vAlign w:val="center"/>
          </w:tcPr>
          <w:p w14:paraId="725DBC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499" w:type="dxa"/>
            <w:tcBorders>
              <w:tl2br w:val="nil"/>
              <w:tr2bl w:val="nil"/>
            </w:tcBorders>
            <w:vAlign w:val="center"/>
          </w:tcPr>
          <w:p w14:paraId="79026A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2.742</w:t>
            </w:r>
          </w:p>
        </w:tc>
        <w:tc>
          <w:tcPr>
            <w:tcW w:w="1284" w:type="dxa"/>
            <w:tcBorders>
              <w:tl2br w:val="nil"/>
              <w:tr2bl w:val="nil"/>
            </w:tcBorders>
            <w:vAlign w:val="center"/>
          </w:tcPr>
          <w:p w14:paraId="1BE7E5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1.371</w:t>
            </w:r>
          </w:p>
        </w:tc>
        <w:tc>
          <w:tcPr>
            <w:tcW w:w="1571" w:type="dxa"/>
            <w:tcBorders>
              <w:tl2br w:val="nil"/>
              <w:tr2bl w:val="nil"/>
            </w:tcBorders>
            <w:vAlign w:val="center"/>
          </w:tcPr>
          <w:p w14:paraId="59EE4A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488" w:type="dxa"/>
            <w:tcBorders>
              <w:tl2br w:val="nil"/>
              <w:tr2bl w:val="nil"/>
            </w:tcBorders>
            <w:vAlign w:val="center"/>
          </w:tcPr>
          <w:p w14:paraId="32C9A0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0.2742</w:t>
            </w:r>
          </w:p>
        </w:tc>
        <w:tc>
          <w:tcPr>
            <w:tcW w:w="1025" w:type="dxa"/>
            <w:tcBorders>
              <w:tl2br w:val="nil"/>
              <w:tr2bl w:val="nil"/>
            </w:tcBorders>
            <w:vAlign w:val="center"/>
          </w:tcPr>
          <w:p w14:paraId="544E68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2.742</w:t>
            </w:r>
          </w:p>
        </w:tc>
      </w:tr>
      <w:tr w14:paraId="1338E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C5642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24</w:t>
            </w:r>
          </w:p>
        </w:tc>
        <w:tc>
          <w:tcPr>
            <w:tcW w:w="933" w:type="dxa"/>
            <w:tcBorders>
              <w:tl2br w:val="nil"/>
              <w:tr2bl w:val="nil"/>
            </w:tcBorders>
            <w:vAlign w:val="center"/>
          </w:tcPr>
          <w:p w14:paraId="3A5122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499" w:type="dxa"/>
            <w:tcBorders>
              <w:tl2br w:val="nil"/>
              <w:tr2bl w:val="nil"/>
            </w:tcBorders>
            <w:vAlign w:val="center"/>
          </w:tcPr>
          <w:p w14:paraId="3F836B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2.651</w:t>
            </w:r>
          </w:p>
        </w:tc>
        <w:tc>
          <w:tcPr>
            <w:tcW w:w="1284" w:type="dxa"/>
            <w:tcBorders>
              <w:tl2br w:val="nil"/>
              <w:tr2bl w:val="nil"/>
            </w:tcBorders>
            <w:vAlign w:val="center"/>
          </w:tcPr>
          <w:p w14:paraId="4F1E7A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1.3255</w:t>
            </w:r>
          </w:p>
        </w:tc>
        <w:tc>
          <w:tcPr>
            <w:tcW w:w="1571" w:type="dxa"/>
            <w:tcBorders>
              <w:tl2br w:val="nil"/>
              <w:tr2bl w:val="nil"/>
            </w:tcBorders>
            <w:vAlign w:val="center"/>
          </w:tcPr>
          <w:p w14:paraId="256DEC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488" w:type="dxa"/>
            <w:tcBorders>
              <w:tl2br w:val="nil"/>
              <w:tr2bl w:val="nil"/>
            </w:tcBorders>
            <w:vAlign w:val="center"/>
          </w:tcPr>
          <w:p w14:paraId="3EC9F6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0.2651</w:t>
            </w:r>
          </w:p>
        </w:tc>
        <w:tc>
          <w:tcPr>
            <w:tcW w:w="1025" w:type="dxa"/>
            <w:tcBorders>
              <w:tl2br w:val="nil"/>
              <w:tr2bl w:val="nil"/>
            </w:tcBorders>
            <w:vAlign w:val="center"/>
          </w:tcPr>
          <w:p w14:paraId="765256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2.651</w:t>
            </w:r>
          </w:p>
        </w:tc>
      </w:tr>
      <w:tr w14:paraId="5FB08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5AED3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25</w:t>
            </w:r>
          </w:p>
        </w:tc>
        <w:tc>
          <w:tcPr>
            <w:tcW w:w="933" w:type="dxa"/>
            <w:tcBorders>
              <w:tl2br w:val="nil"/>
              <w:tr2bl w:val="nil"/>
            </w:tcBorders>
            <w:vAlign w:val="center"/>
          </w:tcPr>
          <w:p w14:paraId="1BCF94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2400</w:t>
            </w:r>
          </w:p>
        </w:tc>
        <w:tc>
          <w:tcPr>
            <w:tcW w:w="1499" w:type="dxa"/>
            <w:tcBorders>
              <w:tl2br w:val="nil"/>
              <w:tr2bl w:val="nil"/>
            </w:tcBorders>
            <w:vAlign w:val="center"/>
          </w:tcPr>
          <w:p w14:paraId="107FCA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2.566</w:t>
            </w:r>
          </w:p>
        </w:tc>
        <w:tc>
          <w:tcPr>
            <w:tcW w:w="1284" w:type="dxa"/>
            <w:tcBorders>
              <w:tl2br w:val="nil"/>
              <w:tr2bl w:val="nil"/>
            </w:tcBorders>
            <w:vAlign w:val="center"/>
          </w:tcPr>
          <w:p w14:paraId="3E8F96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1.283</w:t>
            </w:r>
          </w:p>
        </w:tc>
        <w:tc>
          <w:tcPr>
            <w:tcW w:w="1571" w:type="dxa"/>
            <w:tcBorders>
              <w:tl2br w:val="nil"/>
              <w:tr2bl w:val="nil"/>
            </w:tcBorders>
            <w:vAlign w:val="center"/>
          </w:tcPr>
          <w:p w14:paraId="4DCD85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2400</w:t>
            </w:r>
          </w:p>
        </w:tc>
        <w:tc>
          <w:tcPr>
            <w:tcW w:w="1488" w:type="dxa"/>
            <w:tcBorders>
              <w:tl2br w:val="nil"/>
              <w:tr2bl w:val="nil"/>
            </w:tcBorders>
            <w:vAlign w:val="center"/>
          </w:tcPr>
          <w:p w14:paraId="07B28D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0.2566</w:t>
            </w:r>
          </w:p>
        </w:tc>
        <w:tc>
          <w:tcPr>
            <w:tcW w:w="1025" w:type="dxa"/>
            <w:tcBorders>
              <w:tl2br w:val="nil"/>
              <w:tr2bl w:val="nil"/>
            </w:tcBorders>
            <w:vAlign w:val="center"/>
          </w:tcPr>
          <w:p w14:paraId="5BC864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2.566</w:t>
            </w:r>
          </w:p>
        </w:tc>
      </w:tr>
      <w:tr w14:paraId="552F1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61" w:type="pct"/>
            <w:gridSpan w:val="2"/>
            <w:tcBorders>
              <w:tl2br w:val="nil"/>
              <w:tr2bl w:val="nil"/>
            </w:tcBorders>
            <w:vAlign w:val="center"/>
          </w:tcPr>
          <w:p w14:paraId="43424D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下风向最大质量浓度及占标率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499" w:type="dxa"/>
            <w:tcBorders>
              <w:tl2br w:val="nil"/>
              <w:tr2bl w:val="nil"/>
            </w:tcBorders>
            <w:vAlign w:val="center"/>
          </w:tcPr>
          <w:p w14:paraId="2BECAA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7.657</w:t>
            </w:r>
          </w:p>
        </w:tc>
        <w:tc>
          <w:tcPr>
            <w:tcW w:w="1284" w:type="dxa"/>
            <w:tcBorders>
              <w:tl2br w:val="nil"/>
              <w:tr2bl w:val="nil"/>
            </w:tcBorders>
            <w:vAlign w:val="center"/>
          </w:tcPr>
          <w:p w14:paraId="224D23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3.8285</w:t>
            </w:r>
          </w:p>
        </w:tc>
        <w:tc>
          <w:tcPr>
            <w:tcW w:w="949" w:type="pct"/>
            <w:tcBorders>
              <w:tl2br w:val="nil"/>
              <w:tr2bl w:val="nil"/>
            </w:tcBorders>
            <w:vAlign w:val="center"/>
          </w:tcPr>
          <w:p w14:paraId="25BC91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w:t>
            </w:r>
          </w:p>
        </w:tc>
        <w:tc>
          <w:tcPr>
            <w:tcW w:w="1502" w:type="dxa"/>
            <w:tcBorders>
              <w:tl2br w:val="nil"/>
              <w:tr2bl w:val="nil"/>
            </w:tcBorders>
            <w:vAlign w:val="center"/>
          </w:tcPr>
          <w:p w14:paraId="22DB6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0.7657</w:t>
            </w:r>
          </w:p>
        </w:tc>
        <w:tc>
          <w:tcPr>
            <w:tcW w:w="1039" w:type="dxa"/>
            <w:tcBorders>
              <w:tl2br w:val="nil"/>
              <w:tr2bl w:val="nil"/>
            </w:tcBorders>
            <w:vAlign w:val="center"/>
          </w:tcPr>
          <w:p w14:paraId="452E9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7.6569998</w:t>
            </w:r>
          </w:p>
        </w:tc>
      </w:tr>
    </w:tbl>
    <w:p w14:paraId="1935BE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表5.2-6堆肥场硫化氢、氨气估算模式计算结果表</w:t>
      </w:r>
    </w:p>
    <w:tbl>
      <w:tblPr>
        <w:tblStyle w:val="183"/>
        <w:tblW w:w="501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4"/>
        <w:gridCol w:w="933"/>
        <w:gridCol w:w="1499"/>
        <w:gridCol w:w="1284"/>
        <w:gridCol w:w="1584"/>
        <w:gridCol w:w="1502"/>
        <w:gridCol w:w="1039"/>
      </w:tblGrid>
      <w:tr w14:paraId="69314F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restart"/>
            <w:tcBorders>
              <w:tl2br w:val="nil"/>
              <w:tr2bl w:val="nil"/>
            </w:tcBorders>
            <w:vAlign w:val="center"/>
          </w:tcPr>
          <w:p w14:paraId="1166E98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序号</w:t>
            </w:r>
          </w:p>
        </w:tc>
        <w:tc>
          <w:tcPr>
            <w:tcW w:w="559" w:type="pct"/>
            <w:vMerge w:val="restart"/>
            <w:tcBorders>
              <w:tl2br w:val="nil"/>
              <w:tr2bl w:val="nil"/>
            </w:tcBorders>
            <w:vAlign w:val="center"/>
          </w:tcPr>
          <w:p w14:paraId="108198FF">
            <w:pPr>
              <w:keepNext w:val="0"/>
              <w:keepLines w:val="0"/>
              <w:pageBreakBefore w:val="0"/>
              <w:widowControl w:val="0"/>
              <w:tabs>
                <w:tab w:val="left" w:pos="459"/>
              </w:tabs>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667" w:type="pct"/>
            <w:gridSpan w:val="2"/>
            <w:tcBorders>
              <w:tl2br w:val="nil"/>
              <w:tr2bl w:val="nil"/>
            </w:tcBorders>
            <w:vAlign w:val="center"/>
          </w:tcPr>
          <w:p w14:paraId="6D4AB54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氨</w:t>
            </w:r>
          </w:p>
        </w:tc>
        <w:tc>
          <w:tcPr>
            <w:tcW w:w="949" w:type="pct"/>
            <w:vMerge w:val="restart"/>
            <w:tcBorders>
              <w:tl2br w:val="nil"/>
              <w:tr2bl w:val="nil"/>
            </w:tcBorders>
            <w:vAlign w:val="center"/>
          </w:tcPr>
          <w:p w14:paraId="2B5B534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521" w:type="pct"/>
            <w:gridSpan w:val="2"/>
            <w:tcBorders>
              <w:tl2br w:val="nil"/>
              <w:tr2bl w:val="nil"/>
            </w:tcBorders>
            <w:vAlign w:val="center"/>
          </w:tcPr>
          <w:p w14:paraId="06ECC7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硫化氢</w:t>
            </w:r>
          </w:p>
        </w:tc>
      </w:tr>
      <w:tr w14:paraId="29815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vMerge w:val="continue"/>
            <w:tcBorders>
              <w:tl2br w:val="nil"/>
              <w:tr2bl w:val="nil"/>
            </w:tcBorders>
            <w:vAlign w:val="center"/>
          </w:tcPr>
          <w:p w14:paraId="1539CC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559" w:type="pct"/>
            <w:vMerge w:val="continue"/>
            <w:tcBorders>
              <w:tl2br w:val="nil"/>
              <w:tr2bl w:val="nil"/>
            </w:tcBorders>
            <w:vAlign w:val="center"/>
          </w:tcPr>
          <w:p w14:paraId="18949CA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898" w:type="pct"/>
            <w:tcBorders>
              <w:tl2br w:val="nil"/>
              <w:tr2bl w:val="nil"/>
            </w:tcBorders>
            <w:vAlign w:val="center"/>
          </w:tcPr>
          <w:p w14:paraId="17EABA0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hint="eastAsia" w:ascii="Times New Roman" w:hAnsi="Times New Roman" w:eastAsia="宋体" w:cs="Times New Roman"/>
                <w:b w:val="0"/>
                <w:strike w:val="0"/>
                <w:dstrike w:val="0"/>
                <w:color w:val="auto"/>
                <w:spacing w:val="0"/>
                <w:position w:val="0"/>
                <w:sz w:val="21"/>
                <w:szCs w:val="21"/>
                <w:highlight w:val="none"/>
                <w:vertAlign w:val="superscript"/>
                <w:lang w:val="en-US" w:eastAsia="zh-CN"/>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769" w:type="pct"/>
            <w:tcBorders>
              <w:tl2br w:val="nil"/>
              <w:tr2bl w:val="nil"/>
            </w:tcBorders>
            <w:vAlign w:val="center"/>
          </w:tcPr>
          <w:p w14:paraId="5EB21C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949" w:type="pct"/>
            <w:vMerge w:val="continue"/>
            <w:tcBorders>
              <w:tl2br w:val="nil"/>
              <w:tr2bl w:val="nil"/>
            </w:tcBorders>
            <w:vAlign w:val="center"/>
          </w:tcPr>
          <w:p w14:paraId="204A95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p>
        </w:tc>
        <w:tc>
          <w:tcPr>
            <w:tcW w:w="899" w:type="pct"/>
            <w:tcBorders>
              <w:tl2br w:val="nil"/>
              <w:tr2bl w:val="nil"/>
            </w:tcBorders>
            <w:vAlign w:val="center"/>
          </w:tcPr>
          <w:p w14:paraId="3726C94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ascii="Times New Roman" w:hAnsi="Times New Roman" w:eastAsia="宋体" w:cs="Times New Roman"/>
                <w:b w:val="0"/>
                <w:strike w:val="0"/>
                <w:dstrike w:val="0"/>
                <w:color w:val="auto"/>
                <w:spacing w:val="0"/>
                <w:position w:val="0"/>
                <w:sz w:val="21"/>
                <w:szCs w:val="14"/>
                <w:highlight w:val="none"/>
                <w:vertAlign w:val="superscript"/>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622" w:type="pct"/>
            <w:tcBorders>
              <w:tl2br w:val="nil"/>
              <w:tr2bl w:val="nil"/>
            </w:tcBorders>
            <w:vAlign w:val="center"/>
          </w:tcPr>
          <w:p w14:paraId="185CD30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r>
      <w:tr w14:paraId="535C5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450B80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w:t>
            </w:r>
          </w:p>
        </w:tc>
        <w:tc>
          <w:tcPr>
            <w:tcW w:w="933" w:type="dxa"/>
            <w:tcBorders>
              <w:tl2br w:val="nil"/>
              <w:tr2bl w:val="nil"/>
            </w:tcBorders>
            <w:vAlign w:val="center"/>
          </w:tcPr>
          <w:p w14:paraId="29C852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1499" w:type="dxa"/>
            <w:tcBorders>
              <w:tl2br w:val="nil"/>
              <w:tr2bl w:val="nil"/>
            </w:tcBorders>
            <w:vAlign w:val="center"/>
          </w:tcPr>
          <w:p w14:paraId="5A2767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7.702</w:t>
            </w:r>
          </w:p>
        </w:tc>
        <w:tc>
          <w:tcPr>
            <w:tcW w:w="1284" w:type="dxa"/>
            <w:tcBorders>
              <w:tl2br w:val="nil"/>
              <w:tr2bl w:val="nil"/>
            </w:tcBorders>
            <w:vAlign w:val="center"/>
          </w:tcPr>
          <w:p w14:paraId="3BF546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3.851</w:t>
            </w:r>
          </w:p>
        </w:tc>
        <w:tc>
          <w:tcPr>
            <w:tcW w:w="1584" w:type="dxa"/>
            <w:tcBorders>
              <w:tl2br w:val="nil"/>
              <w:tr2bl w:val="nil"/>
            </w:tcBorders>
            <w:vAlign w:val="center"/>
          </w:tcPr>
          <w:p w14:paraId="6680E2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1502" w:type="dxa"/>
            <w:tcBorders>
              <w:tl2br w:val="nil"/>
              <w:tr2bl w:val="nil"/>
            </w:tcBorders>
            <w:vAlign w:val="center"/>
          </w:tcPr>
          <w:p w14:paraId="5C5C4B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0.1864</w:t>
            </w:r>
          </w:p>
        </w:tc>
        <w:tc>
          <w:tcPr>
            <w:tcW w:w="1039" w:type="dxa"/>
            <w:tcBorders>
              <w:tl2br w:val="nil"/>
              <w:tr2bl w:val="nil"/>
            </w:tcBorders>
            <w:vAlign w:val="center"/>
          </w:tcPr>
          <w:p w14:paraId="641D686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1.864</w:t>
            </w:r>
          </w:p>
        </w:tc>
      </w:tr>
      <w:tr w14:paraId="7A9C5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73DAD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w:t>
            </w:r>
          </w:p>
        </w:tc>
        <w:tc>
          <w:tcPr>
            <w:tcW w:w="933" w:type="dxa"/>
            <w:tcBorders>
              <w:tl2br w:val="nil"/>
              <w:tr2bl w:val="nil"/>
            </w:tcBorders>
            <w:vAlign w:val="center"/>
          </w:tcPr>
          <w:p w14:paraId="006507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72</w:t>
            </w:r>
          </w:p>
        </w:tc>
        <w:tc>
          <w:tcPr>
            <w:tcW w:w="1499" w:type="dxa"/>
            <w:tcBorders>
              <w:tl2br w:val="nil"/>
              <w:tr2bl w:val="nil"/>
            </w:tcBorders>
            <w:vAlign w:val="center"/>
          </w:tcPr>
          <w:p w14:paraId="0C9E16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7.793</w:t>
            </w:r>
          </w:p>
        </w:tc>
        <w:tc>
          <w:tcPr>
            <w:tcW w:w="1284" w:type="dxa"/>
            <w:tcBorders>
              <w:tl2br w:val="nil"/>
              <w:tr2bl w:val="nil"/>
            </w:tcBorders>
            <w:vAlign w:val="center"/>
          </w:tcPr>
          <w:p w14:paraId="44852B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3.8965001</w:t>
            </w:r>
          </w:p>
        </w:tc>
        <w:tc>
          <w:tcPr>
            <w:tcW w:w="1584" w:type="dxa"/>
            <w:tcBorders>
              <w:tl2br w:val="nil"/>
              <w:tr2bl w:val="nil"/>
            </w:tcBorders>
            <w:vAlign w:val="center"/>
          </w:tcPr>
          <w:p w14:paraId="5657AE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72</w:t>
            </w:r>
          </w:p>
        </w:tc>
        <w:tc>
          <w:tcPr>
            <w:tcW w:w="1502" w:type="dxa"/>
            <w:tcBorders>
              <w:tl2br w:val="nil"/>
              <w:tr2bl w:val="nil"/>
            </w:tcBorders>
            <w:vAlign w:val="center"/>
          </w:tcPr>
          <w:p w14:paraId="346215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0.1887</w:t>
            </w:r>
          </w:p>
        </w:tc>
        <w:tc>
          <w:tcPr>
            <w:tcW w:w="1039" w:type="dxa"/>
            <w:tcBorders>
              <w:tl2br w:val="nil"/>
              <w:tr2bl w:val="nil"/>
            </w:tcBorders>
            <w:vAlign w:val="center"/>
          </w:tcPr>
          <w:p w14:paraId="54CB45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1.8870001</w:t>
            </w:r>
          </w:p>
        </w:tc>
      </w:tr>
      <w:tr w14:paraId="47EE3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7F7B35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3</w:t>
            </w:r>
          </w:p>
        </w:tc>
        <w:tc>
          <w:tcPr>
            <w:tcW w:w="933" w:type="dxa"/>
            <w:tcBorders>
              <w:tl2br w:val="nil"/>
              <w:tr2bl w:val="nil"/>
            </w:tcBorders>
            <w:vAlign w:val="center"/>
          </w:tcPr>
          <w:p w14:paraId="3CEA8C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499" w:type="dxa"/>
            <w:tcBorders>
              <w:tl2br w:val="nil"/>
              <w:tr2bl w:val="nil"/>
            </w:tcBorders>
            <w:vAlign w:val="center"/>
          </w:tcPr>
          <w:p w14:paraId="733F7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7.461</w:t>
            </w:r>
          </w:p>
        </w:tc>
        <w:tc>
          <w:tcPr>
            <w:tcW w:w="1284" w:type="dxa"/>
            <w:tcBorders>
              <w:tl2br w:val="nil"/>
              <w:tr2bl w:val="nil"/>
            </w:tcBorders>
            <w:vAlign w:val="center"/>
          </w:tcPr>
          <w:p w14:paraId="065EBA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3.7305</w:t>
            </w:r>
          </w:p>
        </w:tc>
        <w:tc>
          <w:tcPr>
            <w:tcW w:w="1584" w:type="dxa"/>
            <w:tcBorders>
              <w:tl2br w:val="nil"/>
              <w:tr2bl w:val="nil"/>
            </w:tcBorders>
            <w:vAlign w:val="center"/>
          </w:tcPr>
          <w:p w14:paraId="317797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1502" w:type="dxa"/>
            <w:tcBorders>
              <w:tl2br w:val="nil"/>
              <w:tr2bl w:val="nil"/>
            </w:tcBorders>
            <w:vAlign w:val="center"/>
          </w:tcPr>
          <w:p w14:paraId="5BFCE9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0.1806</w:t>
            </w:r>
          </w:p>
        </w:tc>
        <w:tc>
          <w:tcPr>
            <w:tcW w:w="1039" w:type="dxa"/>
            <w:tcBorders>
              <w:tl2br w:val="nil"/>
              <w:tr2bl w:val="nil"/>
            </w:tcBorders>
            <w:vAlign w:val="center"/>
          </w:tcPr>
          <w:p w14:paraId="4A5763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1.806</w:t>
            </w:r>
          </w:p>
        </w:tc>
      </w:tr>
      <w:tr w14:paraId="583F1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CA261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4</w:t>
            </w:r>
          </w:p>
        </w:tc>
        <w:tc>
          <w:tcPr>
            <w:tcW w:w="933" w:type="dxa"/>
            <w:tcBorders>
              <w:tl2br w:val="nil"/>
              <w:tr2bl w:val="nil"/>
            </w:tcBorders>
            <w:vAlign w:val="center"/>
          </w:tcPr>
          <w:p w14:paraId="1F8748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499" w:type="dxa"/>
            <w:tcBorders>
              <w:tl2br w:val="nil"/>
              <w:tr2bl w:val="nil"/>
            </w:tcBorders>
            <w:vAlign w:val="center"/>
          </w:tcPr>
          <w:p w14:paraId="520C8B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5.166</w:t>
            </w:r>
          </w:p>
        </w:tc>
        <w:tc>
          <w:tcPr>
            <w:tcW w:w="1284" w:type="dxa"/>
            <w:tcBorders>
              <w:tl2br w:val="nil"/>
              <w:tr2bl w:val="nil"/>
            </w:tcBorders>
            <w:vAlign w:val="center"/>
          </w:tcPr>
          <w:p w14:paraId="27576D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2.583</w:t>
            </w:r>
          </w:p>
        </w:tc>
        <w:tc>
          <w:tcPr>
            <w:tcW w:w="1584" w:type="dxa"/>
            <w:tcBorders>
              <w:tl2br w:val="nil"/>
              <w:tr2bl w:val="nil"/>
            </w:tcBorders>
            <w:vAlign w:val="center"/>
          </w:tcPr>
          <w:p w14:paraId="3F85C5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1502" w:type="dxa"/>
            <w:tcBorders>
              <w:tl2br w:val="nil"/>
              <w:tr2bl w:val="nil"/>
            </w:tcBorders>
            <w:vAlign w:val="center"/>
          </w:tcPr>
          <w:p w14:paraId="235E87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0.125</w:t>
            </w:r>
          </w:p>
        </w:tc>
        <w:tc>
          <w:tcPr>
            <w:tcW w:w="1039" w:type="dxa"/>
            <w:tcBorders>
              <w:tl2br w:val="nil"/>
              <w:tr2bl w:val="nil"/>
            </w:tcBorders>
            <w:vAlign w:val="center"/>
          </w:tcPr>
          <w:p w14:paraId="0B057F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1.25</w:t>
            </w:r>
          </w:p>
        </w:tc>
      </w:tr>
      <w:tr w14:paraId="23A40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3D325F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5</w:t>
            </w:r>
          </w:p>
        </w:tc>
        <w:tc>
          <w:tcPr>
            <w:tcW w:w="933" w:type="dxa"/>
            <w:tcBorders>
              <w:tl2br w:val="nil"/>
              <w:tr2bl w:val="nil"/>
            </w:tcBorders>
            <w:vAlign w:val="center"/>
          </w:tcPr>
          <w:p w14:paraId="1B3A91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499" w:type="dxa"/>
            <w:tcBorders>
              <w:tl2br w:val="nil"/>
              <w:tr2bl w:val="nil"/>
            </w:tcBorders>
            <w:vAlign w:val="center"/>
          </w:tcPr>
          <w:p w14:paraId="5E0A67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4.031</w:t>
            </w:r>
          </w:p>
        </w:tc>
        <w:tc>
          <w:tcPr>
            <w:tcW w:w="1284" w:type="dxa"/>
            <w:tcBorders>
              <w:tl2br w:val="nil"/>
              <w:tr2bl w:val="nil"/>
            </w:tcBorders>
            <w:vAlign w:val="center"/>
          </w:tcPr>
          <w:p w14:paraId="29019A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2.0155</w:t>
            </w:r>
          </w:p>
        </w:tc>
        <w:tc>
          <w:tcPr>
            <w:tcW w:w="1584" w:type="dxa"/>
            <w:tcBorders>
              <w:tl2br w:val="nil"/>
              <w:tr2bl w:val="nil"/>
            </w:tcBorders>
            <w:vAlign w:val="center"/>
          </w:tcPr>
          <w:p w14:paraId="6A746D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1502" w:type="dxa"/>
            <w:tcBorders>
              <w:tl2br w:val="nil"/>
              <w:tr2bl w:val="nil"/>
            </w:tcBorders>
            <w:vAlign w:val="center"/>
          </w:tcPr>
          <w:p w14:paraId="795CFE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0.09757</w:t>
            </w:r>
          </w:p>
        </w:tc>
        <w:tc>
          <w:tcPr>
            <w:tcW w:w="1039" w:type="dxa"/>
            <w:tcBorders>
              <w:tl2br w:val="nil"/>
              <w:tr2bl w:val="nil"/>
            </w:tcBorders>
            <w:vAlign w:val="center"/>
          </w:tcPr>
          <w:p w14:paraId="76D06D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0.9757</w:t>
            </w:r>
          </w:p>
        </w:tc>
      </w:tr>
      <w:tr w14:paraId="33D77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E3C2B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6</w:t>
            </w:r>
          </w:p>
        </w:tc>
        <w:tc>
          <w:tcPr>
            <w:tcW w:w="933" w:type="dxa"/>
            <w:tcBorders>
              <w:tl2br w:val="nil"/>
              <w:tr2bl w:val="nil"/>
            </w:tcBorders>
            <w:vAlign w:val="center"/>
          </w:tcPr>
          <w:p w14:paraId="0E4871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499" w:type="dxa"/>
            <w:tcBorders>
              <w:tl2br w:val="nil"/>
              <w:tr2bl w:val="nil"/>
            </w:tcBorders>
            <w:vAlign w:val="center"/>
          </w:tcPr>
          <w:p w14:paraId="6D4F21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3.303</w:t>
            </w:r>
          </w:p>
        </w:tc>
        <w:tc>
          <w:tcPr>
            <w:tcW w:w="1284" w:type="dxa"/>
            <w:tcBorders>
              <w:tl2br w:val="nil"/>
              <w:tr2bl w:val="nil"/>
            </w:tcBorders>
            <w:vAlign w:val="center"/>
          </w:tcPr>
          <w:p w14:paraId="44CB61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1.6515</w:t>
            </w:r>
          </w:p>
        </w:tc>
        <w:tc>
          <w:tcPr>
            <w:tcW w:w="1584" w:type="dxa"/>
            <w:tcBorders>
              <w:tl2br w:val="nil"/>
              <w:tr2bl w:val="nil"/>
            </w:tcBorders>
            <w:vAlign w:val="center"/>
          </w:tcPr>
          <w:p w14:paraId="7C287D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1502" w:type="dxa"/>
            <w:tcBorders>
              <w:tl2br w:val="nil"/>
              <w:tr2bl w:val="nil"/>
            </w:tcBorders>
            <w:vAlign w:val="center"/>
          </w:tcPr>
          <w:p w14:paraId="1A7C28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0.07996</w:t>
            </w:r>
          </w:p>
        </w:tc>
        <w:tc>
          <w:tcPr>
            <w:tcW w:w="1039" w:type="dxa"/>
            <w:tcBorders>
              <w:tl2br w:val="nil"/>
              <w:tr2bl w:val="nil"/>
            </w:tcBorders>
            <w:vAlign w:val="center"/>
          </w:tcPr>
          <w:p w14:paraId="0F285B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0.7996</w:t>
            </w:r>
          </w:p>
        </w:tc>
      </w:tr>
      <w:tr w14:paraId="74B7E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1CCB09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bCs/>
                <w:strike w:val="0"/>
                <w:dstrike w:val="0"/>
                <w:color w:val="auto"/>
                <w:spacing w:val="0"/>
                <w:position w:val="0"/>
                <w:sz w:val="21"/>
                <w:szCs w:val="21"/>
                <w:highlight w:val="none"/>
              </w:rPr>
              <w:t>7</w:t>
            </w:r>
          </w:p>
        </w:tc>
        <w:tc>
          <w:tcPr>
            <w:tcW w:w="933" w:type="dxa"/>
            <w:tcBorders>
              <w:tl2br w:val="nil"/>
              <w:tr2bl w:val="nil"/>
            </w:tcBorders>
            <w:vAlign w:val="center"/>
          </w:tcPr>
          <w:p w14:paraId="0C8B5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499" w:type="dxa"/>
            <w:tcBorders>
              <w:tl2br w:val="nil"/>
              <w:tr2bl w:val="nil"/>
            </w:tcBorders>
            <w:vAlign w:val="center"/>
          </w:tcPr>
          <w:p w14:paraId="584F2A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2.816</w:t>
            </w:r>
          </w:p>
        </w:tc>
        <w:tc>
          <w:tcPr>
            <w:tcW w:w="1284" w:type="dxa"/>
            <w:tcBorders>
              <w:tl2br w:val="nil"/>
              <w:tr2bl w:val="nil"/>
            </w:tcBorders>
            <w:vAlign w:val="center"/>
          </w:tcPr>
          <w:p w14:paraId="64FB44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1.408</w:t>
            </w:r>
          </w:p>
        </w:tc>
        <w:tc>
          <w:tcPr>
            <w:tcW w:w="1584" w:type="dxa"/>
            <w:tcBorders>
              <w:tl2br w:val="nil"/>
              <w:tr2bl w:val="nil"/>
            </w:tcBorders>
            <w:vAlign w:val="center"/>
          </w:tcPr>
          <w:p w14:paraId="78033A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1502" w:type="dxa"/>
            <w:tcBorders>
              <w:tl2br w:val="nil"/>
              <w:tr2bl w:val="nil"/>
            </w:tcBorders>
            <w:vAlign w:val="center"/>
          </w:tcPr>
          <w:p w14:paraId="478343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0.06818</w:t>
            </w:r>
          </w:p>
        </w:tc>
        <w:tc>
          <w:tcPr>
            <w:tcW w:w="1039" w:type="dxa"/>
            <w:tcBorders>
              <w:tl2br w:val="nil"/>
              <w:tr2bl w:val="nil"/>
            </w:tcBorders>
            <w:vAlign w:val="center"/>
          </w:tcPr>
          <w:p w14:paraId="416085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0.6818</w:t>
            </w:r>
          </w:p>
        </w:tc>
      </w:tr>
      <w:tr w14:paraId="20658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E9E3EF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8</w:t>
            </w:r>
          </w:p>
        </w:tc>
        <w:tc>
          <w:tcPr>
            <w:tcW w:w="933" w:type="dxa"/>
            <w:tcBorders>
              <w:tl2br w:val="nil"/>
              <w:tr2bl w:val="nil"/>
            </w:tcBorders>
            <w:vAlign w:val="center"/>
          </w:tcPr>
          <w:p w14:paraId="7B9CEB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499" w:type="dxa"/>
            <w:tcBorders>
              <w:tl2br w:val="nil"/>
              <w:tr2bl w:val="nil"/>
            </w:tcBorders>
            <w:vAlign w:val="center"/>
          </w:tcPr>
          <w:p w14:paraId="4AEFD4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2.436</w:t>
            </w:r>
          </w:p>
        </w:tc>
        <w:tc>
          <w:tcPr>
            <w:tcW w:w="1284" w:type="dxa"/>
            <w:tcBorders>
              <w:tl2br w:val="nil"/>
              <w:tr2bl w:val="nil"/>
            </w:tcBorders>
            <w:vAlign w:val="center"/>
          </w:tcPr>
          <w:p w14:paraId="5C9D6A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1.218</w:t>
            </w:r>
          </w:p>
        </w:tc>
        <w:tc>
          <w:tcPr>
            <w:tcW w:w="1584" w:type="dxa"/>
            <w:tcBorders>
              <w:tl2br w:val="nil"/>
              <w:tr2bl w:val="nil"/>
            </w:tcBorders>
            <w:vAlign w:val="center"/>
          </w:tcPr>
          <w:p w14:paraId="6E2BC7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1502" w:type="dxa"/>
            <w:tcBorders>
              <w:tl2br w:val="nil"/>
              <w:tr2bl w:val="nil"/>
            </w:tcBorders>
            <w:vAlign w:val="center"/>
          </w:tcPr>
          <w:p w14:paraId="5DCB5F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0.05897</w:t>
            </w:r>
          </w:p>
        </w:tc>
        <w:tc>
          <w:tcPr>
            <w:tcW w:w="1039" w:type="dxa"/>
            <w:tcBorders>
              <w:tl2br w:val="nil"/>
              <w:tr2bl w:val="nil"/>
            </w:tcBorders>
            <w:vAlign w:val="center"/>
          </w:tcPr>
          <w:p w14:paraId="0F8BC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0.5897</w:t>
            </w:r>
          </w:p>
        </w:tc>
      </w:tr>
      <w:tr w14:paraId="73F6F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531340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9</w:t>
            </w:r>
          </w:p>
        </w:tc>
        <w:tc>
          <w:tcPr>
            <w:tcW w:w="933" w:type="dxa"/>
            <w:tcBorders>
              <w:tl2br w:val="nil"/>
              <w:tr2bl w:val="nil"/>
            </w:tcBorders>
            <w:vAlign w:val="center"/>
          </w:tcPr>
          <w:p w14:paraId="1CB7B9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499" w:type="dxa"/>
            <w:tcBorders>
              <w:tl2br w:val="nil"/>
              <w:tr2bl w:val="nil"/>
            </w:tcBorders>
            <w:vAlign w:val="center"/>
          </w:tcPr>
          <w:p w14:paraId="42F660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2.128</w:t>
            </w:r>
          </w:p>
        </w:tc>
        <w:tc>
          <w:tcPr>
            <w:tcW w:w="1284" w:type="dxa"/>
            <w:tcBorders>
              <w:tl2br w:val="nil"/>
              <w:tr2bl w:val="nil"/>
            </w:tcBorders>
            <w:vAlign w:val="center"/>
          </w:tcPr>
          <w:p w14:paraId="73DA54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1.064</w:t>
            </w:r>
          </w:p>
        </w:tc>
        <w:tc>
          <w:tcPr>
            <w:tcW w:w="1584" w:type="dxa"/>
            <w:tcBorders>
              <w:tl2br w:val="nil"/>
              <w:tr2bl w:val="nil"/>
            </w:tcBorders>
            <w:vAlign w:val="center"/>
          </w:tcPr>
          <w:p w14:paraId="23C0FB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700</w:t>
            </w:r>
          </w:p>
        </w:tc>
        <w:tc>
          <w:tcPr>
            <w:tcW w:w="1502" w:type="dxa"/>
            <w:tcBorders>
              <w:tl2br w:val="nil"/>
              <w:tr2bl w:val="nil"/>
            </w:tcBorders>
            <w:vAlign w:val="center"/>
          </w:tcPr>
          <w:p w14:paraId="3C835C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0.05151</w:t>
            </w:r>
          </w:p>
        </w:tc>
        <w:tc>
          <w:tcPr>
            <w:tcW w:w="1039" w:type="dxa"/>
            <w:tcBorders>
              <w:tl2br w:val="nil"/>
              <w:tr2bl w:val="nil"/>
            </w:tcBorders>
            <w:vAlign w:val="center"/>
          </w:tcPr>
          <w:p w14:paraId="1D691F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0.5151</w:t>
            </w:r>
          </w:p>
        </w:tc>
      </w:tr>
      <w:tr w14:paraId="1E6C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0674FE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10</w:t>
            </w:r>
          </w:p>
        </w:tc>
        <w:tc>
          <w:tcPr>
            <w:tcW w:w="933" w:type="dxa"/>
            <w:tcBorders>
              <w:tl2br w:val="nil"/>
              <w:tr2bl w:val="nil"/>
            </w:tcBorders>
            <w:vAlign w:val="center"/>
          </w:tcPr>
          <w:p w14:paraId="647E22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499" w:type="dxa"/>
            <w:tcBorders>
              <w:tl2br w:val="nil"/>
              <w:tr2bl w:val="nil"/>
            </w:tcBorders>
            <w:vAlign w:val="center"/>
          </w:tcPr>
          <w:p w14:paraId="4654A2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1.876</w:t>
            </w:r>
          </w:p>
        </w:tc>
        <w:tc>
          <w:tcPr>
            <w:tcW w:w="1284" w:type="dxa"/>
            <w:tcBorders>
              <w:tl2br w:val="nil"/>
              <w:tr2bl w:val="nil"/>
            </w:tcBorders>
            <w:vAlign w:val="center"/>
          </w:tcPr>
          <w:p w14:paraId="18CA68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0.938</w:t>
            </w:r>
          </w:p>
        </w:tc>
        <w:tc>
          <w:tcPr>
            <w:tcW w:w="1584" w:type="dxa"/>
            <w:tcBorders>
              <w:tl2br w:val="nil"/>
              <w:tr2bl w:val="nil"/>
            </w:tcBorders>
            <w:vAlign w:val="center"/>
          </w:tcPr>
          <w:p w14:paraId="7B900A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1502" w:type="dxa"/>
            <w:tcBorders>
              <w:tl2br w:val="nil"/>
              <w:tr2bl w:val="nil"/>
            </w:tcBorders>
            <w:vAlign w:val="center"/>
          </w:tcPr>
          <w:p w14:paraId="26ACE7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0.04541</w:t>
            </w:r>
          </w:p>
        </w:tc>
        <w:tc>
          <w:tcPr>
            <w:tcW w:w="1039" w:type="dxa"/>
            <w:tcBorders>
              <w:tl2br w:val="nil"/>
              <w:tr2bl w:val="nil"/>
            </w:tcBorders>
            <w:vAlign w:val="center"/>
          </w:tcPr>
          <w:p w14:paraId="7DA9E5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0.4541</w:t>
            </w:r>
          </w:p>
        </w:tc>
      </w:tr>
      <w:tr w14:paraId="3434D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2DD46E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11</w:t>
            </w:r>
          </w:p>
        </w:tc>
        <w:tc>
          <w:tcPr>
            <w:tcW w:w="933" w:type="dxa"/>
            <w:tcBorders>
              <w:tl2br w:val="nil"/>
              <w:tr2bl w:val="nil"/>
            </w:tcBorders>
            <w:vAlign w:val="center"/>
          </w:tcPr>
          <w:p w14:paraId="2BC572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499" w:type="dxa"/>
            <w:tcBorders>
              <w:tl2br w:val="nil"/>
              <w:tr2bl w:val="nil"/>
            </w:tcBorders>
            <w:vAlign w:val="center"/>
          </w:tcPr>
          <w:p w14:paraId="5F9D00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1.67</w:t>
            </w:r>
          </w:p>
        </w:tc>
        <w:tc>
          <w:tcPr>
            <w:tcW w:w="1284" w:type="dxa"/>
            <w:tcBorders>
              <w:tl2br w:val="nil"/>
              <w:tr2bl w:val="nil"/>
            </w:tcBorders>
            <w:vAlign w:val="center"/>
          </w:tcPr>
          <w:p w14:paraId="19C3CB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0.835</w:t>
            </w:r>
          </w:p>
        </w:tc>
        <w:tc>
          <w:tcPr>
            <w:tcW w:w="1584" w:type="dxa"/>
            <w:tcBorders>
              <w:tl2br w:val="nil"/>
              <w:tr2bl w:val="nil"/>
            </w:tcBorders>
            <w:vAlign w:val="center"/>
          </w:tcPr>
          <w:p w14:paraId="4CCCFC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1502" w:type="dxa"/>
            <w:tcBorders>
              <w:tl2br w:val="nil"/>
              <w:tr2bl w:val="nil"/>
            </w:tcBorders>
            <w:vAlign w:val="center"/>
          </w:tcPr>
          <w:p w14:paraId="76BB53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0.04043</w:t>
            </w:r>
          </w:p>
        </w:tc>
        <w:tc>
          <w:tcPr>
            <w:tcW w:w="1039" w:type="dxa"/>
            <w:tcBorders>
              <w:tl2br w:val="nil"/>
              <w:tr2bl w:val="nil"/>
            </w:tcBorders>
            <w:vAlign w:val="center"/>
          </w:tcPr>
          <w:p w14:paraId="490495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0.4043</w:t>
            </w:r>
          </w:p>
        </w:tc>
      </w:tr>
      <w:tr w14:paraId="3EE99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13B68F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12</w:t>
            </w:r>
          </w:p>
        </w:tc>
        <w:tc>
          <w:tcPr>
            <w:tcW w:w="933" w:type="dxa"/>
            <w:tcBorders>
              <w:tl2br w:val="nil"/>
              <w:tr2bl w:val="nil"/>
            </w:tcBorders>
            <w:vAlign w:val="center"/>
          </w:tcPr>
          <w:p w14:paraId="60053D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499" w:type="dxa"/>
            <w:tcBorders>
              <w:tl2br w:val="nil"/>
              <w:tr2bl w:val="nil"/>
            </w:tcBorders>
            <w:vAlign w:val="center"/>
          </w:tcPr>
          <w:p w14:paraId="2AB8F6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1.498</w:t>
            </w:r>
          </w:p>
        </w:tc>
        <w:tc>
          <w:tcPr>
            <w:tcW w:w="1284" w:type="dxa"/>
            <w:tcBorders>
              <w:tl2br w:val="nil"/>
              <w:tr2bl w:val="nil"/>
            </w:tcBorders>
            <w:vAlign w:val="center"/>
          </w:tcPr>
          <w:p w14:paraId="23BA19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0.749</w:t>
            </w:r>
          </w:p>
        </w:tc>
        <w:tc>
          <w:tcPr>
            <w:tcW w:w="1584" w:type="dxa"/>
            <w:tcBorders>
              <w:tl2br w:val="nil"/>
              <w:tr2bl w:val="nil"/>
            </w:tcBorders>
            <w:vAlign w:val="center"/>
          </w:tcPr>
          <w:p w14:paraId="3F8A14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1502" w:type="dxa"/>
            <w:tcBorders>
              <w:tl2br w:val="nil"/>
              <w:tr2bl w:val="nil"/>
            </w:tcBorders>
            <w:vAlign w:val="center"/>
          </w:tcPr>
          <w:p w14:paraId="096365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0.03628</w:t>
            </w:r>
          </w:p>
        </w:tc>
        <w:tc>
          <w:tcPr>
            <w:tcW w:w="1039" w:type="dxa"/>
            <w:tcBorders>
              <w:tl2br w:val="nil"/>
              <w:tr2bl w:val="nil"/>
            </w:tcBorders>
            <w:vAlign w:val="center"/>
          </w:tcPr>
          <w:p w14:paraId="222824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0.3628</w:t>
            </w:r>
          </w:p>
        </w:tc>
      </w:tr>
      <w:tr w14:paraId="2CFA8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F9290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13</w:t>
            </w:r>
          </w:p>
        </w:tc>
        <w:tc>
          <w:tcPr>
            <w:tcW w:w="933" w:type="dxa"/>
            <w:tcBorders>
              <w:tl2br w:val="nil"/>
              <w:tr2bl w:val="nil"/>
            </w:tcBorders>
            <w:vAlign w:val="center"/>
          </w:tcPr>
          <w:p w14:paraId="7E8F8B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499" w:type="dxa"/>
            <w:tcBorders>
              <w:tl2br w:val="nil"/>
              <w:tr2bl w:val="nil"/>
            </w:tcBorders>
            <w:vAlign w:val="center"/>
          </w:tcPr>
          <w:p w14:paraId="39FDC1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1.355</w:t>
            </w:r>
          </w:p>
        </w:tc>
        <w:tc>
          <w:tcPr>
            <w:tcW w:w="1284" w:type="dxa"/>
            <w:tcBorders>
              <w:tl2br w:val="nil"/>
              <w:tr2bl w:val="nil"/>
            </w:tcBorders>
            <w:vAlign w:val="center"/>
          </w:tcPr>
          <w:p w14:paraId="390EE8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0.6775</w:t>
            </w:r>
          </w:p>
        </w:tc>
        <w:tc>
          <w:tcPr>
            <w:tcW w:w="1584" w:type="dxa"/>
            <w:tcBorders>
              <w:tl2br w:val="nil"/>
              <w:tr2bl w:val="nil"/>
            </w:tcBorders>
            <w:vAlign w:val="center"/>
          </w:tcPr>
          <w:p w14:paraId="21AF40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1502" w:type="dxa"/>
            <w:tcBorders>
              <w:tl2br w:val="nil"/>
              <w:tr2bl w:val="nil"/>
            </w:tcBorders>
            <w:vAlign w:val="center"/>
          </w:tcPr>
          <w:p w14:paraId="37ABED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0.03279</w:t>
            </w:r>
          </w:p>
        </w:tc>
        <w:tc>
          <w:tcPr>
            <w:tcW w:w="1039" w:type="dxa"/>
            <w:tcBorders>
              <w:tl2br w:val="nil"/>
              <w:tr2bl w:val="nil"/>
            </w:tcBorders>
            <w:vAlign w:val="center"/>
          </w:tcPr>
          <w:p w14:paraId="1F2ED8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0.3279</w:t>
            </w:r>
          </w:p>
        </w:tc>
      </w:tr>
      <w:tr w14:paraId="565E4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04EE1B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14</w:t>
            </w:r>
          </w:p>
        </w:tc>
        <w:tc>
          <w:tcPr>
            <w:tcW w:w="933" w:type="dxa"/>
            <w:tcBorders>
              <w:tl2br w:val="nil"/>
              <w:tr2bl w:val="nil"/>
            </w:tcBorders>
            <w:vAlign w:val="center"/>
          </w:tcPr>
          <w:p w14:paraId="4D9B0C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499" w:type="dxa"/>
            <w:tcBorders>
              <w:tl2br w:val="nil"/>
              <w:tr2bl w:val="nil"/>
            </w:tcBorders>
            <w:vAlign w:val="center"/>
          </w:tcPr>
          <w:p w14:paraId="123B3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1.27</w:t>
            </w:r>
          </w:p>
        </w:tc>
        <w:tc>
          <w:tcPr>
            <w:tcW w:w="1284" w:type="dxa"/>
            <w:tcBorders>
              <w:tl2br w:val="nil"/>
              <w:tr2bl w:val="nil"/>
            </w:tcBorders>
            <w:vAlign w:val="center"/>
          </w:tcPr>
          <w:p w14:paraId="6EF34D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0.635</w:t>
            </w:r>
          </w:p>
        </w:tc>
        <w:tc>
          <w:tcPr>
            <w:tcW w:w="1584" w:type="dxa"/>
            <w:tcBorders>
              <w:tl2br w:val="nil"/>
              <w:tr2bl w:val="nil"/>
            </w:tcBorders>
            <w:vAlign w:val="center"/>
          </w:tcPr>
          <w:p w14:paraId="5CD584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1502" w:type="dxa"/>
            <w:tcBorders>
              <w:tl2br w:val="nil"/>
              <w:tr2bl w:val="nil"/>
            </w:tcBorders>
            <w:vAlign w:val="center"/>
          </w:tcPr>
          <w:p w14:paraId="630799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0.03074</w:t>
            </w:r>
          </w:p>
        </w:tc>
        <w:tc>
          <w:tcPr>
            <w:tcW w:w="1039" w:type="dxa"/>
            <w:tcBorders>
              <w:tl2br w:val="nil"/>
              <w:tr2bl w:val="nil"/>
            </w:tcBorders>
            <w:vAlign w:val="center"/>
          </w:tcPr>
          <w:p w14:paraId="346F7A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0.3074</w:t>
            </w:r>
          </w:p>
        </w:tc>
      </w:tr>
      <w:tr w14:paraId="550F5A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353EF2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15</w:t>
            </w:r>
          </w:p>
        </w:tc>
        <w:tc>
          <w:tcPr>
            <w:tcW w:w="933" w:type="dxa"/>
            <w:tcBorders>
              <w:tl2br w:val="nil"/>
              <w:tr2bl w:val="nil"/>
            </w:tcBorders>
            <w:vAlign w:val="center"/>
          </w:tcPr>
          <w:p w14:paraId="790BDB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499" w:type="dxa"/>
            <w:tcBorders>
              <w:tl2br w:val="nil"/>
              <w:tr2bl w:val="nil"/>
            </w:tcBorders>
            <w:vAlign w:val="center"/>
          </w:tcPr>
          <w:p w14:paraId="633514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1.159</w:t>
            </w:r>
          </w:p>
        </w:tc>
        <w:tc>
          <w:tcPr>
            <w:tcW w:w="1284" w:type="dxa"/>
            <w:tcBorders>
              <w:tl2br w:val="nil"/>
              <w:tr2bl w:val="nil"/>
            </w:tcBorders>
            <w:vAlign w:val="center"/>
          </w:tcPr>
          <w:p w14:paraId="54045A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0.5795</w:t>
            </w:r>
          </w:p>
        </w:tc>
        <w:tc>
          <w:tcPr>
            <w:tcW w:w="1584" w:type="dxa"/>
            <w:tcBorders>
              <w:tl2br w:val="nil"/>
              <w:tr2bl w:val="nil"/>
            </w:tcBorders>
            <w:vAlign w:val="center"/>
          </w:tcPr>
          <w:p w14:paraId="7A1058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1502" w:type="dxa"/>
            <w:tcBorders>
              <w:tl2br w:val="nil"/>
              <w:tr2bl w:val="nil"/>
            </w:tcBorders>
            <w:vAlign w:val="center"/>
          </w:tcPr>
          <w:p w14:paraId="15F820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0.02805</w:t>
            </w:r>
          </w:p>
        </w:tc>
        <w:tc>
          <w:tcPr>
            <w:tcW w:w="1039" w:type="dxa"/>
            <w:tcBorders>
              <w:tl2br w:val="nil"/>
              <w:tr2bl w:val="nil"/>
            </w:tcBorders>
            <w:vAlign w:val="center"/>
          </w:tcPr>
          <w:p w14:paraId="5F75D5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0.2805</w:t>
            </w:r>
          </w:p>
        </w:tc>
      </w:tr>
      <w:tr w14:paraId="534E7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74842D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16</w:t>
            </w:r>
          </w:p>
        </w:tc>
        <w:tc>
          <w:tcPr>
            <w:tcW w:w="933" w:type="dxa"/>
            <w:tcBorders>
              <w:tl2br w:val="nil"/>
              <w:tr2bl w:val="nil"/>
            </w:tcBorders>
            <w:vAlign w:val="center"/>
          </w:tcPr>
          <w:p w14:paraId="0B7B5A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499" w:type="dxa"/>
            <w:tcBorders>
              <w:tl2br w:val="nil"/>
              <w:tr2bl w:val="nil"/>
            </w:tcBorders>
            <w:vAlign w:val="center"/>
          </w:tcPr>
          <w:p w14:paraId="6A5842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1.063</w:t>
            </w:r>
          </w:p>
        </w:tc>
        <w:tc>
          <w:tcPr>
            <w:tcW w:w="1284" w:type="dxa"/>
            <w:tcBorders>
              <w:tl2br w:val="nil"/>
              <w:tr2bl w:val="nil"/>
            </w:tcBorders>
            <w:vAlign w:val="center"/>
          </w:tcPr>
          <w:p w14:paraId="197CCC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0.5315</w:t>
            </w:r>
          </w:p>
        </w:tc>
        <w:tc>
          <w:tcPr>
            <w:tcW w:w="1584" w:type="dxa"/>
            <w:tcBorders>
              <w:tl2br w:val="nil"/>
              <w:tr2bl w:val="nil"/>
            </w:tcBorders>
            <w:vAlign w:val="center"/>
          </w:tcPr>
          <w:p w14:paraId="05FCA4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1502" w:type="dxa"/>
            <w:tcBorders>
              <w:tl2br w:val="nil"/>
              <w:tr2bl w:val="nil"/>
            </w:tcBorders>
            <w:vAlign w:val="center"/>
          </w:tcPr>
          <w:p w14:paraId="0E40D7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0.02574</w:t>
            </w:r>
          </w:p>
        </w:tc>
        <w:tc>
          <w:tcPr>
            <w:tcW w:w="1039" w:type="dxa"/>
            <w:tcBorders>
              <w:tl2br w:val="nil"/>
              <w:tr2bl w:val="nil"/>
            </w:tcBorders>
            <w:vAlign w:val="center"/>
          </w:tcPr>
          <w:p w14:paraId="7BED9B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0.2574</w:t>
            </w:r>
          </w:p>
        </w:tc>
      </w:tr>
      <w:tr w14:paraId="6A7E2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1760B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17</w:t>
            </w:r>
          </w:p>
        </w:tc>
        <w:tc>
          <w:tcPr>
            <w:tcW w:w="933" w:type="dxa"/>
            <w:tcBorders>
              <w:tl2br w:val="nil"/>
              <w:tr2bl w:val="nil"/>
            </w:tcBorders>
            <w:vAlign w:val="center"/>
          </w:tcPr>
          <w:p w14:paraId="7A7B24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499" w:type="dxa"/>
            <w:tcBorders>
              <w:tl2br w:val="nil"/>
              <w:tr2bl w:val="nil"/>
            </w:tcBorders>
            <w:vAlign w:val="center"/>
          </w:tcPr>
          <w:p w14:paraId="67FCA7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0.9809</w:t>
            </w:r>
          </w:p>
        </w:tc>
        <w:tc>
          <w:tcPr>
            <w:tcW w:w="1284" w:type="dxa"/>
            <w:tcBorders>
              <w:tl2br w:val="nil"/>
              <w:tr2bl w:val="nil"/>
            </w:tcBorders>
            <w:vAlign w:val="center"/>
          </w:tcPr>
          <w:p w14:paraId="4FF389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0.49045</w:t>
            </w:r>
          </w:p>
        </w:tc>
        <w:tc>
          <w:tcPr>
            <w:tcW w:w="1584" w:type="dxa"/>
            <w:tcBorders>
              <w:tl2br w:val="nil"/>
              <w:tr2bl w:val="nil"/>
            </w:tcBorders>
            <w:vAlign w:val="center"/>
          </w:tcPr>
          <w:p w14:paraId="09434B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1502" w:type="dxa"/>
            <w:tcBorders>
              <w:tl2br w:val="nil"/>
              <w:tr2bl w:val="nil"/>
            </w:tcBorders>
            <w:vAlign w:val="center"/>
          </w:tcPr>
          <w:p w14:paraId="176AAA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0.02375</w:t>
            </w:r>
          </w:p>
        </w:tc>
        <w:tc>
          <w:tcPr>
            <w:tcW w:w="1039" w:type="dxa"/>
            <w:tcBorders>
              <w:tl2br w:val="nil"/>
              <w:tr2bl w:val="nil"/>
            </w:tcBorders>
            <w:vAlign w:val="center"/>
          </w:tcPr>
          <w:p w14:paraId="1D23F6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0.2375</w:t>
            </w:r>
          </w:p>
        </w:tc>
      </w:tr>
      <w:tr w14:paraId="76675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88194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18</w:t>
            </w:r>
          </w:p>
        </w:tc>
        <w:tc>
          <w:tcPr>
            <w:tcW w:w="933" w:type="dxa"/>
            <w:tcBorders>
              <w:tl2br w:val="nil"/>
              <w:tr2bl w:val="nil"/>
            </w:tcBorders>
            <w:vAlign w:val="center"/>
          </w:tcPr>
          <w:p w14:paraId="1EF3F5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499" w:type="dxa"/>
            <w:tcBorders>
              <w:tl2br w:val="nil"/>
              <w:tr2bl w:val="nil"/>
            </w:tcBorders>
            <w:vAlign w:val="center"/>
          </w:tcPr>
          <w:p w14:paraId="22EC74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0.9089</w:t>
            </w:r>
          </w:p>
        </w:tc>
        <w:tc>
          <w:tcPr>
            <w:tcW w:w="1284" w:type="dxa"/>
            <w:tcBorders>
              <w:tl2br w:val="nil"/>
              <w:tr2bl w:val="nil"/>
            </w:tcBorders>
            <w:vAlign w:val="center"/>
          </w:tcPr>
          <w:p w14:paraId="267EEE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0.45445</w:t>
            </w:r>
          </w:p>
        </w:tc>
        <w:tc>
          <w:tcPr>
            <w:tcW w:w="1584" w:type="dxa"/>
            <w:tcBorders>
              <w:tl2br w:val="nil"/>
              <w:tr2bl w:val="nil"/>
            </w:tcBorders>
            <w:vAlign w:val="center"/>
          </w:tcPr>
          <w:p w14:paraId="4DD477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1502" w:type="dxa"/>
            <w:tcBorders>
              <w:tl2br w:val="nil"/>
              <w:tr2bl w:val="nil"/>
            </w:tcBorders>
            <w:vAlign w:val="center"/>
          </w:tcPr>
          <w:p w14:paraId="5D7512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0.022</w:t>
            </w:r>
          </w:p>
        </w:tc>
        <w:tc>
          <w:tcPr>
            <w:tcW w:w="1039" w:type="dxa"/>
            <w:tcBorders>
              <w:tl2br w:val="nil"/>
              <w:tr2bl w:val="nil"/>
            </w:tcBorders>
            <w:vAlign w:val="center"/>
          </w:tcPr>
          <w:p w14:paraId="2D21D2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0.22</w:t>
            </w:r>
          </w:p>
        </w:tc>
      </w:tr>
      <w:tr w14:paraId="400E7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44E96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19</w:t>
            </w:r>
          </w:p>
        </w:tc>
        <w:tc>
          <w:tcPr>
            <w:tcW w:w="933" w:type="dxa"/>
            <w:tcBorders>
              <w:tl2br w:val="nil"/>
              <w:tr2bl w:val="nil"/>
            </w:tcBorders>
            <w:vAlign w:val="center"/>
          </w:tcPr>
          <w:p w14:paraId="7792B5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499" w:type="dxa"/>
            <w:tcBorders>
              <w:tl2br w:val="nil"/>
              <w:tr2bl w:val="nil"/>
            </w:tcBorders>
            <w:vAlign w:val="center"/>
          </w:tcPr>
          <w:p w14:paraId="547724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0.8456</w:t>
            </w:r>
          </w:p>
        </w:tc>
        <w:tc>
          <w:tcPr>
            <w:tcW w:w="1284" w:type="dxa"/>
            <w:tcBorders>
              <w:tl2br w:val="nil"/>
              <w:tr2bl w:val="nil"/>
            </w:tcBorders>
            <w:vAlign w:val="center"/>
          </w:tcPr>
          <w:p w14:paraId="58487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0.4228</w:t>
            </w:r>
          </w:p>
        </w:tc>
        <w:tc>
          <w:tcPr>
            <w:tcW w:w="1584" w:type="dxa"/>
            <w:tcBorders>
              <w:tl2br w:val="nil"/>
              <w:tr2bl w:val="nil"/>
            </w:tcBorders>
            <w:vAlign w:val="center"/>
          </w:tcPr>
          <w:p w14:paraId="01708C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1502" w:type="dxa"/>
            <w:tcBorders>
              <w:tl2br w:val="nil"/>
              <w:tr2bl w:val="nil"/>
            </w:tcBorders>
            <w:vAlign w:val="center"/>
          </w:tcPr>
          <w:p w14:paraId="04159E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0.02047</w:t>
            </w:r>
          </w:p>
        </w:tc>
        <w:tc>
          <w:tcPr>
            <w:tcW w:w="1039" w:type="dxa"/>
            <w:tcBorders>
              <w:tl2br w:val="nil"/>
              <w:tr2bl w:val="nil"/>
            </w:tcBorders>
            <w:vAlign w:val="center"/>
          </w:tcPr>
          <w:p w14:paraId="650DE7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0.2047</w:t>
            </w:r>
          </w:p>
        </w:tc>
      </w:tr>
      <w:tr w14:paraId="012F5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0B662E6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20</w:t>
            </w:r>
          </w:p>
        </w:tc>
        <w:tc>
          <w:tcPr>
            <w:tcW w:w="933" w:type="dxa"/>
            <w:tcBorders>
              <w:tl2br w:val="nil"/>
              <w:tr2bl w:val="nil"/>
            </w:tcBorders>
            <w:vAlign w:val="center"/>
          </w:tcPr>
          <w:p w14:paraId="725D12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499" w:type="dxa"/>
            <w:tcBorders>
              <w:tl2br w:val="nil"/>
              <w:tr2bl w:val="nil"/>
            </w:tcBorders>
            <w:vAlign w:val="center"/>
          </w:tcPr>
          <w:p w14:paraId="3EF35E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0.7896</w:t>
            </w:r>
          </w:p>
        </w:tc>
        <w:tc>
          <w:tcPr>
            <w:tcW w:w="1284" w:type="dxa"/>
            <w:tcBorders>
              <w:tl2br w:val="nil"/>
              <w:tr2bl w:val="nil"/>
            </w:tcBorders>
            <w:vAlign w:val="center"/>
          </w:tcPr>
          <w:p w14:paraId="04685D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0.3948</w:t>
            </w:r>
          </w:p>
        </w:tc>
        <w:tc>
          <w:tcPr>
            <w:tcW w:w="1584" w:type="dxa"/>
            <w:tcBorders>
              <w:tl2br w:val="nil"/>
              <w:tr2bl w:val="nil"/>
            </w:tcBorders>
            <w:vAlign w:val="center"/>
          </w:tcPr>
          <w:p w14:paraId="375497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1502" w:type="dxa"/>
            <w:tcBorders>
              <w:tl2br w:val="nil"/>
              <w:tr2bl w:val="nil"/>
            </w:tcBorders>
            <w:vAlign w:val="center"/>
          </w:tcPr>
          <w:p w14:paraId="3B7B15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0.01912</w:t>
            </w:r>
          </w:p>
        </w:tc>
        <w:tc>
          <w:tcPr>
            <w:tcW w:w="1039" w:type="dxa"/>
            <w:tcBorders>
              <w:tl2br w:val="nil"/>
              <w:tr2bl w:val="nil"/>
            </w:tcBorders>
            <w:vAlign w:val="center"/>
          </w:tcPr>
          <w:p w14:paraId="48778D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0.1912</w:t>
            </w:r>
          </w:p>
        </w:tc>
      </w:tr>
      <w:tr w14:paraId="0FD3C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641A7E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21</w:t>
            </w:r>
          </w:p>
        </w:tc>
        <w:tc>
          <w:tcPr>
            <w:tcW w:w="933" w:type="dxa"/>
            <w:tcBorders>
              <w:tl2br w:val="nil"/>
              <w:tr2bl w:val="nil"/>
            </w:tcBorders>
            <w:vAlign w:val="center"/>
          </w:tcPr>
          <w:p w14:paraId="43A617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499" w:type="dxa"/>
            <w:tcBorders>
              <w:tl2br w:val="nil"/>
              <w:tr2bl w:val="nil"/>
            </w:tcBorders>
            <w:vAlign w:val="center"/>
          </w:tcPr>
          <w:p w14:paraId="5AEC0A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0.6951</w:t>
            </w:r>
          </w:p>
        </w:tc>
        <w:tc>
          <w:tcPr>
            <w:tcW w:w="1284" w:type="dxa"/>
            <w:tcBorders>
              <w:tl2br w:val="nil"/>
              <w:tr2bl w:val="nil"/>
            </w:tcBorders>
            <w:vAlign w:val="center"/>
          </w:tcPr>
          <w:p w14:paraId="53A3FF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0.34755</w:t>
            </w:r>
          </w:p>
        </w:tc>
        <w:tc>
          <w:tcPr>
            <w:tcW w:w="1584" w:type="dxa"/>
            <w:tcBorders>
              <w:tl2br w:val="nil"/>
              <w:tr2bl w:val="nil"/>
            </w:tcBorders>
            <w:vAlign w:val="center"/>
          </w:tcPr>
          <w:p w14:paraId="0990AB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1900</w:t>
            </w:r>
          </w:p>
        </w:tc>
        <w:tc>
          <w:tcPr>
            <w:tcW w:w="1502" w:type="dxa"/>
            <w:tcBorders>
              <w:tl2br w:val="nil"/>
              <w:tr2bl w:val="nil"/>
            </w:tcBorders>
            <w:vAlign w:val="center"/>
          </w:tcPr>
          <w:p w14:paraId="7F86BF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0.01791</w:t>
            </w:r>
          </w:p>
        </w:tc>
        <w:tc>
          <w:tcPr>
            <w:tcW w:w="1039" w:type="dxa"/>
            <w:tcBorders>
              <w:tl2br w:val="nil"/>
              <w:tr2bl w:val="nil"/>
            </w:tcBorders>
            <w:vAlign w:val="center"/>
          </w:tcPr>
          <w:p w14:paraId="465A00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0.1791</w:t>
            </w:r>
          </w:p>
        </w:tc>
      </w:tr>
      <w:tr w14:paraId="06F64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30C0E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22</w:t>
            </w:r>
          </w:p>
        </w:tc>
        <w:tc>
          <w:tcPr>
            <w:tcW w:w="933" w:type="dxa"/>
            <w:tcBorders>
              <w:tl2br w:val="nil"/>
              <w:tr2bl w:val="nil"/>
            </w:tcBorders>
            <w:vAlign w:val="center"/>
          </w:tcPr>
          <w:p w14:paraId="1F7D22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499" w:type="dxa"/>
            <w:tcBorders>
              <w:tl2br w:val="nil"/>
              <w:tr2bl w:val="nil"/>
            </w:tcBorders>
            <w:vAlign w:val="center"/>
          </w:tcPr>
          <w:p w14:paraId="3E6671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0.655</w:t>
            </w:r>
          </w:p>
        </w:tc>
        <w:tc>
          <w:tcPr>
            <w:tcW w:w="1284" w:type="dxa"/>
            <w:tcBorders>
              <w:tl2br w:val="nil"/>
              <w:tr2bl w:val="nil"/>
            </w:tcBorders>
            <w:vAlign w:val="center"/>
          </w:tcPr>
          <w:p w14:paraId="06AC28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0.3275</w:t>
            </w:r>
          </w:p>
        </w:tc>
        <w:tc>
          <w:tcPr>
            <w:tcW w:w="1584" w:type="dxa"/>
            <w:tcBorders>
              <w:tl2br w:val="nil"/>
              <w:tr2bl w:val="nil"/>
            </w:tcBorders>
            <w:vAlign w:val="center"/>
          </w:tcPr>
          <w:p w14:paraId="7028C5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1502" w:type="dxa"/>
            <w:tcBorders>
              <w:tl2br w:val="nil"/>
              <w:tr2bl w:val="nil"/>
            </w:tcBorders>
            <w:vAlign w:val="center"/>
          </w:tcPr>
          <w:p w14:paraId="70A8C9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0.01683</w:t>
            </w:r>
          </w:p>
        </w:tc>
        <w:tc>
          <w:tcPr>
            <w:tcW w:w="1039" w:type="dxa"/>
            <w:tcBorders>
              <w:tl2br w:val="nil"/>
              <w:tr2bl w:val="nil"/>
            </w:tcBorders>
            <w:vAlign w:val="center"/>
          </w:tcPr>
          <w:p w14:paraId="6D5C99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0.1683</w:t>
            </w:r>
          </w:p>
        </w:tc>
      </w:tr>
      <w:tr w14:paraId="612A6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40FDE2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23</w:t>
            </w:r>
          </w:p>
        </w:tc>
        <w:tc>
          <w:tcPr>
            <w:tcW w:w="933" w:type="dxa"/>
            <w:tcBorders>
              <w:tl2br w:val="nil"/>
              <w:tr2bl w:val="nil"/>
            </w:tcBorders>
            <w:vAlign w:val="center"/>
          </w:tcPr>
          <w:p w14:paraId="767CECA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499" w:type="dxa"/>
            <w:tcBorders>
              <w:tl2br w:val="nil"/>
              <w:tr2bl w:val="nil"/>
            </w:tcBorders>
            <w:vAlign w:val="center"/>
          </w:tcPr>
          <w:p w14:paraId="7775BA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0.6187</w:t>
            </w:r>
          </w:p>
        </w:tc>
        <w:tc>
          <w:tcPr>
            <w:tcW w:w="1284" w:type="dxa"/>
            <w:tcBorders>
              <w:tl2br w:val="nil"/>
              <w:tr2bl w:val="nil"/>
            </w:tcBorders>
            <w:vAlign w:val="center"/>
          </w:tcPr>
          <w:p w14:paraId="02B22A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0.30935</w:t>
            </w:r>
          </w:p>
        </w:tc>
        <w:tc>
          <w:tcPr>
            <w:tcW w:w="1584" w:type="dxa"/>
            <w:tcBorders>
              <w:tl2br w:val="nil"/>
              <w:tr2bl w:val="nil"/>
            </w:tcBorders>
            <w:vAlign w:val="center"/>
          </w:tcPr>
          <w:p w14:paraId="6E54C4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1502" w:type="dxa"/>
            <w:tcBorders>
              <w:tl2br w:val="nil"/>
              <w:tr2bl w:val="nil"/>
            </w:tcBorders>
            <w:vAlign w:val="center"/>
          </w:tcPr>
          <w:p w14:paraId="66DF28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0.01586</w:t>
            </w:r>
          </w:p>
        </w:tc>
        <w:tc>
          <w:tcPr>
            <w:tcW w:w="1039" w:type="dxa"/>
            <w:tcBorders>
              <w:tl2br w:val="nil"/>
              <w:tr2bl w:val="nil"/>
            </w:tcBorders>
            <w:vAlign w:val="center"/>
          </w:tcPr>
          <w:p w14:paraId="73BC11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0.1586</w:t>
            </w:r>
          </w:p>
        </w:tc>
      </w:tr>
      <w:tr w14:paraId="642FE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1BD6EB3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24</w:t>
            </w:r>
          </w:p>
        </w:tc>
        <w:tc>
          <w:tcPr>
            <w:tcW w:w="933" w:type="dxa"/>
            <w:tcBorders>
              <w:tl2br w:val="nil"/>
              <w:tr2bl w:val="nil"/>
            </w:tcBorders>
            <w:vAlign w:val="center"/>
          </w:tcPr>
          <w:p w14:paraId="7997D8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499" w:type="dxa"/>
            <w:tcBorders>
              <w:tl2br w:val="nil"/>
              <w:tr2bl w:val="nil"/>
            </w:tcBorders>
            <w:vAlign w:val="center"/>
          </w:tcPr>
          <w:p w14:paraId="6ADD69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0.5858</w:t>
            </w:r>
          </w:p>
        </w:tc>
        <w:tc>
          <w:tcPr>
            <w:tcW w:w="1284" w:type="dxa"/>
            <w:tcBorders>
              <w:tl2br w:val="nil"/>
              <w:tr2bl w:val="nil"/>
            </w:tcBorders>
            <w:vAlign w:val="center"/>
          </w:tcPr>
          <w:p w14:paraId="054340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0.2929</w:t>
            </w:r>
          </w:p>
        </w:tc>
        <w:tc>
          <w:tcPr>
            <w:tcW w:w="1584" w:type="dxa"/>
            <w:tcBorders>
              <w:tl2br w:val="nil"/>
              <w:tr2bl w:val="nil"/>
            </w:tcBorders>
            <w:vAlign w:val="center"/>
          </w:tcPr>
          <w:p w14:paraId="436687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1502" w:type="dxa"/>
            <w:tcBorders>
              <w:tl2br w:val="nil"/>
              <w:tr2bl w:val="nil"/>
            </w:tcBorders>
            <w:vAlign w:val="center"/>
          </w:tcPr>
          <w:p w14:paraId="79B5C7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0.01498</w:t>
            </w:r>
          </w:p>
        </w:tc>
        <w:tc>
          <w:tcPr>
            <w:tcW w:w="1039" w:type="dxa"/>
            <w:tcBorders>
              <w:tl2br w:val="nil"/>
              <w:tr2bl w:val="nil"/>
            </w:tcBorders>
            <w:vAlign w:val="center"/>
          </w:tcPr>
          <w:p w14:paraId="4CC0CC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0.1498</w:t>
            </w:r>
          </w:p>
        </w:tc>
      </w:tr>
      <w:tr w14:paraId="396BB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2" w:type="pct"/>
            <w:tcBorders>
              <w:tl2br w:val="nil"/>
              <w:tr2bl w:val="nil"/>
            </w:tcBorders>
            <w:vAlign w:val="center"/>
          </w:tcPr>
          <w:p w14:paraId="39A0F8B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25</w:t>
            </w:r>
          </w:p>
        </w:tc>
        <w:tc>
          <w:tcPr>
            <w:tcW w:w="933" w:type="dxa"/>
            <w:tcBorders>
              <w:tl2br w:val="nil"/>
              <w:tr2bl w:val="nil"/>
            </w:tcBorders>
            <w:vAlign w:val="center"/>
          </w:tcPr>
          <w:p w14:paraId="0B9165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2500</w:t>
            </w:r>
          </w:p>
        </w:tc>
        <w:tc>
          <w:tcPr>
            <w:tcW w:w="1499" w:type="dxa"/>
            <w:tcBorders>
              <w:tl2br w:val="nil"/>
              <w:tr2bl w:val="nil"/>
            </w:tcBorders>
            <w:vAlign w:val="center"/>
          </w:tcPr>
          <w:p w14:paraId="1334C3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0.5284</w:t>
            </w:r>
          </w:p>
        </w:tc>
        <w:tc>
          <w:tcPr>
            <w:tcW w:w="1284" w:type="dxa"/>
            <w:tcBorders>
              <w:tl2br w:val="nil"/>
              <w:tr2bl w:val="nil"/>
            </w:tcBorders>
            <w:vAlign w:val="center"/>
          </w:tcPr>
          <w:p w14:paraId="030E29E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0.2642</w:t>
            </w:r>
          </w:p>
        </w:tc>
        <w:tc>
          <w:tcPr>
            <w:tcW w:w="1584" w:type="dxa"/>
            <w:tcBorders>
              <w:tl2br w:val="nil"/>
              <w:tr2bl w:val="nil"/>
            </w:tcBorders>
            <w:vAlign w:val="center"/>
          </w:tcPr>
          <w:p w14:paraId="78662B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1502" w:type="dxa"/>
            <w:tcBorders>
              <w:tl2br w:val="nil"/>
              <w:tr2bl w:val="nil"/>
            </w:tcBorders>
            <w:vAlign w:val="center"/>
          </w:tcPr>
          <w:p w14:paraId="40386B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0.01418</w:t>
            </w:r>
          </w:p>
        </w:tc>
        <w:tc>
          <w:tcPr>
            <w:tcW w:w="1039" w:type="dxa"/>
            <w:tcBorders>
              <w:tl2br w:val="nil"/>
              <w:tr2bl w:val="nil"/>
            </w:tcBorders>
            <w:vAlign w:val="center"/>
          </w:tcPr>
          <w:p w14:paraId="47427B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0.1418</w:t>
            </w:r>
          </w:p>
        </w:tc>
      </w:tr>
      <w:tr w14:paraId="445DDC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61" w:type="pct"/>
            <w:gridSpan w:val="2"/>
            <w:tcBorders>
              <w:tl2br w:val="nil"/>
              <w:tr2bl w:val="nil"/>
            </w:tcBorders>
            <w:vAlign w:val="center"/>
          </w:tcPr>
          <w:p w14:paraId="346CB55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下风向最大质量浓度及占标率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499" w:type="dxa"/>
            <w:tcBorders>
              <w:tl2br w:val="nil"/>
              <w:tr2bl w:val="nil"/>
            </w:tcBorders>
            <w:vAlign w:val="center"/>
          </w:tcPr>
          <w:p w14:paraId="08F396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7.793</w:t>
            </w:r>
          </w:p>
        </w:tc>
        <w:tc>
          <w:tcPr>
            <w:tcW w:w="1284" w:type="dxa"/>
            <w:tcBorders>
              <w:tl2br w:val="nil"/>
              <w:tr2bl w:val="nil"/>
            </w:tcBorders>
            <w:vAlign w:val="center"/>
          </w:tcPr>
          <w:p w14:paraId="36AB36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3.8965</w:t>
            </w:r>
          </w:p>
        </w:tc>
        <w:tc>
          <w:tcPr>
            <w:tcW w:w="949" w:type="pct"/>
            <w:tcBorders>
              <w:tl2br w:val="nil"/>
              <w:tr2bl w:val="nil"/>
            </w:tcBorders>
            <w:vAlign w:val="center"/>
          </w:tcPr>
          <w:p w14:paraId="7A040C0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w:t>
            </w:r>
          </w:p>
        </w:tc>
        <w:tc>
          <w:tcPr>
            <w:tcW w:w="1502" w:type="dxa"/>
            <w:tcBorders>
              <w:tl2br w:val="nil"/>
              <w:tr2bl w:val="nil"/>
            </w:tcBorders>
            <w:vAlign w:val="center"/>
          </w:tcPr>
          <w:p w14:paraId="241CA2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0.1887</w:t>
            </w:r>
          </w:p>
        </w:tc>
        <w:tc>
          <w:tcPr>
            <w:tcW w:w="1039" w:type="dxa"/>
            <w:tcBorders>
              <w:tl2br w:val="nil"/>
              <w:tr2bl w:val="nil"/>
            </w:tcBorders>
            <w:vAlign w:val="center"/>
          </w:tcPr>
          <w:p w14:paraId="16EB20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1.887</w:t>
            </w:r>
          </w:p>
        </w:tc>
      </w:tr>
    </w:tbl>
    <w:p w14:paraId="69FCE3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表5.2-7黑膜池硫化氢、氨气估算模式计算结果表</w:t>
      </w:r>
    </w:p>
    <w:tbl>
      <w:tblPr>
        <w:tblStyle w:val="183"/>
        <w:tblW w:w="502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03"/>
        <w:gridCol w:w="934"/>
        <w:gridCol w:w="1500"/>
        <w:gridCol w:w="1285"/>
        <w:gridCol w:w="1585"/>
        <w:gridCol w:w="1502"/>
        <w:gridCol w:w="1041"/>
      </w:tblGrid>
      <w:tr w14:paraId="33A6C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vMerge w:val="restart"/>
            <w:tcBorders>
              <w:tl2br w:val="nil"/>
              <w:tr2bl w:val="nil"/>
            </w:tcBorders>
            <w:vAlign w:val="center"/>
          </w:tcPr>
          <w:p w14:paraId="54F81EA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序号</w:t>
            </w:r>
          </w:p>
        </w:tc>
        <w:tc>
          <w:tcPr>
            <w:tcW w:w="559" w:type="pct"/>
            <w:vMerge w:val="restart"/>
            <w:tcBorders>
              <w:tl2br w:val="nil"/>
              <w:tr2bl w:val="nil"/>
            </w:tcBorders>
            <w:vAlign w:val="center"/>
          </w:tcPr>
          <w:p w14:paraId="52BA2489">
            <w:pPr>
              <w:keepNext w:val="0"/>
              <w:keepLines w:val="0"/>
              <w:pageBreakBefore w:val="0"/>
              <w:widowControl w:val="0"/>
              <w:tabs>
                <w:tab w:val="left" w:pos="459"/>
              </w:tabs>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667" w:type="pct"/>
            <w:gridSpan w:val="2"/>
            <w:tcBorders>
              <w:tl2br w:val="nil"/>
              <w:tr2bl w:val="nil"/>
            </w:tcBorders>
            <w:vAlign w:val="center"/>
          </w:tcPr>
          <w:p w14:paraId="73643F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氨</w:t>
            </w:r>
          </w:p>
        </w:tc>
        <w:tc>
          <w:tcPr>
            <w:tcW w:w="949" w:type="pct"/>
            <w:vMerge w:val="restart"/>
            <w:tcBorders>
              <w:tl2br w:val="nil"/>
              <w:tr2bl w:val="nil"/>
            </w:tcBorders>
            <w:vAlign w:val="center"/>
          </w:tcPr>
          <w:p w14:paraId="4AFE4DA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源距下风向距离</w:t>
            </w:r>
            <w:r>
              <w:rPr>
                <w:rFonts w:ascii="Times New Roman" w:hAnsi="Times New Roman" w:eastAsia="宋体" w:cs="Times New Roman"/>
                <w:b w:val="0"/>
                <w:strike w:val="0"/>
                <w:dstrike w:val="0"/>
                <w:color w:val="auto"/>
                <w:spacing w:val="0"/>
                <w:position w:val="0"/>
                <w:sz w:val="21"/>
                <w:szCs w:val="21"/>
                <w:highlight w:val="none"/>
              </w:rPr>
              <w:t>D</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m</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522" w:type="pct"/>
            <w:gridSpan w:val="2"/>
            <w:tcBorders>
              <w:tl2br w:val="nil"/>
              <w:tr2bl w:val="nil"/>
            </w:tcBorders>
            <w:vAlign w:val="center"/>
          </w:tcPr>
          <w:p w14:paraId="03101D6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r>
              <w:rPr>
                <w:rFonts w:ascii="Times New Roman" w:hAnsi="Times New Roman" w:eastAsia="宋体" w:cs="宋体"/>
                <w:b w:val="0"/>
                <w:strike w:val="0"/>
                <w:dstrike w:val="0"/>
                <w:color w:val="auto"/>
                <w:spacing w:val="0"/>
                <w:position w:val="0"/>
                <w:sz w:val="21"/>
                <w:szCs w:val="21"/>
                <w:highlight w:val="none"/>
              </w:rPr>
              <w:t>硫化氢</w:t>
            </w:r>
          </w:p>
        </w:tc>
      </w:tr>
      <w:tr w14:paraId="456E1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vMerge w:val="continue"/>
            <w:tcBorders>
              <w:tl2br w:val="nil"/>
              <w:tr2bl w:val="nil"/>
            </w:tcBorders>
            <w:vAlign w:val="center"/>
          </w:tcPr>
          <w:p w14:paraId="08B056A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559" w:type="pct"/>
            <w:vMerge w:val="continue"/>
            <w:tcBorders>
              <w:tl2br w:val="nil"/>
              <w:tr2bl w:val="nil"/>
            </w:tcBorders>
            <w:vAlign w:val="center"/>
          </w:tcPr>
          <w:p w14:paraId="03F631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b w:val="0"/>
                <w:strike w:val="0"/>
                <w:dstrike w:val="0"/>
                <w:color w:val="auto"/>
                <w:spacing w:val="0"/>
                <w:position w:val="0"/>
                <w:sz w:val="21"/>
                <w:highlight w:val="none"/>
              </w:rPr>
            </w:pPr>
          </w:p>
        </w:tc>
        <w:tc>
          <w:tcPr>
            <w:tcW w:w="898" w:type="pct"/>
            <w:tcBorders>
              <w:tl2br w:val="nil"/>
              <w:tr2bl w:val="nil"/>
            </w:tcBorders>
            <w:vAlign w:val="center"/>
          </w:tcPr>
          <w:p w14:paraId="3D448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hint="eastAsia" w:ascii="Times New Roman" w:hAnsi="Times New Roman" w:eastAsia="宋体" w:cs="Times New Roman"/>
                <w:b w:val="0"/>
                <w:strike w:val="0"/>
                <w:dstrike w:val="0"/>
                <w:color w:val="auto"/>
                <w:spacing w:val="0"/>
                <w:position w:val="0"/>
                <w:sz w:val="21"/>
                <w:szCs w:val="21"/>
                <w:highlight w:val="none"/>
                <w:vertAlign w:val="superscript"/>
                <w:lang w:val="en-US" w:eastAsia="zh-CN"/>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769" w:type="pct"/>
            <w:tcBorders>
              <w:tl2br w:val="nil"/>
              <w:tr2bl w:val="nil"/>
            </w:tcBorders>
            <w:vAlign w:val="center"/>
          </w:tcPr>
          <w:p w14:paraId="3667217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949" w:type="pct"/>
            <w:vMerge w:val="continue"/>
            <w:tcBorders>
              <w:tl2br w:val="nil"/>
              <w:tr2bl w:val="nil"/>
            </w:tcBorders>
            <w:vAlign w:val="center"/>
          </w:tcPr>
          <w:p w14:paraId="494ABD5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b w:val="0"/>
                <w:strike w:val="0"/>
                <w:dstrike w:val="0"/>
                <w:color w:val="auto"/>
                <w:spacing w:val="0"/>
                <w:position w:val="0"/>
                <w:sz w:val="21"/>
                <w:szCs w:val="21"/>
                <w:highlight w:val="none"/>
              </w:rPr>
            </w:pPr>
          </w:p>
        </w:tc>
        <w:tc>
          <w:tcPr>
            <w:tcW w:w="899" w:type="pct"/>
            <w:tcBorders>
              <w:tl2br w:val="nil"/>
              <w:tr2bl w:val="nil"/>
            </w:tcBorders>
            <w:vAlign w:val="center"/>
          </w:tcPr>
          <w:p w14:paraId="02036F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下风向预测浓度</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hint="eastAsia" w:ascii="Times New Roman" w:hAnsi="Times New Roman" w:eastAsia="宋体" w:cs="Times New Roman"/>
                <w:b w:val="0"/>
                <w:strike w:val="0"/>
                <w:dstrike w:val="0"/>
                <w:color w:val="auto"/>
                <w:spacing w:val="0"/>
                <w:position w:val="0"/>
                <w:sz w:val="21"/>
                <w:szCs w:val="21"/>
                <w:highlight w:val="none"/>
                <w:lang w:val="en-US" w:eastAsia="zh-CN"/>
              </w:rPr>
              <w:t>u</w:t>
            </w:r>
            <w:r>
              <w:rPr>
                <w:rFonts w:ascii="Times New Roman" w:hAnsi="Times New Roman" w:eastAsia="宋体" w:cs="Times New Roman"/>
                <w:b w:val="0"/>
                <w:strike w:val="0"/>
                <w:dstrike w:val="0"/>
                <w:color w:val="auto"/>
                <w:spacing w:val="0"/>
                <w:position w:val="0"/>
                <w:sz w:val="21"/>
                <w:szCs w:val="21"/>
                <w:highlight w:val="none"/>
              </w:rPr>
              <w:t>g/m</w:t>
            </w:r>
            <w:r>
              <w:rPr>
                <w:rFonts w:ascii="Times New Roman" w:hAnsi="Times New Roman" w:eastAsia="宋体" w:cs="Times New Roman"/>
                <w:b w:val="0"/>
                <w:strike w:val="0"/>
                <w:dstrike w:val="0"/>
                <w:color w:val="auto"/>
                <w:spacing w:val="0"/>
                <w:position w:val="0"/>
                <w:sz w:val="21"/>
                <w:szCs w:val="14"/>
                <w:highlight w:val="none"/>
                <w:vertAlign w:val="superscript"/>
              </w:rPr>
              <w:t>3</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622" w:type="pct"/>
            <w:tcBorders>
              <w:tl2br w:val="nil"/>
              <w:tr2bl w:val="nil"/>
            </w:tcBorders>
            <w:vAlign w:val="center"/>
          </w:tcPr>
          <w:p w14:paraId="22AC59B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r>
      <w:tr w14:paraId="0C5ED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7A9603B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w:t>
            </w:r>
          </w:p>
        </w:tc>
        <w:tc>
          <w:tcPr>
            <w:tcW w:w="559" w:type="pct"/>
            <w:tcBorders>
              <w:tl2br w:val="nil"/>
              <w:tr2bl w:val="nil"/>
            </w:tcBorders>
            <w:vAlign w:val="center"/>
          </w:tcPr>
          <w:p w14:paraId="5D4652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898" w:type="pct"/>
            <w:tcBorders>
              <w:tl2br w:val="nil"/>
              <w:tr2bl w:val="nil"/>
            </w:tcBorders>
            <w:vAlign w:val="center"/>
          </w:tcPr>
          <w:p w14:paraId="50E924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w:t>
            </w:r>
          </w:p>
        </w:tc>
        <w:tc>
          <w:tcPr>
            <w:tcW w:w="769" w:type="pct"/>
            <w:tcBorders>
              <w:tl2br w:val="nil"/>
              <w:tr2bl w:val="nil"/>
            </w:tcBorders>
            <w:vAlign w:val="center"/>
          </w:tcPr>
          <w:p w14:paraId="10D03A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w:t>
            </w:r>
          </w:p>
        </w:tc>
        <w:tc>
          <w:tcPr>
            <w:tcW w:w="949" w:type="pct"/>
            <w:tcBorders>
              <w:tl2br w:val="nil"/>
              <w:tr2bl w:val="nil"/>
            </w:tcBorders>
            <w:vAlign w:val="center"/>
          </w:tcPr>
          <w:p w14:paraId="3A7DC7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w:t>
            </w:r>
          </w:p>
        </w:tc>
        <w:tc>
          <w:tcPr>
            <w:tcW w:w="899" w:type="pct"/>
            <w:tcBorders>
              <w:tl2br w:val="nil"/>
              <w:tr2bl w:val="nil"/>
            </w:tcBorders>
            <w:vAlign w:val="center"/>
          </w:tcPr>
          <w:p w14:paraId="4CB695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0.1565</w:t>
            </w:r>
          </w:p>
        </w:tc>
        <w:tc>
          <w:tcPr>
            <w:tcW w:w="622" w:type="pct"/>
            <w:tcBorders>
              <w:tl2br w:val="nil"/>
              <w:tr2bl w:val="nil"/>
            </w:tcBorders>
            <w:vAlign w:val="center"/>
          </w:tcPr>
          <w:p w14:paraId="042CAA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1.565</w:t>
            </w:r>
          </w:p>
        </w:tc>
      </w:tr>
      <w:tr w14:paraId="60A10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3DE7580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w:t>
            </w:r>
          </w:p>
        </w:tc>
        <w:tc>
          <w:tcPr>
            <w:tcW w:w="559" w:type="pct"/>
            <w:tcBorders>
              <w:tl2br w:val="nil"/>
              <w:tr2bl w:val="nil"/>
            </w:tcBorders>
            <w:vAlign w:val="center"/>
          </w:tcPr>
          <w:p w14:paraId="506B44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898" w:type="pct"/>
            <w:tcBorders>
              <w:tl2br w:val="nil"/>
              <w:tr2bl w:val="nil"/>
            </w:tcBorders>
            <w:vAlign w:val="center"/>
          </w:tcPr>
          <w:p w14:paraId="5F3830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2.463</w:t>
            </w:r>
          </w:p>
        </w:tc>
        <w:tc>
          <w:tcPr>
            <w:tcW w:w="769" w:type="pct"/>
            <w:tcBorders>
              <w:tl2br w:val="nil"/>
              <w:tr2bl w:val="nil"/>
            </w:tcBorders>
            <w:vAlign w:val="center"/>
          </w:tcPr>
          <w:p w14:paraId="6BD2CC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1.2315</w:t>
            </w:r>
          </w:p>
        </w:tc>
        <w:tc>
          <w:tcPr>
            <w:tcW w:w="949" w:type="pct"/>
            <w:tcBorders>
              <w:tl2br w:val="nil"/>
              <w:tr2bl w:val="nil"/>
            </w:tcBorders>
            <w:vAlign w:val="center"/>
          </w:tcPr>
          <w:p w14:paraId="5FCAFC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w:t>
            </w:r>
          </w:p>
        </w:tc>
        <w:tc>
          <w:tcPr>
            <w:tcW w:w="899" w:type="pct"/>
            <w:tcBorders>
              <w:tl2br w:val="nil"/>
              <w:tr2bl w:val="nil"/>
            </w:tcBorders>
            <w:vAlign w:val="center"/>
          </w:tcPr>
          <w:p w14:paraId="7EB022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0.1071</w:t>
            </w:r>
          </w:p>
        </w:tc>
        <w:tc>
          <w:tcPr>
            <w:tcW w:w="622" w:type="pct"/>
            <w:tcBorders>
              <w:tl2br w:val="nil"/>
              <w:tr2bl w:val="nil"/>
            </w:tcBorders>
            <w:vAlign w:val="center"/>
          </w:tcPr>
          <w:p w14:paraId="0D4711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1.071</w:t>
            </w:r>
          </w:p>
        </w:tc>
      </w:tr>
      <w:tr w14:paraId="57A22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AEC3B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3</w:t>
            </w:r>
          </w:p>
        </w:tc>
        <w:tc>
          <w:tcPr>
            <w:tcW w:w="559" w:type="pct"/>
            <w:tcBorders>
              <w:tl2br w:val="nil"/>
              <w:tr2bl w:val="nil"/>
            </w:tcBorders>
            <w:vAlign w:val="center"/>
          </w:tcPr>
          <w:p w14:paraId="1B30A6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898" w:type="pct"/>
            <w:tcBorders>
              <w:tl2br w:val="nil"/>
              <w:tr2bl w:val="nil"/>
            </w:tcBorders>
            <w:vAlign w:val="center"/>
          </w:tcPr>
          <w:p w14:paraId="1B0CEC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1.364</w:t>
            </w:r>
          </w:p>
        </w:tc>
        <w:tc>
          <w:tcPr>
            <w:tcW w:w="769" w:type="pct"/>
            <w:tcBorders>
              <w:tl2br w:val="nil"/>
              <w:tr2bl w:val="nil"/>
            </w:tcBorders>
            <w:vAlign w:val="center"/>
          </w:tcPr>
          <w:p w14:paraId="6A763F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0.682</w:t>
            </w:r>
          </w:p>
        </w:tc>
        <w:tc>
          <w:tcPr>
            <w:tcW w:w="949" w:type="pct"/>
            <w:tcBorders>
              <w:tl2br w:val="nil"/>
              <w:tr2bl w:val="nil"/>
            </w:tcBorders>
            <w:vAlign w:val="center"/>
          </w:tcPr>
          <w:p w14:paraId="63E7FB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w:t>
            </w:r>
          </w:p>
        </w:tc>
        <w:tc>
          <w:tcPr>
            <w:tcW w:w="899" w:type="pct"/>
            <w:tcBorders>
              <w:tl2br w:val="nil"/>
              <w:tr2bl w:val="nil"/>
            </w:tcBorders>
            <w:vAlign w:val="center"/>
          </w:tcPr>
          <w:p w14:paraId="39F7E7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0.05929</w:t>
            </w:r>
          </w:p>
        </w:tc>
        <w:tc>
          <w:tcPr>
            <w:tcW w:w="622" w:type="pct"/>
            <w:tcBorders>
              <w:tl2br w:val="nil"/>
              <w:tr2bl w:val="nil"/>
            </w:tcBorders>
            <w:vAlign w:val="center"/>
          </w:tcPr>
          <w:p w14:paraId="2311C3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0.5929</w:t>
            </w:r>
          </w:p>
        </w:tc>
      </w:tr>
      <w:tr w14:paraId="478D1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604230D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4</w:t>
            </w:r>
          </w:p>
        </w:tc>
        <w:tc>
          <w:tcPr>
            <w:tcW w:w="559" w:type="pct"/>
            <w:tcBorders>
              <w:tl2br w:val="nil"/>
              <w:tr2bl w:val="nil"/>
            </w:tcBorders>
            <w:vAlign w:val="center"/>
          </w:tcPr>
          <w:p w14:paraId="57186E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898" w:type="pct"/>
            <w:tcBorders>
              <w:tl2br w:val="nil"/>
              <w:tr2bl w:val="nil"/>
            </w:tcBorders>
            <w:vAlign w:val="center"/>
          </w:tcPr>
          <w:p w14:paraId="236DC8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0.875</w:t>
            </w:r>
          </w:p>
        </w:tc>
        <w:tc>
          <w:tcPr>
            <w:tcW w:w="769" w:type="pct"/>
            <w:tcBorders>
              <w:tl2br w:val="nil"/>
              <w:tr2bl w:val="nil"/>
            </w:tcBorders>
            <w:vAlign w:val="center"/>
          </w:tcPr>
          <w:p w14:paraId="7B9F65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0.4375</w:t>
            </w:r>
          </w:p>
        </w:tc>
        <w:tc>
          <w:tcPr>
            <w:tcW w:w="949" w:type="pct"/>
            <w:tcBorders>
              <w:tl2br w:val="nil"/>
              <w:tr2bl w:val="nil"/>
            </w:tcBorders>
            <w:vAlign w:val="center"/>
          </w:tcPr>
          <w:p w14:paraId="718E0A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300</w:t>
            </w:r>
          </w:p>
        </w:tc>
        <w:tc>
          <w:tcPr>
            <w:tcW w:w="899" w:type="pct"/>
            <w:tcBorders>
              <w:tl2br w:val="nil"/>
              <w:tr2bl w:val="nil"/>
            </w:tcBorders>
            <w:vAlign w:val="center"/>
          </w:tcPr>
          <w:p w14:paraId="7BE9D8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0.03804</w:t>
            </w:r>
          </w:p>
        </w:tc>
        <w:tc>
          <w:tcPr>
            <w:tcW w:w="622" w:type="pct"/>
            <w:tcBorders>
              <w:tl2br w:val="nil"/>
              <w:tr2bl w:val="nil"/>
            </w:tcBorders>
            <w:vAlign w:val="center"/>
          </w:tcPr>
          <w:p w14:paraId="2FBADE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0.3804</w:t>
            </w:r>
          </w:p>
        </w:tc>
      </w:tr>
      <w:tr w14:paraId="5FAD4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6EE61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5</w:t>
            </w:r>
          </w:p>
        </w:tc>
        <w:tc>
          <w:tcPr>
            <w:tcW w:w="559" w:type="pct"/>
            <w:tcBorders>
              <w:tl2br w:val="nil"/>
              <w:tr2bl w:val="nil"/>
            </w:tcBorders>
            <w:vAlign w:val="center"/>
          </w:tcPr>
          <w:p w14:paraId="3D4D4B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898" w:type="pct"/>
            <w:tcBorders>
              <w:tl2br w:val="nil"/>
              <w:tr2bl w:val="nil"/>
            </w:tcBorders>
            <w:vAlign w:val="center"/>
          </w:tcPr>
          <w:p w14:paraId="0F2A00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0.6219</w:t>
            </w:r>
          </w:p>
        </w:tc>
        <w:tc>
          <w:tcPr>
            <w:tcW w:w="769" w:type="pct"/>
            <w:tcBorders>
              <w:tl2br w:val="nil"/>
              <w:tr2bl w:val="nil"/>
            </w:tcBorders>
            <w:vAlign w:val="center"/>
          </w:tcPr>
          <w:p w14:paraId="13B0DE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0.31095</w:t>
            </w:r>
          </w:p>
        </w:tc>
        <w:tc>
          <w:tcPr>
            <w:tcW w:w="949" w:type="pct"/>
            <w:tcBorders>
              <w:tl2br w:val="nil"/>
              <w:tr2bl w:val="nil"/>
            </w:tcBorders>
            <w:vAlign w:val="center"/>
          </w:tcPr>
          <w:p w14:paraId="4AAA17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400</w:t>
            </w:r>
          </w:p>
        </w:tc>
        <w:tc>
          <w:tcPr>
            <w:tcW w:w="899" w:type="pct"/>
            <w:tcBorders>
              <w:tl2br w:val="nil"/>
              <w:tr2bl w:val="nil"/>
            </w:tcBorders>
            <w:vAlign w:val="center"/>
          </w:tcPr>
          <w:p w14:paraId="47C276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0.02704</w:t>
            </w:r>
          </w:p>
        </w:tc>
        <w:tc>
          <w:tcPr>
            <w:tcW w:w="622" w:type="pct"/>
            <w:tcBorders>
              <w:tl2br w:val="nil"/>
              <w:tr2bl w:val="nil"/>
            </w:tcBorders>
            <w:vAlign w:val="center"/>
          </w:tcPr>
          <w:p w14:paraId="6C1FA4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0.2704</w:t>
            </w:r>
          </w:p>
        </w:tc>
      </w:tr>
      <w:tr w14:paraId="76DA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67396C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6</w:t>
            </w:r>
          </w:p>
        </w:tc>
        <w:tc>
          <w:tcPr>
            <w:tcW w:w="559" w:type="pct"/>
            <w:tcBorders>
              <w:tl2br w:val="nil"/>
              <w:tr2bl w:val="nil"/>
            </w:tcBorders>
            <w:vAlign w:val="center"/>
          </w:tcPr>
          <w:p w14:paraId="525D67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898" w:type="pct"/>
            <w:tcBorders>
              <w:tl2br w:val="nil"/>
              <w:tr2bl w:val="nil"/>
            </w:tcBorders>
            <w:vAlign w:val="center"/>
          </w:tcPr>
          <w:p w14:paraId="3F3EFB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0.4855</w:t>
            </w:r>
          </w:p>
        </w:tc>
        <w:tc>
          <w:tcPr>
            <w:tcW w:w="769" w:type="pct"/>
            <w:tcBorders>
              <w:tl2br w:val="nil"/>
              <w:tr2bl w:val="nil"/>
            </w:tcBorders>
            <w:vAlign w:val="center"/>
          </w:tcPr>
          <w:p w14:paraId="7024C7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0.24275</w:t>
            </w:r>
          </w:p>
        </w:tc>
        <w:tc>
          <w:tcPr>
            <w:tcW w:w="949" w:type="pct"/>
            <w:tcBorders>
              <w:tl2br w:val="nil"/>
              <w:tr2bl w:val="nil"/>
            </w:tcBorders>
            <w:vAlign w:val="center"/>
          </w:tcPr>
          <w:p w14:paraId="128D19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500</w:t>
            </w:r>
          </w:p>
        </w:tc>
        <w:tc>
          <w:tcPr>
            <w:tcW w:w="899" w:type="pct"/>
            <w:tcBorders>
              <w:tl2br w:val="nil"/>
              <w:tr2bl w:val="nil"/>
            </w:tcBorders>
            <w:vAlign w:val="center"/>
          </w:tcPr>
          <w:p w14:paraId="65BD24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0.02111</w:t>
            </w:r>
          </w:p>
        </w:tc>
        <w:tc>
          <w:tcPr>
            <w:tcW w:w="622" w:type="pct"/>
            <w:tcBorders>
              <w:tl2br w:val="nil"/>
              <w:tr2bl w:val="nil"/>
            </w:tcBorders>
            <w:vAlign w:val="center"/>
          </w:tcPr>
          <w:p w14:paraId="583269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0.2111</w:t>
            </w:r>
          </w:p>
        </w:tc>
      </w:tr>
      <w:tr w14:paraId="22549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483686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bCs/>
                <w:strike w:val="0"/>
                <w:dstrike w:val="0"/>
                <w:color w:val="auto"/>
                <w:spacing w:val="0"/>
                <w:position w:val="0"/>
                <w:sz w:val="21"/>
                <w:szCs w:val="21"/>
                <w:highlight w:val="none"/>
              </w:rPr>
              <w:t>7</w:t>
            </w:r>
          </w:p>
        </w:tc>
        <w:tc>
          <w:tcPr>
            <w:tcW w:w="559" w:type="pct"/>
            <w:tcBorders>
              <w:tl2br w:val="nil"/>
              <w:tr2bl w:val="nil"/>
            </w:tcBorders>
            <w:vAlign w:val="center"/>
          </w:tcPr>
          <w:p w14:paraId="7987FF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898" w:type="pct"/>
            <w:tcBorders>
              <w:tl2br w:val="nil"/>
              <w:tr2bl w:val="nil"/>
            </w:tcBorders>
            <w:vAlign w:val="center"/>
          </w:tcPr>
          <w:p w14:paraId="658786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0.3835</w:t>
            </w:r>
          </w:p>
        </w:tc>
        <w:tc>
          <w:tcPr>
            <w:tcW w:w="769" w:type="pct"/>
            <w:tcBorders>
              <w:tl2br w:val="nil"/>
              <w:tr2bl w:val="nil"/>
            </w:tcBorders>
            <w:vAlign w:val="center"/>
          </w:tcPr>
          <w:p w14:paraId="2DE008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0.19175</w:t>
            </w:r>
          </w:p>
        </w:tc>
        <w:tc>
          <w:tcPr>
            <w:tcW w:w="949" w:type="pct"/>
            <w:tcBorders>
              <w:tl2br w:val="nil"/>
              <w:tr2bl w:val="nil"/>
            </w:tcBorders>
            <w:vAlign w:val="center"/>
          </w:tcPr>
          <w:p w14:paraId="75165D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600</w:t>
            </w:r>
          </w:p>
        </w:tc>
        <w:tc>
          <w:tcPr>
            <w:tcW w:w="899" w:type="pct"/>
            <w:tcBorders>
              <w:tl2br w:val="nil"/>
              <w:tr2bl w:val="nil"/>
            </w:tcBorders>
            <w:vAlign w:val="center"/>
          </w:tcPr>
          <w:p w14:paraId="75B1DA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0.01667</w:t>
            </w:r>
          </w:p>
        </w:tc>
        <w:tc>
          <w:tcPr>
            <w:tcW w:w="622" w:type="pct"/>
            <w:tcBorders>
              <w:tl2br w:val="nil"/>
              <w:tr2bl w:val="nil"/>
            </w:tcBorders>
            <w:vAlign w:val="center"/>
          </w:tcPr>
          <w:p w14:paraId="31CC67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0.1667</w:t>
            </w:r>
          </w:p>
        </w:tc>
      </w:tr>
      <w:tr w14:paraId="227A6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E9AE6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8</w:t>
            </w:r>
          </w:p>
        </w:tc>
        <w:tc>
          <w:tcPr>
            <w:tcW w:w="559" w:type="pct"/>
            <w:tcBorders>
              <w:tl2br w:val="nil"/>
              <w:tr2bl w:val="nil"/>
            </w:tcBorders>
            <w:vAlign w:val="center"/>
          </w:tcPr>
          <w:p w14:paraId="5F8B45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898" w:type="pct"/>
            <w:tcBorders>
              <w:tl2br w:val="nil"/>
              <w:tr2bl w:val="nil"/>
            </w:tcBorders>
            <w:vAlign w:val="center"/>
          </w:tcPr>
          <w:p w14:paraId="65A973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0.2632</w:t>
            </w:r>
          </w:p>
        </w:tc>
        <w:tc>
          <w:tcPr>
            <w:tcW w:w="769" w:type="pct"/>
            <w:tcBorders>
              <w:tl2br w:val="nil"/>
              <w:tr2bl w:val="nil"/>
            </w:tcBorders>
            <w:vAlign w:val="center"/>
          </w:tcPr>
          <w:p w14:paraId="51BDFA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0.1316</w:t>
            </w:r>
          </w:p>
        </w:tc>
        <w:tc>
          <w:tcPr>
            <w:tcW w:w="949" w:type="pct"/>
            <w:tcBorders>
              <w:tl2br w:val="nil"/>
              <w:tr2bl w:val="nil"/>
            </w:tcBorders>
            <w:vAlign w:val="center"/>
          </w:tcPr>
          <w:p w14:paraId="45A790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800</w:t>
            </w:r>
          </w:p>
        </w:tc>
        <w:tc>
          <w:tcPr>
            <w:tcW w:w="899" w:type="pct"/>
            <w:tcBorders>
              <w:tl2br w:val="nil"/>
              <w:tr2bl w:val="nil"/>
            </w:tcBorders>
            <w:vAlign w:val="center"/>
          </w:tcPr>
          <w:p w14:paraId="059E15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0.01144</w:t>
            </w:r>
          </w:p>
        </w:tc>
        <w:tc>
          <w:tcPr>
            <w:tcW w:w="622" w:type="pct"/>
            <w:tcBorders>
              <w:tl2br w:val="nil"/>
              <w:tr2bl w:val="nil"/>
            </w:tcBorders>
            <w:vAlign w:val="center"/>
          </w:tcPr>
          <w:p w14:paraId="3221AD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0.1144</w:t>
            </w:r>
          </w:p>
        </w:tc>
      </w:tr>
      <w:tr w14:paraId="3A47B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A089E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9</w:t>
            </w:r>
          </w:p>
        </w:tc>
        <w:tc>
          <w:tcPr>
            <w:tcW w:w="559" w:type="pct"/>
            <w:tcBorders>
              <w:tl2br w:val="nil"/>
              <w:tr2bl w:val="nil"/>
            </w:tcBorders>
            <w:vAlign w:val="center"/>
          </w:tcPr>
          <w:p w14:paraId="59B3E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898" w:type="pct"/>
            <w:tcBorders>
              <w:tl2br w:val="nil"/>
              <w:tr2bl w:val="nil"/>
            </w:tcBorders>
            <w:vAlign w:val="center"/>
          </w:tcPr>
          <w:p w14:paraId="7842E7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0.2254</w:t>
            </w:r>
          </w:p>
        </w:tc>
        <w:tc>
          <w:tcPr>
            <w:tcW w:w="769" w:type="pct"/>
            <w:tcBorders>
              <w:tl2br w:val="nil"/>
              <w:tr2bl w:val="nil"/>
            </w:tcBorders>
            <w:vAlign w:val="center"/>
          </w:tcPr>
          <w:p w14:paraId="406576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0.1127</w:t>
            </w:r>
          </w:p>
        </w:tc>
        <w:tc>
          <w:tcPr>
            <w:tcW w:w="949" w:type="pct"/>
            <w:tcBorders>
              <w:tl2br w:val="nil"/>
              <w:tr2bl w:val="nil"/>
            </w:tcBorders>
            <w:vAlign w:val="center"/>
          </w:tcPr>
          <w:p w14:paraId="0AC716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900</w:t>
            </w:r>
          </w:p>
        </w:tc>
        <w:tc>
          <w:tcPr>
            <w:tcW w:w="899" w:type="pct"/>
            <w:tcBorders>
              <w:tl2br w:val="nil"/>
              <w:tr2bl w:val="nil"/>
            </w:tcBorders>
            <w:vAlign w:val="center"/>
          </w:tcPr>
          <w:p w14:paraId="7F1EA9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0.009798</w:t>
            </w:r>
          </w:p>
        </w:tc>
        <w:tc>
          <w:tcPr>
            <w:tcW w:w="622" w:type="pct"/>
            <w:tcBorders>
              <w:tl2br w:val="nil"/>
              <w:tr2bl w:val="nil"/>
            </w:tcBorders>
            <w:vAlign w:val="center"/>
          </w:tcPr>
          <w:p w14:paraId="500676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0.09798</w:t>
            </w:r>
          </w:p>
        </w:tc>
      </w:tr>
      <w:tr w14:paraId="5260B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563CCD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10</w:t>
            </w:r>
          </w:p>
        </w:tc>
        <w:tc>
          <w:tcPr>
            <w:tcW w:w="559" w:type="pct"/>
            <w:tcBorders>
              <w:tl2br w:val="nil"/>
              <w:tr2bl w:val="nil"/>
            </w:tcBorders>
            <w:vAlign w:val="center"/>
          </w:tcPr>
          <w:p w14:paraId="317B2A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898" w:type="pct"/>
            <w:tcBorders>
              <w:tl2br w:val="nil"/>
              <w:tr2bl w:val="nil"/>
            </w:tcBorders>
            <w:vAlign w:val="center"/>
          </w:tcPr>
          <w:p w14:paraId="51A366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0.1961</w:t>
            </w:r>
          </w:p>
        </w:tc>
        <w:tc>
          <w:tcPr>
            <w:tcW w:w="769" w:type="pct"/>
            <w:tcBorders>
              <w:tl2br w:val="nil"/>
              <w:tr2bl w:val="nil"/>
            </w:tcBorders>
            <w:vAlign w:val="center"/>
          </w:tcPr>
          <w:p w14:paraId="45C5C9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0.09805</w:t>
            </w:r>
          </w:p>
        </w:tc>
        <w:tc>
          <w:tcPr>
            <w:tcW w:w="949" w:type="pct"/>
            <w:tcBorders>
              <w:tl2br w:val="nil"/>
              <w:tr2bl w:val="nil"/>
            </w:tcBorders>
            <w:vAlign w:val="center"/>
          </w:tcPr>
          <w:p w14:paraId="1E3063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1000</w:t>
            </w:r>
          </w:p>
        </w:tc>
        <w:tc>
          <w:tcPr>
            <w:tcW w:w="899" w:type="pct"/>
            <w:tcBorders>
              <w:tl2br w:val="nil"/>
              <w:tr2bl w:val="nil"/>
            </w:tcBorders>
            <w:vAlign w:val="center"/>
          </w:tcPr>
          <w:p w14:paraId="1053E5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0.008523</w:t>
            </w:r>
          </w:p>
        </w:tc>
        <w:tc>
          <w:tcPr>
            <w:tcW w:w="622" w:type="pct"/>
            <w:tcBorders>
              <w:tl2br w:val="nil"/>
              <w:tr2bl w:val="nil"/>
            </w:tcBorders>
            <w:vAlign w:val="center"/>
          </w:tcPr>
          <w:p w14:paraId="5FAC8E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0.08523</w:t>
            </w:r>
          </w:p>
        </w:tc>
      </w:tr>
      <w:tr w14:paraId="27E98A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56D6484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11</w:t>
            </w:r>
          </w:p>
        </w:tc>
        <w:tc>
          <w:tcPr>
            <w:tcW w:w="559" w:type="pct"/>
            <w:tcBorders>
              <w:tl2br w:val="nil"/>
              <w:tr2bl w:val="nil"/>
            </w:tcBorders>
            <w:vAlign w:val="center"/>
          </w:tcPr>
          <w:p w14:paraId="0A23B1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898" w:type="pct"/>
            <w:tcBorders>
              <w:tl2br w:val="nil"/>
              <w:tr2bl w:val="nil"/>
            </w:tcBorders>
            <w:vAlign w:val="center"/>
          </w:tcPr>
          <w:p w14:paraId="228BDC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0.1728</w:t>
            </w:r>
          </w:p>
        </w:tc>
        <w:tc>
          <w:tcPr>
            <w:tcW w:w="769" w:type="pct"/>
            <w:tcBorders>
              <w:tl2br w:val="nil"/>
              <w:tr2bl w:val="nil"/>
            </w:tcBorders>
            <w:vAlign w:val="center"/>
          </w:tcPr>
          <w:p w14:paraId="15A7AF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0.0864</w:t>
            </w:r>
          </w:p>
        </w:tc>
        <w:tc>
          <w:tcPr>
            <w:tcW w:w="949" w:type="pct"/>
            <w:tcBorders>
              <w:tl2br w:val="nil"/>
              <w:tr2bl w:val="nil"/>
            </w:tcBorders>
            <w:vAlign w:val="center"/>
          </w:tcPr>
          <w:p w14:paraId="2A1FD4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1100</w:t>
            </w:r>
          </w:p>
        </w:tc>
        <w:tc>
          <w:tcPr>
            <w:tcW w:w="899" w:type="pct"/>
            <w:tcBorders>
              <w:tl2br w:val="nil"/>
              <w:tr2bl w:val="nil"/>
            </w:tcBorders>
            <w:vAlign w:val="center"/>
          </w:tcPr>
          <w:p w14:paraId="02E46D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0.007511</w:t>
            </w:r>
          </w:p>
        </w:tc>
        <w:tc>
          <w:tcPr>
            <w:tcW w:w="622" w:type="pct"/>
            <w:tcBorders>
              <w:tl2br w:val="nil"/>
              <w:tr2bl w:val="nil"/>
            </w:tcBorders>
            <w:vAlign w:val="center"/>
          </w:tcPr>
          <w:p w14:paraId="65D4A4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0.07511</w:t>
            </w:r>
          </w:p>
        </w:tc>
      </w:tr>
      <w:tr w14:paraId="3735F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7AE1AB4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12</w:t>
            </w:r>
          </w:p>
        </w:tc>
        <w:tc>
          <w:tcPr>
            <w:tcW w:w="559" w:type="pct"/>
            <w:tcBorders>
              <w:tl2br w:val="nil"/>
              <w:tr2bl w:val="nil"/>
            </w:tcBorders>
            <w:vAlign w:val="center"/>
          </w:tcPr>
          <w:p w14:paraId="6D62CD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898" w:type="pct"/>
            <w:tcBorders>
              <w:tl2br w:val="nil"/>
              <w:tr2bl w:val="nil"/>
            </w:tcBorders>
            <w:vAlign w:val="center"/>
          </w:tcPr>
          <w:p w14:paraId="790F14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0.1539</w:t>
            </w:r>
          </w:p>
        </w:tc>
        <w:tc>
          <w:tcPr>
            <w:tcW w:w="769" w:type="pct"/>
            <w:tcBorders>
              <w:tl2br w:val="nil"/>
              <w:tr2bl w:val="nil"/>
            </w:tcBorders>
            <w:vAlign w:val="center"/>
          </w:tcPr>
          <w:p w14:paraId="1CBE18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0.07695</w:t>
            </w:r>
          </w:p>
        </w:tc>
        <w:tc>
          <w:tcPr>
            <w:tcW w:w="949" w:type="pct"/>
            <w:tcBorders>
              <w:tl2br w:val="nil"/>
              <w:tr2bl w:val="nil"/>
            </w:tcBorders>
            <w:vAlign w:val="center"/>
          </w:tcPr>
          <w:p w14:paraId="5186C3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1200</w:t>
            </w:r>
          </w:p>
        </w:tc>
        <w:tc>
          <w:tcPr>
            <w:tcW w:w="899" w:type="pct"/>
            <w:tcBorders>
              <w:tl2br w:val="nil"/>
              <w:tr2bl w:val="nil"/>
            </w:tcBorders>
            <w:vAlign w:val="center"/>
          </w:tcPr>
          <w:p w14:paraId="075D41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0.00669</w:t>
            </w:r>
          </w:p>
        </w:tc>
        <w:tc>
          <w:tcPr>
            <w:tcW w:w="622" w:type="pct"/>
            <w:tcBorders>
              <w:tl2br w:val="nil"/>
              <w:tr2bl w:val="nil"/>
            </w:tcBorders>
            <w:vAlign w:val="center"/>
          </w:tcPr>
          <w:p w14:paraId="00B82C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0.0669</w:t>
            </w:r>
          </w:p>
        </w:tc>
      </w:tr>
      <w:tr w14:paraId="3BFD5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6DFFBD2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13</w:t>
            </w:r>
          </w:p>
        </w:tc>
        <w:tc>
          <w:tcPr>
            <w:tcW w:w="559" w:type="pct"/>
            <w:tcBorders>
              <w:tl2br w:val="nil"/>
              <w:tr2bl w:val="nil"/>
            </w:tcBorders>
            <w:vAlign w:val="center"/>
          </w:tcPr>
          <w:p w14:paraId="5E1A29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898" w:type="pct"/>
            <w:tcBorders>
              <w:tl2br w:val="nil"/>
              <w:tr2bl w:val="nil"/>
            </w:tcBorders>
            <w:vAlign w:val="center"/>
          </w:tcPr>
          <w:p w14:paraId="7473A4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0.1383</w:t>
            </w:r>
          </w:p>
        </w:tc>
        <w:tc>
          <w:tcPr>
            <w:tcW w:w="769" w:type="pct"/>
            <w:tcBorders>
              <w:tl2br w:val="nil"/>
              <w:tr2bl w:val="nil"/>
            </w:tcBorders>
            <w:vAlign w:val="center"/>
          </w:tcPr>
          <w:p w14:paraId="3701D9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0.06915</w:t>
            </w:r>
          </w:p>
        </w:tc>
        <w:tc>
          <w:tcPr>
            <w:tcW w:w="949" w:type="pct"/>
            <w:tcBorders>
              <w:tl2br w:val="nil"/>
              <w:tr2bl w:val="nil"/>
            </w:tcBorders>
            <w:vAlign w:val="center"/>
          </w:tcPr>
          <w:p w14:paraId="2D79CB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1300</w:t>
            </w:r>
          </w:p>
        </w:tc>
        <w:tc>
          <w:tcPr>
            <w:tcW w:w="899" w:type="pct"/>
            <w:tcBorders>
              <w:tl2br w:val="nil"/>
              <w:tr2bl w:val="nil"/>
            </w:tcBorders>
            <w:vAlign w:val="center"/>
          </w:tcPr>
          <w:p w14:paraId="0F452A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0.006014</w:t>
            </w:r>
          </w:p>
        </w:tc>
        <w:tc>
          <w:tcPr>
            <w:tcW w:w="622" w:type="pct"/>
            <w:tcBorders>
              <w:tl2br w:val="nil"/>
              <w:tr2bl w:val="nil"/>
            </w:tcBorders>
            <w:vAlign w:val="center"/>
          </w:tcPr>
          <w:p w14:paraId="59D51F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0.06014</w:t>
            </w:r>
          </w:p>
        </w:tc>
      </w:tr>
      <w:tr w14:paraId="5641B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AAE76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14</w:t>
            </w:r>
          </w:p>
        </w:tc>
        <w:tc>
          <w:tcPr>
            <w:tcW w:w="559" w:type="pct"/>
            <w:tcBorders>
              <w:tl2br w:val="nil"/>
              <w:tr2bl w:val="nil"/>
            </w:tcBorders>
            <w:vAlign w:val="center"/>
          </w:tcPr>
          <w:p w14:paraId="67ABD2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898" w:type="pct"/>
            <w:tcBorders>
              <w:tl2br w:val="nil"/>
              <w:tr2bl w:val="nil"/>
            </w:tcBorders>
            <w:vAlign w:val="center"/>
          </w:tcPr>
          <w:p w14:paraId="2AE08D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0.1253</w:t>
            </w:r>
          </w:p>
        </w:tc>
        <w:tc>
          <w:tcPr>
            <w:tcW w:w="769" w:type="pct"/>
            <w:tcBorders>
              <w:tl2br w:val="nil"/>
              <w:tr2bl w:val="nil"/>
            </w:tcBorders>
            <w:vAlign w:val="center"/>
          </w:tcPr>
          <w:p w14:paraId="1BF1D2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0.06265</w:t>
            </w:r>
          </w:p>
        </w:tc>
        <w:tc>
          <w:tcPr>
            <w:tcW w:w="949" w:type="pct"/>
            <w:tcBorders>
              <w:tl2br w:val="nil"/>
              <w:tr2bl w:val="nil"/>
            </w:tcBorders>
            <w:vAlign w:val="center"/>
          </w:tcPr>
          <w:p w14:paraId="1198B6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1400</w:t>
            </w:r>
          </w:p>
        </w:tc>
        <w:tc>
          <w:tcPr>
            <w:tcW w:w="899" w:type="pct"/>
            <w:tcBorders>
              <w:tl2br w:val="nil"/>
              <w:tr2bl w:val="nil"/>
            </w:tcBorders>
            <w:vAlign w:val="center"/>
          </w:tcPr>
          <w:p w14:paraId="17E0E3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0.005448</w:t>
            </w:r>
          </w:p>
        </w:tc>
        <w:tc>
          <w:tcPr>
            <w:tcW w:w="622" w:type="pct"/>
            <w:tcBorders>
              <w:tl2br w:val="nil"/>
              <w:tr2bl w:val="nil"/>
            </w:tcBorders>
            <w:vAlign w:val="center"/>
          </w:tcPr>
          <w:p w14:paraId="6D7246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0.05448</w:t>
            </w:r>
          </w:p>
        </w:tc>
      </w:tr>
      <w:tr w14:paraId="16D7B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B62FC0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15</w:t>
            </w:r>
          </w:p>
        </w:tc>
        <w:tc>
          <w:tcPr>
            <w:tcW w:w="559" w:type="pct"/>
            <w:tcBorders>
              <w:tl2br w:val="nil"/>
              <w:tr2bl w:val="nil"/>
            </w:tcBorders>
            <w:vAlign w:val="center"/>
          </w:tcPr>
          <w:p w14:paraId="267A0A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898" w:type="pct"/>
            <w:tcBorders>
              <w:tl2br w:val="nil"/>
              <w:tr2bl w:val="nil"/>
            </w:tcBorders>
            <w:vAlign w:val="center"/>
          </w:tcPr>
          <w:p w14:paraId="418C9F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0.1143</w:t>
            </w:r>
          </w:p>
        </w:tc>
        <w:tc>
          <w:tcPr>
            <w:tcW w:w="769" w:type="pct"/>
            <w:tcBorders>
              <w:tl2br w:val="nil"/>
              <w:tr2bl w:val="nil"/>
            </w:tcBorders>
            <w:vAlign w:val="center"/>
          </w:tcPr>
          <w:p w14:paraId="23C150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0.05715</w:t>
            </w:r>
          </w:p>
        </w:tc>
        <w:tc>
          <w:tcPr>
            <w:tcW w:w="949" w:type="pct"/>
            <w:tcBorders>
              <w:tl2br w:val="nil"/>
              <w:tr2bl w:val="nil"/>
            </w:tcBorders>
            <w:vAlign w:val="center"/>
          </w:tcPr>
          <w:p w14:paraId="0D98D6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1500</w:t>
            </w:r>
          </w:p>
        </w:tc>
        <w:tc>
          <w:tcPr>
            <w:tcW w:w="899" w:type="pct"/>
            <w:tcBorders>
              <w:tl2br w:val="nil"/>
              <w:tr2bl w:val="nil"/>
            </w:tcBorders>
            <w:vAlign w:val="center"/>
          </w:tcPr>
          <w:p w14:paraId="67894D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0.004968</w:t>
            </w:r>
          </w:p>
        </w:tc>
        <w:tc>
          <w:tcPr>
            <w:tcW w:w="622" w:type="pct"/>
            <w:tcBorders>
              <w:tl2br w:val="nil"/>
              <w:tr2bl w:val="nil"/>
            </w:tcBorders>
            <w:vAlign w:val="center"/>
          </w:tcPr>
          <w:p w14:paraId="0309748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0.04968</w:t>
            </w:r>
          </w:p>
        </w:tc>
      </w:tr>
      <w:tr w14:paraId="506D70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4A9CF6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16</w:t>
            </w:r>
          </w:p>
        </w:tc>
        <w:tc>
          <w:tcPr>
            <w:tcW w:w="559" w:type="pct"/>
            <w:tcBorders>
              <w:tl2br w:val="nil"/>
              <w:tr2bl w:val="nil"/>
            </w:tcBorders>
            <w:vAlign w:val="center"/>
          </w:tcPr>
          <w:p w14:paraId="23FF7B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898" w:type="pct"/>
            <w:tcBorders>
              <w:tl2br w:val="nil"/>
              <w:tr2bl w:val="nil"/>
            </w:tcBorders>
            <w:vAlign w:val="center"/>
          </w:tcPr>
          <w:p w14:paraId="6EC1B6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0.1048</w:t>
            </w:r>
          </w:p>
        </w:tc>
        <w:tc>
          <w:tcPr>
            <w:tcW w:w="769" w:type="pct"/>
            <w:tcBorders>
              <w:tl2br w:val="nil"/>
              <w:tr2bl w:val="nil"/>
            </w:tcBorders>
            <w:vAlign w:val="center"/>
          </w:tcPr>
          <w:p w14:paraId="5F97FB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0.0524</w:t>
            </w:r>
          </w:p>
        </w:tc>
        <w:tc>
          <w:tcPr>
            <w:tcW w:w="949" w:type="pct"/>
            <w:tcBorders>
              <w:tl2br w:val="nil"/>
              <w:tr2bl w:val="nil"/>
            </w:tcBorders>
            <w:vAlign w:val="center"/>
          </w:tcPr>
          <w:p w14:paraId="2CB31B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1600</w:t>
            </w:r>
          </w:p>
        </w:tc>
        <w:tc>
          <w:tcPr>
            <w:tcW w:w="899" w:type="pct"/>
            <w:tcBorders>
              <w:tl2br w:val="nil"/>
              <w:tr2bl w:val="nil"/>
            </w:tcBorders>
            <w:vAlign w:val="center"/>
          </w:tcPr>
          <w:p w14:paraId="7E0322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0.004558</w:t>
            </w:r>
          </w:p>
        </w:tc>
        <w:tc>
          <w:tcPr>
            <w:tcW w:w="622" w:type="pct"/>
            <w:tcBorders>
              <w:tl2br w:val="nil"/>
              <w:tr2bl w:val="nil"/>
            </w:tcBorders>
            <w:vAlign w:val="center"/>
          </w:tcPr>
          <w:p w14:paraId="297D63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0.04558</w:t>
            </w:r>
          </w:p>
        </w:tc>
      </w:tr>
      <w:tr w14:paraId="68F0D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088F9EF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17</w:t>
            </w:r>
          </w:p>
        </w:tc>
        <w:tc>
          <w:tcPr>
            <w:tcW w:w="559" w:type="pct"/>
            <w:tcBorders>
              <w:tl2br w:val="nil"/>
              <w:tr2bl w:val="nil"/>
            </w:tcBorders>
            <w:vAlign w:val="center"/>
          </w:tcPr>
          <w:p w14:paraId="329BAD2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898" w:type="pct"/>
            <w:tcBorders>
              <w:tl2br w:val="nil"/>
              <w:tr2bl w:val="nil"/>
            </w:tcBorders>
            <w:vAlign w:val="center"/>
          </w:tcPr>
          <w:p w14:paraId="59ECA1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0.09667</w:t>
            </w:r>
          </w:p>
        </w:tc>
        <w:tc>
          <w:tcPr>
            <w:tcW w:w="769" w:type="pct"/>
            <w:tcBorders>
              <w:tl2br w:val="nil"/>
              <w:tr2bl w:val="nil"/>
            </w:tcBorders>
            <w:vAlign w:val="center"/>
          </w:tcPr>
          <w:p w14:paraId="64462B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0.048335</w:t>
            </w:r>
          </w:p>
        </w:tc>
        <w:tc>
          <w:tcPr>
            <w:tcW w:w="949" w:type="pct"/>
            <w:tcBorders>
              <w:tl2br w:val="nil"/>
              <w:tr2bl w:val="nil"/>
            </w:tcBorders>
            <w:vAlign w:val="center"/>
          </w:tcPr>
          <w:p w14:paraId="3C6F00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1700</w:t>
            </w:r>
          </w:p>
        </w:tc>
        <w:tc>
          <w:tcPr>
            <w:tcW w:w="899" w:type="pct"/>
            <w:tcBorders>
              <w:tl2br w:val="nil"/>
              <w:tr2bl w:val="nil"/>
            </w:tcBorders>
            <w:vAlign w:val="center"/>
          </w:tcPr>
          <w:p w14:paraId="5DC006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0.004202</w:t>
            </w:r>
          </w:p>
        </w:tc>
        <w:tc>
          <w:tcPr>
            <w:tcW w:w="622" w:type="pct"/>
            <w:tcBorders>
              <w:tl2br w:val="nil"/>
              <w:tr2bl w:val="nil"/>
            </w:tcBorders>
            <w:vAlign w:val="center"/>
          </w:tcPr>
          <w:p w14:paraId="72E481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0.04202</w:t>
            </w:r>
          </w:p>
        </w:tc>
      </w:tr>
      <w:tr w14:paraId="48722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56C879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18</w:t>
            </w:r>
          </w:p>
        </w:tc>
        <w:tc>
          <w:tcPr>
            <w:tcW w:w="559" w:type="pct"/>
            <w:tcBorders>
              <w:tl2br w:val="nil"/>
              <w:tr2bl w:val="nil"/>
            </w:tcBorders>
            <w:vAlign w:val="center"/>
          </w:tcPr>
          <w:p w14:paraId="3DA0F6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898" w:type="pct"/>
            <w:tcBorders>
              <w:tl2br w:val="nil"/>
              <w:tr2bl w:val="nil"/>
            </w:tcBorders>
            <w:vAlign w:val="center"/>
          </w:tcPr>
          <w:p w14:paraId="6B4B19D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0.08955</w:t>
            </w:r>
          </w:p>
        </w:tc>
        <w:tc>
          <w:tcPr>
            <w:tcW w:w="769" w:type="pct"/>
            <w:tcBorders>
              <w:tl2br w:val="nil"/>
              <w:tr2bl w:val="nil"/>
            </w:tcBorders>
            <w:vAlign w:val="center"/>
          </w:tcPr>
          <w:p w14:paraId="11CA02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0.044775</w:t>
            </w:r>
          </w:p>
        </w:tc>
        <w:tc>
          <w:tcPr>
            <w:tcW w:w="949" w:type="pct"/>
            <w:tcBorders>
              <w:tl2br w:val="nil"/>
              <w:tr2bl w:val="nil"/>
            </w:tcBorders>
            <w:vAlign w:val="center"/>
          </w:tcPr>
          <w:p w14:paraId="2F9E93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1800</w:t>
            </w:r>
          </w:p>
        </w:tc>
        <w:tc>
          <w:tcPr>
            <w:tcW w:w="899" w:type="pct"/>
            <w:tcBorders>
              <w:tl2br w:val="nil"/>
              <w:tr2bl w:val="nil"/>
            </w:tcBorders>
            <w:vAlign w:val="center"/>
          </w:tcPr>
          <w:p w14:paraId="41489D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0.003893</w:t>
            </w:r>
          </w:p>
        </w:tc>
        <w:tc>
          <w:tcPr>
            <w:tcW w:w="622" w:type="pct"/>
            <w:tcBorders>
              <w:tl2br w:val="nil"/>
              <w:tr2bl w:val="nil"/>
            </w:tcBorders>
            <w:vAlign w:val="center"/>
          </w:tcPr>
          <w:p w14:paraId="09BBEE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0.03893</w:t>
            </w:r>
          </w:p>
        </w:tc>
      </w:tr>
      <w:tr w14:paraId="588CC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6B563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19</w:t>
            </w:r>
          </w:p>
        </w:tc>
        <w:tc>
          <w:tcPr>
            <w:tcW w:w="559" w:type="pct"/>
            <w:tcBorders>
              <w:tl2br w:val="nil"/>
              <w:tr2bl w:val="nil"/>
            </w:tcBorders>
            <w:vAlign w:val="center"/>
          </w:tcPr>
          <w:p w14:paraId="22FDD9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898" w:type="pct"/>
            <w:tcBorders>
              <w:tl2br w:val="nil"/>
              <w:tr2bl w:val="nil"/>
            </w:tcBorders>
            <w:vAlign w:val="center"/>
          </w:tcPr>
          <w:p w14:paraId="645D752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0.07775</w:t>
            </w:r>
          </w:p>
        </w:tc>
        <w:tc>
          <w:tcPr>
            <w:tcW w:w="769" w:type="pct"/>
            <w:tcBorders>
              <w:tl2br w:val="nil"/>
              <w:tr2bl w:val="nil"/>
            </w:tcBorders>
            <w:vAlign w:val="center"/>
          </w:tcPr>
          <w:p w14:paraId="3625D2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0.038875</w:t>
            </w:r>
          </w:p>
        </w:tc>
        <w:tc>
          <w:tcPr>
            <w:tcW w:w="949" w:type="pct"/>
            <w:tcBorders>
              <w:tl2br w:val="nil"/>
              <w:tr2bl w:val="nil"/>
            </w:tcBorders>
            <w:vAlign w:val="center"/>
          </w:tcPr>
          <w:p w14:paraId="3E1D42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2000</w:t>
            </w:r>
          </w:p>
        </w:tc>
        <w:tc>
          <w:tcPr>
            <w:tcW w:w="899" w:type="pct"/>
            <w:tcBorders>
              <w:tl2br w:val="nil"/>
              <w:tr2bl w:val="nil"/>
            </w:tcBorders>
            <w:vAlign w:val="center"/>
          </w:tcPr>
          <w:p w14:paraId="7FB83C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0.00338</w:t>
            </w:r>
          </w:p>
        </w:tc>
        <w:tc>
          <w:tcPr>
            <w:tcW w:w="622" w:type="pct"/>
            <w:tcBorders>
              <w:tl2br w:val="nil"/>
              <w:tr2bl w:val="nil"/>
            </w:tcBorders>
            <w:vAlign w:val="center"/>
          </w:tcPr>
          <w:p w14:paraId="71E3CD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0.0338</w:t>
            </w:r>
          </w:p>
        </w:tc>
      </w:tr>
      <w:tr w14:paraId="36537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2CE8B1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20</w:t>
            </w:r>
          </w:p>
        </w:tc>
        <w:tc>
          <w:tcPr>
            <w:tcW w:w="559" w:type="pct"/>
            <w:tcBorders>
              <w:tl2br w:val="nil"/>
              <w:tr2bl w:val="nil"/>
            </w:tcBorders>
            <w:vAlign w:val="center"/>
          </w:tcPr>
          <w:p w14:paraId="4A05E7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898" w:type="pct"/>
            <w:tcBorders>
              <w:tl2br w:val="nil"/>
              <w:tr2bl w:val="nil"/>
            </w:tcBorders>
            <w:vAlign w:val="center"/>
          </w:tcPr>
          <w:p w14:paraId="36ED78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0.07282</w:t>
            </w:r>
          </w:p>
        </w:tc>
        <w:tc>
          <w:tcPr>
            <w:tcW w:w="769" w:type="pct"/>
            <w:tcBorders>
              <w:tl2br w:val="nil"/>
              <w:tr2bl w:val="nil"/>
            </w:tcBorders>
            <w:vAlign w:val="center"/>
          </w:tcPr>
          <w:p w14:paraId="2823FD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0.03641</w:t>
            </w:r>
          </w:p>
        </w:tc>
        <w:tc>
          <w:tcPr>
            <w:tcW w:w="949" w:type="pct"/>
            <w:tcBorders>
              <w:tl2br w:val="nil"/>
              <w:tr2bl w:val="nil"/>
            </w:tcBorders>
            <w:vAlign w:val="center"/>
          </w:tcPr>
          <w:p w14:paraId="72CECE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2100</w:t>
            </w:r>
          </w:p>
        </w:tc>
        <w:tc>
          <w:tcPr>
            <w:tcW w:w="899" w:type="pct"/>
            <w:tcBorders>
              <w:tl2br w:val="nil"/>
              <w:tr2bl w:val="nil"/>
            </w:tcBorders>
            <w:vAlign w:val="center"/>
          </w:tcPr>
          <w:p w14:paraId="7AEB1E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0.003166</w:t>
            </w:r>
          </w:p>
        </w:tc>
        <w:tc>
          <w:tcPr>
            <w:tcW w:w="622" w:type="pct"/>
            <w:tcBorders>
              <w:tl2br w:val="nil"/>
              <w:tr2bl w:val="nil"/>
            </w:tcBorders>
            <w:vAlign w:val="center"/>
          </w:tcPr>
          <w:p w14:paraId="6FE8E7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0.03166</w:t>
            </w:r>
          </w:p>
        </w:tc>
      </w:tr>
      <w:tr w14:paraId="3FA05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C19B8B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21</w:t>
            </w:r>
          </w:p>
        </w:tc>
        <w:tc>
          <w:tcPr>
            <w:tcW w:w="559" w:type="pct"/>
            <w:tcBorders>
              <w:tl2br w:val="nil"/>
              <w:tr2bl w:val="nil"/>
            </w:tcBorders>
            <w:vAlign w:val="center"/>
          </w:tcPr>
          <w:p w14:paraId="6B426E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898" w:type="pct"/>
            <w:tcBorders>
              <w:tl2br w:val="nil"/>
              <w:tr2bl w:val="nil"/>
            </w:tcBorders>
            <w:vAlign w:val="center"/>
          </w:tcPr>
          <w:p w14:paraId="72A346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0.06841</w:t>
            </w:r>
          </w:p>
        </w:tc>
        <w:tc>
          <w:tcPr>
            <w:tcW w:w="769" w:type="pct"/>
            <w:tcBorders>
              <w:tl2br w:val="nil"/>
              <w:tr2bl w:val="nil"/>
            </w:tcBorders>
            <w:vAlign w:val="center"/>
          </w:tcPr>
          <w:p w14:paraId="7EA26A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0.034205</w:t>
            </w:r>
          </w:p>
        </w:tc>
        <w:tc>
          <w:tcPr>
            <w:tcW w:w="949" w:type="pct"/>
            <w:tcBorders>
              <w:tl2br w:val="nil"/>
              <w:tr2bl w:val="nil"/>
            </w:tcBorders>
            <w:vAlign w:val="center"/>
          </w:tcPr>
          <w:p w14:paraId="524565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2200</w:t>
            </w:r>
          </w:p>
        </w:tc>
        <w:tc>
          <w:tcPr>
            <w:tcW w:w="899" w:type="pct"/>
            <w:tcBorders>
              <w:tl2br w:val="nil"/>
              <w:tr2bl w:val="nil"/>
            </w:tcBorders>
            <w:vAlign w:val="center"/>
          </w:tcPr>
          <w:p w14:paraId="670D11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0.002974</w:t>
            </w:r>
          </w:p>
        </w:tc>
        <w:tc>
          <w:tcPr>
            <w:tcW w:w="622" w:type="pct"/>
            <w:tcBorders>
              <w:tl2br w:val="nil"/>
              <w:tr2bl w:val="nil"/>
            </w:tcBorders>
            <w:vAlign w:val="center"/>
          </w:tcPr>
          <w:p w14:paraId="66F0AC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0.02974</w:t>
            </w:r>
          </w:p>
        </w:tc>
      </w:tr>
      <w:tr w14:paraId="1C94A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159EB25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22</w:t>
            </w:r>
          </w:p>
        </w:tc>
        <w:tc>
          <w:tcPr>
            <w:tcW w:w="559" w:type="pct"/>
            <w:tcBorders>
              <w:tl2br w:val="nil"/>
              <w:tr2bl w:val="nil"/>
            </w:tcBorders>
            <w:vAlign w:val="center"/>
          </w:tcPr>
          <w:p w14:paraId="631917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898" w:type="pct"/>
            <w:tcBorders>
              <w:tl2br w:val="nil"/>
              <w:tr2bl w:val="nil"/>
            </w:tcBorders>
            <w:vAlign w:val="center"/>
          </w:tcPr>
          <w:p w14:paraId="57E9DE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0.06444</w:t>
            </w:r>
          </w:p>
        </w:tc>
        <w:tc>
          <w:tcPr>
            <w:tcW w:w="769" w:type="pct"/>
            <w:tcBorders>
              <w:tl2br w:val="nil"/>
              <w:tr2bl w:val="nil"/>
            </w:tcBorders>
            <w:vAlign w:val="center"/>
          </w:tcPr>
          <w:p w14:paraId="614ED2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0.03222</w:t>
            </w:r>
          </w:p>
        </w:tc>
        <w:tc>
          <w:tcPr>
            <w:tcW w:w="949" w:type="pct"/>
            <w:tcBorders>
              <w:tl2br w:val="nil"/>
              <w:tr2bl w:val="nil"/>
            </w:tcBorders>
            <w:vAlign w:val="center"/>
          </w:tcPr>
          <w:p w14:paraId="3B4E65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2300</w:t>
            </w:r>
          </w:p>
        </w:tc>
        <w:tc>
          <w:tcPr>
            <w:tcW w:w="899" w:type="pct"/>
            <w:tcBorders>
              <w:tl2br w:val="nil"/>
              <w:tr2bl w:val="nil"/>
            </w:tcBorders>
            <w:vAlign w:val="center"/>
          </w:tcPr>
          <w:p w14:paraId="634EA9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0.002802</w:t>
            </w:r>
          </w:p>
        </w:tc>
        <w:tc>
          <w:tcPr>
            <w:tcW w:w="622" w:type="pct"/>
            <w:tcBorders>
              <w:tl2br w:val="nil"/>
              <w:tr2bl w:val="nil"/>
            </w:tcBorders>
            <w:vAlign w:val="center"/>
          </w:tcPr>
          <w:p w14:paraId="0AB0A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0.02802</w:t>
            </w:r>
          </w:p>
        </w:tc>
      </w:tr>
      <w:tr w14:paraId="25061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1" w:type="pct"/>
            <w:tcBorders>
              <w:tl2br w:val="nil"/>
              <w:tr2bl w:val="nil"/>
            </w:tcBorders>
            <w:vAlign w:val="center"/>
          </w:tcPr>
          <w:p w14:paraId="3ED293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b w:val="0"/>
                <w:strike w:val="0"/>
                <w:dstrike w:val="0"/>
                <w:color w:val="auto"/>
                <w:spacing w:val="0"/>
                <w:position w:val="0"/>
                <w:sz w:val="21"/>
                <w:szCs w:val="21"/>
                <w:highlight w:val="none"/>
              </w:rPr>
            </w:pPr>
            <w:r>
              <w:rPr>
                <w:rFonts w:ascii="Times New Roman" w:hAnsi="Times New Roman" w:eastAsia="宋体" w:cs="Times New Roman"/>
                <w:b w:val="0"/>
                <w:strike w:val="0"/>
                <w:dstrike w:val="0"/>
                <w:color w:val="auto"/>
                <w:spacing w:val="0"/>
                <w:position w:val="0"/>
                <w:sz w:val="21"/>
                <w:szCs w:val="21"/>
                <w:highlight w:val="none"/>
              </w:rPr>
              <w:t>23</w:t>
            </w:r>
          </w:p>
        </w:tc>
        <w:tc>
          <w:tcPr>
            <w:tcW w:w="559" w:type="pct"/>
            <w:tcBorders>
              <w:tl2br w:val="nil"/>
              <w:tr2bl w:val="nil"/>
            </w:tcBorders>
            <w:vAlign w:val="center"/>
          </w:tcPr>
          <w:p w14:paraId="06C26F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2500</w:t>
            </w:r>
          </w:p>
        </w:tc>
        <w:tc>
          <w:tcPr>
            <w:tcW w:w="898" w:type="pct"/>
            <w:tcBorders>
              <w:tl2br w:val="nil"/>
              <w:tr2bl w:val="nil"/>
            </w:tcBorders>
            <w:vAlign w:val="center"/>
          </w:tcPr>
          <w:p w14:paraId="0B33D3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0.05761</w:t>
            </w:r>
          </w:p>
        </w:tc>
        <w:tc>
          <w:tcPr>
            <w:tcW w:w="769" w:type="pct"/>
            <w:tcBorders>
              <w:tl2br w:val="nil"/>
              <w:tr2bl w:val="nil"/>
            </w:tcBorders>
            <w:vAlign w:val="center"/>
          </w:tcPr>
          <w:p w14:paraId="211723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0.028805</w:t>
            </w:r>
          </w:p>
        </w:tc>
        <w:tc>
          <w:tcPr>
            <w:tcW w:w="949" w:type="pct"/>
            <w:tcBorders>
              <w:tl2br w:val="nil"/>
              <w:tr2bl w:val="nil"/>
            </w:tcBorders>
            <w:vAlign w:val="center"/>
          </w:tcPr>
          <w:p w14:paraId="6D7C04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2500</w:t>
            </w:r>
          </w:p>
        </w:tc>
        <w:tc>
          <w:tcPr>
            <w:tcW w:w="899" w:type="pct"/>
            <w:tcBorders>
              <w:tl2br w:val="nil"/>
              <w:tr2bl w:val="nil"/>
            </w:tcBorders>
            <w:vAlign w:val="center"/>
          </w:tcPr>
          <w:p w14:paraId="0644519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0.002504</w:t>
            </w:r>
          </w:p>
        </w:tc>
        <w:tc>
          <w:tcPr>
            <w:tcW w:w="622" w:type="pct"/>
            <w:tcBorders>
              <w:tl2br w:val="nil"/>
              <w:tr2bl w:val="nil"/>
            </w:tcBorders>
            <w:vAlign w:val="center"/>
          </w:tcPr>
          <w:p w14:paraId="6D848B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0.02504</w:t>
            </w:r>
          </w:p>
        </w:tc>
      </w:tr>
      <w:tr w14:paraId="23D6D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860" w:type="pct"/>
            <w:gridSpan w:val="2"/>
            <w:tcBorders>
              <w:tl2br w:val="nil"/>
              <w:tr2bl w:val="nil"/>
            </w:tcBorders>
            <w:vAlign w:val="center"/>
          </w:tcPr>
          <w:p w14:paraId="45BD0B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b w:val="0"/>
                <w:strike w:val="0"/>
                <w:dstrike w:val="0"/>
                <w:color w:val="auto"/>
                <w:spacing w:val="0"/>
                <w:position w:val="0"/>
                <w:sz w:val="21"/>
                <w:szCs w:val="21"/>
                <w:highlight w:val="none"/>
                <w:lang w:eastAsia="zh-CN"/>
              </w:rPr>
            </w:pPr>
            <w:r>
              <w:rPr>
                <w:rFonts w:ascii="Times New Roman" w:hAnsi="Times New Roman" w:eastAsia="宋体" w:cs="宋体"/>
                <w:b w:val="0"/>
                <w:strike w:val="0"/>
                <w:dstrike w:val="0"/>
                <w:color w:val="auto"/>
                <w:spacing w:val="0"/>
                <w:position w:val="0"/>
                <w:sz w:val="21"/>
                <w:szCs w:val="21"/>
                <w:highlight w:val="none"/>
              </w:rPr>
              <w:t>下风向最大质量浓度及占标率</w:t>
            </w:r>
            <w:r>
              <w:rPr>
                <w:rFonts w:hint="eastAsia" w:ascii="Times New Roman" w:hAnsi="Times New Roman" w:eastAsia="宋体" w:cs="宋体"/>
                <w:b w:val="0"/>
                <w:strike w:val="0"/>
                <w:dstrike w:val="0"/>
                <w:color w:val="auto"/>
                <w:spacing w:val="0"/>
                <w:position w:val="0"/>
                <w:sz w:val="21"/>
                <w:szCs w:val="21"/>
                <w:highlight w:val="none"/>
                <w:lang w:eastAsia="zh-CN"/>
              </w:rPr>
              <w:t>（</w:t>
            </w:r>
            <w:r>
              <w:rPr>
                <w:rFonts w:ascii="Times New Roman" w:hAnsi="Times New Roman" w:eastAsia="宋体" w:cs="Times New Roman"/>
                <w:b w:val="0"/>
                <w:strike w:val="0"/>
                <w:dstrike w:val="0"/>
                <w:color w:val="auto"/>
                <w:spacing w:val="0"/>
                <w:position w:val="0"/>
                <w:sz w:val="21"/>
                <w:szCs w:val="21"/>
                <w:highlight w:val="none"/>
              </w:rPr>
              <w:t>%</w:t>
            </w:r>
            <w:r>
              <w:rPr>
                <w:rFonts w:hint="eastAsia" w:ascii="Times New Roman" w:hAnsi="Times New Roman" w:eastAsia="宋体" w:cs="宋体"/>
                <w:b w:val="0"/>
                <w:strike w:val="0"/>
                <w:dstrike w:val="0"/>
                <w:color w:val="auto"/>
                <w:spacing w:val="0"/>
                <w:position w:val="0"/>
                <w:sz w:val="21"/>
                <w:szCs w:val="21"/>
                <w:highlight w:val="none"/>
                <w:lang w:eastAsia="zh-CN"/>
              </w:rPr>
              <w:t>）</w:t>
            </w:r>
          </w:p>
        </w:tc>
        <w:tc>
          <w:tcPr>
            <w:tcW w:w="1499" w:type="dxa"/>
            <w:tcBorders>
              <w:tl2br w:val="nil"/>
              <w:tr2bl w:val="nil"/>
            </w:tcBorders>
            <w:vAlign w:val="center"/>
          </w:tcPr>
          <w:p w14:paraId="43619B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3.6</w:t>
            </w:r>
          </w:p>
        </w:tc>
        <w:tc>
          <w:tcPr>
            <w:tcW w:w="1284" w:type="dxa"/>
            <w:tcBorders>
              <w:tl2br w:val="nil"/>
              <w:tr2bl w:val="nil"/>
            </w:tcBorders>
            <w:vAlign w:val="center"/>
          </w:tcPr>
          <w:p w14:paraId="5AC270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1.8</w:t>
            </w:r>
          </w:p>
        </w:tc>
        <w:tc>
          <w:tcPr>
            <w:tcW w:w="949" w:type="pct"/>
            <w:tcBorders>
              <w:tl2br w:val="nil"/>
              <w:tr2bl w:val="nil"/>
            </w:tcBorders>
            <w:vAlign w:val="center"/>
          </w:tcPr>
          <w:p w14:paraId="5A94FC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宋体"/>
                <w:i w:val="0"/>
                <w:iCs w:val="0"/>
                <w:strike w:val="0"/>
                <w:dstrike w:val="0"/>
                <w:color w:val="auto"/>
                <w:kern w:val="0"/>
                <w:sz w:val="21"/>
                <w:szCs w:val="22"/>
                <w:highlight w:val="none"/>
                <w:u w:val="none"/>
                <w:lang w:val="en-US" w:eastAsia="zh-CN" w:bidi="ar"/>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w:t>
            </w:r>
          </w:p>
        </w:tc>
        <w:tc>
          <w:tcPr>
            <w:tcW w:w="1502" w:type="dxa"/>
            <w:tcBorders>
              <w:tl2br w:val="nil"/>
              <w:tr2bl w:val="nil"/>
            </w:tcBorders>
            <w:vAlign w:val="center"/>
          </w:tcPr>
          <w:p w14:paraId="585B93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0.1565</w:t>
            </w:r>
          </w:p>
        </w:tc>
        <w:tc>
          <w:tcPr>
            <w:tcW w:w="1041" w:type="dxa"/>
            <w:tcBorders>
              <w:tl2br w:val="nil"/>
              <w:tr2bl w:val="nil"/>
            </w:tcBorders>
            <w:vAlign w:val="center"/>
          </w:tcPr>
          <w:p w14:paraId="559174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strike w:val="0"/>
                <w:dstrike w:val="0"/>
                <w:color w:val="auto"/>
                <w:spacing w:val="0"/>
                <w:position w:val="0"/>
                <w:sz w:val="21"/>
                <w:szCs w:val="21"/>
                <w:highlight w:val="none"/>
                <w:lang w:val="en-US" w:eastAsia="zh-CN"/>
              </w:rPr>
            </w:pPr>
            <w:r>
              <w:rPr>
                <w:rFonts w:hint="eastAsia" w:ascii="Times New Roman" w:hAnsi="Times New Roman" w:eastAsia="宋体" w:cs="宋体"/>
                <w:i w:val="0"/>
                <w:iCs w:val="0"/>
                <w:strike w:val="0"/>
                <w:dstrike w:val="0"/>
                <w:color w:val="auto"/>
                <w:kern w:val="0"/>
                <w:sz w:val="21"/>
                <w:szCs w:val="22"/>
                <w:highlight w:val="none"/>
                <w:u w:val="none"/>
                <w:lang w:val="en-US" w:eastAsia="zh-CN" w:bidi="ar"/>
              </w:rPr>
              <w:t>1.565</w:t>
            </w:r>
          </w:p>
        </w:tc>
      </w:tr>
    </w:tbl>
    <w:p w14:paraId="3C3C037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olor w:val="auto"/>
        </w:rPr>
      </w:pPr>
      <w:r>
        <w:rPr>
          <w:rFonts w:ascii="Times New Roman" w:hAnsi="Times New Roman" w:eastAsia="宋体" w:cs="宋体"/>
          <w:i w:val="0"/>
          <w:strike w:val="0"/>
          <w:dstrike w:val="0"/>
          <w:color w:val="auto"/>
          <w:spacing w:val="0"/>
          <w:position w:val="0"/>
          <w:sz w:val="24"/>
          <w:szCs w:val="24"/>
          <w:highlight w:val="none"/>
        </w:rPr>
        <w:t>根据估算结果表明，</w:t>
      </w:r>
      <w:r>
        <w:rPr>
          <w:rFonts w:ascii="Times New Roman" w:hAnsi="Times New Roman" w:eastAsia="宋体" w:cs="Times New Roman"/>
          <w:i w:val="0"/>
          <w:strike w:val="0"/>
          <w:dstrike w:val="0"/>
          <w:color w:val="auto"/>
          <w:spacing w:val="0"/>
          <w:position w:val="0"/>
          <w:sz w:val="24"/>
          <w:szCs w:val="24"/>
          <w:highlight w:val="none"/>
        </w:rPr>
        <w:t>NH</w:t>
      </w:r>
      <w:r>
        <w:rPr>
          <w:rFonts w:ascii="Times New Roman" w:hAnsi="Times New Roman" w:eastAsia="宋体" w:cs="Times New Roman"/>
          <w:i w:val="0"/>
          <w:strike w:val="0"/>
          <w:dstrike w:val="0"/>
          <w:color w:val="auto"/>
          <w:spacing w:val="0"/>
          <w:position w:val="0"/>
          <w:sz w:val="24"/>
          <w:szCs w:val="15"/>
          <w:highlight w:val="none"/>
          <w:vertAlign w:val="subscript"/>
        </w:rPr>
        <w:t>3</w:t>
      </w:r>
      <w:r>
        <w:rPr>
          <w:rFonts w:ascii="Times New Roman" w:hAnsi="Times New Roman" w:eastAsia="宋体" w:cs="宋体"/>
          <w:i w:val="0"/>
          <w:strike w:val="0"/>
          <w:dstrike w:val="0"/>
          <w:color w:val="auto"/>
          <w:spacing w:val="0"/>
          <w:position w:val="0"/>
          <w:sz w:val="24"/>
          <w:szCs w:val="24"/>
          <w:highlight w:val="none"/>
        </w:rPr>
        <w:t>最大地面空气质量浓度出现在距离厂界</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72</w:t>
      </w:r>
      <w:r>
        <w:rPr>
          <w:rFonts w:ascii="Times New Roman" w:hAnsi="Times New Roman" w:eastAsia="宋体" w:cs="Times New Roman"/>
          <w:i w:val="0"/>
          <w:strike w:val="0"/>
          <w:dstrike w:val="0"/>
          <w:color w:val="auto"/>
          <w:spacing w:val="0"/>
          <w:position w:val="0"/>
          <w:sz w:val="24"/>
          <w:szCs w:val="24"/>
          <w:highlight w:val="none"/>
        </w:rPr>
        <w:t>m</w:t>
      </w:r>
      <w:r>
        <w:rPr>
          <w:rFonts w:ascii="Times New Roman" w:hAnsi="Times New Roman" w:eastAsia="宋体" w:cs="宋体"/>
          <w:i w:val="0"/>
          <w:strike w:val="0"/>
          <w:dstrike w:val="0"/>
          <w:color w:val="auto"/>
          <w:spacing w:val="0"/>
          <w:position w:val="0"/>
          <w:sz w:val="24"/>
          <w:szCs w:val="24"/>
          <w:highlight w:val="none"/>
        </w:rPr>
        <w:t>处，最大地面空气质量浓度分别为</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7.793u</w:t>
      </w:r>
      <w:r>
        <w:rPr>
          <w:rFonts w:ascii="Times New Roman" w:hAnsi="Times New Roman" w:eastAsia="宋体" w:cs="Times New Roman"/>
          <w:i w:val="0"/>
          <w:strike w:val="0"/>
          <w:dstrike w:val="0"/>
          <w:color w:val="auto"/>
          <w:spacing w:val="0"/>
          <w:position w:val="0"/>
          <w:sz w:val="24"/>
          <w:szCs w:val="24"/>
          <w:highlight w:val="none"/>
        </w:rPr>
        <w:t>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ascii="Times New Roman" w:hAnsi="Times New Roman" w:eastAsia="宋体" w:cs="宋体"/>
          <w:i w:val="0"/>
          <w:strike w:val="0"/>
          <w:dstrike w:val="0"/>
          <w:color w:val="auto"/>
          <w:spacing w:val="0"/>
          <w:position w:val="0"/>
          <w:sz w:val="24"/>
          <w:szCs w:val="24"/>
          <w:highlight w:val="none"/>
        </w:rPr>
        <w:t>，占标率为</w:t>
      </w:r>
      <w:r>
        <w:rPr>
          <w:rFonts w:hint="eastAsia" w:ascii="Times New Roman" w:hAnsi="Times New Roman" w:eastAsia="宋体" w:cs="宋体"/>
          <w:i w:val="0"/>
          <w:strike w:val="0"/>
          <w:dstrike w:val="0"/>
          <w:color w:val="auto"/>
          <w:spacing w:val="0"/>
          <w:position w:val="0"/>
          <w:sz w:val="24"/>
          <w:szCs w:val="24"/>
          <w:highlight w:val="none"/>
          <w:lang w:val="en-US" w:eastAsia="zh-CN"/>
        </w:rPr>
        <w:t>3.8965</w:t>
      </w:r>
      <w:r>
        <w:rPr>
          <w:rFonts w:ascii="Times New Roman" w:hAnsi="Times New Roman" w:eastAsia="宋体" w:cs="Times New Roman"/>
          <w:i w:val="0"/>
          <w:strike w:val="0"/>
          <w:dstrike w:val="0"/>
          <w:color w:val="auto"/>
          <w:spacing w:val="0"/>
          <w:position w:val="0"/>
          <w:sz w:val="24"/>
          <w:szCs w:val="24"/>
          <w:highlight w:val="none"/>
        </w:rPr>
        <w:t>%</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H</w:t>
      </w:r>
      <w:r>
        <w:rPr>
          <w:rFonts w:hint="eastAsia" w:ascii="Times New Roman" w:hAnsi="Times New Roman" w:eastAsia="宋体" w:cs="Times New Roman"/>
          <w:i w:val="0"/>
          <w:strike w:val="0"/>
          <w:dstrike w:val="0"/>
          <w:color w:val="auto"/>
          <w:spacing w:val="0"/>
          <w:position w:val="0"/>
          <w:sz w:val="24"/>
          <w:szCs w:val="24"/>
          <w:highlight w:val="none"/>
          <w:vertAlign w:val="subscript"/>
          <w:lang w:val="en-US" w:eastAsia="zh-CN"/>
        </w:rPr>
        <w:t>2</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S</w:t>
      </w:r>
      <w:r>
        <w:rPr>
          <w:rFonts w:ascii="Times New Roman" w:hAnsi="Times New Roman" w:eastAsia="宋体" w:cs="宋体"/>
          <w:i w:val="0"/>
          <w:strike w:val="0"/>
          <w:dstrike w:val="0"/>
          <w:color w:val="auto"/>
          <w:spacing w:val="0"/>
          <w:position w:val="0"/>
          <w:sz w:val="24"/>
          <w:szCs w:val="24"/>
          <w:highlight w:val="none"/>
        </w:rPr>
        <w:t>最大地面空气质量浓度出现在距离厂界</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249</w:t>
      </w:r>
      <w:r>
        <w:rPr>
          <w:rFonts w:ascii="Times New Roman" w:hAnsi="Times New Roman" w:eastAsia="宋体" w:cs="Times New Roman"/>
          <w:i w:val="0"/>
          <w:strike w:val="0"/>
          <w:dstrike w:val="0"/>
          <w:color w:val="auto"/>
          <w:spacing w:val="0"/>
          <w:position w:val="0"/>
          <w:sz w:val="24"/>
          <w:szCs w:val="24"/>
          <w:highlight w:val="none"/>
        </w:rPr>
        <w:t>m</w:t>
      </w:r>
      <w:r>
        <w:rPr>
          <w:rFonts w:ascii="Times New Roman" w:hAnsi="Times New Roman" w:eastAsia="宋体" w:cs="宋体"/>
          <w:i w:val="0"/>
          <w:strike w:val="0"/>
          <w:dstrike w:val="0"/>
          <w:color w:val="auto"/>
          <w:spacing w:val="0"/>
          <w:position w:val="0"/>
          <w:sz w:val="24"/>
          <w:szCs w:val="24"/>
          <w:highlight w:val="none"/>
        </w:rPr>
        <w:t>处，最大地面空气质量浓度分别为</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0.7657u</w:t>
      </w:r>
      <w:r>
        <w:rPr>
          <w:rFonts w:ascii="Times New Roman" w:hAnsi="Times New Roman" w:eastAsia="宋体" w:cs="Times New Roman"/>
          <w:i w:val="0"/>
          <w:strike w:val="0"/>
          <w:dstrike w:val="0"/>
          <w:color w:val="auto"/>
          <w:spacing w:val="0"/>
          <w:position w:val="0"/>
          <w:sz w:val="24"/>
          <w:szCs w:val="24"/>
          <w:highlight w:val="none"/>
        </w:rPr>
        <w:t>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ascii="Times New Roman" w:hAnsi="Times New Roman" w:eastAsia="宋体" w:cs="宋体"/>
          <w:i w:val="0"/>
          <w:strike w:val="0"/>
          <w:dstrike w:val="0"/>
          <w:color w:val="auto"/>
          <w:spacing w:val="0"/>
          <w:position w:val="0"/>
          <w:sz w:val="24"/>
          <w:szCs w:val="24"/>
          <w:highlight w:val="none"/>
        </w:rPr>
        <w:t>，占标率为</w:t>
      </w:r>
      <w:r>
        <w:rPr>
          <w:rFonts w:hint="eastAsia" w:ascii="Times New Roman" w:hAnsi="Times New Roman" w:eastAsia="宋体" w:cs="宋体"/>
          <w:i w:val="0"/>
          <w:strike w:val="0"/>
          <w:dstrike w:val="0"/>
          <w:color w:val="auto"/>
          <w:spacing w:val="0"/>
          <w:position w:val="0"/>
          <w:sz w:val="24"/>
          <w:szCs w:val="24"/>
          <w:highlight w:val="none"/>
          <w:lang w:val="en-US" w:eastAsia="zh-CN"/>
        </w:rPr>
        <w:t>7.6569</w:t>
      </w:r>
      <w:r>
        <w:rPr>
          <w:rFonts w:ascii="Times New Roman" w:hAnsi="Times New Roman" w:eastAsia="宋体" w:cs="Times New Roman"/>
          <w:i w:val="0"/>
          <w:strike w:val="0"/>
          <w:dstrike w:val="0"/>
          <w:color w:val="auto"/>
          <w:spacing w:val="0"/>
          <w:position w:val="0"/>
          <w:sz w:val="24"/>
          <w:szCs w:val="24"/>
          <w:highlight w:val="none"/>
        </w:rPr>
        <w:t>%</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hint="eastAsia" w:ascii="Times New Roman" w:hAnsi="Times New Roman" w:eastAsia="宋体" w:cs="宋体"/>
          <w:color w:val="auto"/>
          <w:kern w:val="0"/>
          <w:sz w:val="24"/>
          <w:szCs w:val="24"/>
          <w:lang w:val="en-US" w:eastAsia="zh-CN" w:bidi="ar"/>
        </w:rPr>
        <w:t>本项目排放硫化氢和氨满足《恶臭污染物排放标准》（</w:t>
      </w:r>
      <w:r>
        <w:rPr>
          <w:rFonts w:hint="default" w:ascii="Times New Roman" w:hAnsi="Times New Roman" w:eastAsia="宋体" w:cs="Times New Roman"/>
          <w:color w:val="auto"/>
          <w:kern w:val="0"/>
          <w:sz w:val="24"/>
          <w:szCs w:val="24"/>
          <w:lang w:val="en-US" w:eastAsia="zh-CN" w:bidi="ar"/>
        </w:rPr>
        <w:t>GB14554-1993</w:t>
      </w:r>
      <w:r>
        <w:rPr>
          <w:rFonts w:hint="eastAsia" w:ascii="Times New Roman" w:hAnsi="Times New Roman"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1</w:t>
      </w:r>
      <w:r>
        <w:rPr>
          <w:rFonts w:hint="eastAsia" w:ascii="Times New Roman" w:hAnsi="Times New Roman" w:eastAsia="宋体" w:cs="宋体"/>
          <w:color w:val="auto"/>
          <w:kern w:val="0"/>
          <w:sz w:val="24"/>
          <w:szCs w:val="24"/>
          <w:lang w:val="en-US" w:eastAsia="zh-CN" w:bidi="ar"/>
        </w:rPr>
        <w:t>恶臭污染物厂界标准二级标准（</w:t>
      </w:r>
      <w:r>
        <w:rPr>
          <w:rFonts w:hint="default" w:ascii="Times New Roman" w:hAnsi="Times New Roman" w:eastAsia="宋体" w:cs="Times New Roman"/>
          <w:color w:val="auto"/>
          <w:kern w:val="0"/>
          <w:sz w:val="24"/>
          <w:szCs w:val="24"/>
          <w:lang w:val="en-US" w:eastAsia="zh-CN" w:bidi="ar"/>
        </w:rPr>
        <w:t>0.06mg/m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1.5mg/m</w:t>
      </w:r>
      <w:r>
        <w:rPr>
          <w:rFonts w:hint="eastAsia" w:ascii="Times New Roman" w:hAnsi="Times New Roman" w:eastAsia="宋体" w:cs="Times New Roman"/>
          <w:color w:val="auto"/>
          <w:kern w:val="0"/>
          <w:sz w:val="24"/>
          <w:szCs w:val="24"/>
          <w:vertAlign w:val="superscript"/>
          <w:lang w:val="en-US" w:eastAsia="zh-CN" w:bidi="ar"/>
        </w:rPr>
        <w:t>3</w:t>
      </w:r>
      <w:r>
        <w:rPr>
          <w:rFonts w:hint="eastAsia" w:ascii="Times New Roman" w:hAnsi="Times New Roman" w:eastAsia="宋体" w:cs="宋体"/>
          <w:color w:val="auto"/>
          <w:kern w:val="0"/>
          <w:sz w:val="24"/>
          <w:szCs w:val="24"/>
          <w:lang w:val="en-US" w:eastAsia="zh-CN" w:bidi="ar"/>
        </w:rPr>
        <w:t>），对环境影响</w:t>
      </w:r>
      <w:r>
        <w:rPr>
          <w:rFonts w:hint="eastAsia" w:ascii="Times New Roman" w:hAnsi="Times New Roman" w:eastAsia="宋体" w:cs="宋体"/>
          <w:color w:val="auto"/>
          <w:kern w:val="0"/>
          <w:sz w:val="24"/>
          <w:szCs w:val="24"/>
          <w:lang w:val="en-US" w:eastAsia="zh-CN" w:bidi="ar"/>
        </w:rPr>
        <w:t>可接受</w:t>
      </w:r>
      <w:r>
        <w:rPr>
          <w:rFonts w:hint="eastAsia" w:ascii="Times New Roman" w:hAnsi="Times New Roman" w:eastAsia="宋体" w:cs="宋体"/>
          <w:color w:val="auto"/>
          <w:kern w:val="0"/>
          <w:sz w:val="24"/>
          <w:szCs w:val="24"/>
          <w:lang w:val="en-US" w:eastAsia="zh-CN" w:bidi="ar"/>
        </w:rPr>
        <w:t>。</w:t>
      </w:r>
    </w:p>
    <w:p w14:paraId="7000211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i w:val="0"/>
          <w:strike w:val="0"/>
          <w:dstrike w:val="0"/>
          <w:color w:val="auto"/>
          <w:spacing w:val="0"/>
          <w:position w:val="0"/>
          <w:sz w:val="24"/>
          <w:szCs w:val="24"/>
          <w:highlight w:val="none"/>
        </w:rPr>
      </w:pPr>
      <w:r>
        <w:rPr>
          <w:rFonts w:hint="eastAsia" w:ascii="Times New Roman" w:hAnsi="Times New Roman" w:eastAsia="宋体" w:cs="Times New Roman"/>
          <w:i w:val="0"/>
          <w:strike w:val="0"/>
          <w:dstrike w:val="0"/>
          <w:color w:val="auto"/>
          <w:spacing w:val="0"/>
          <w:position w:val="0"/>
          <w:sz w:val="24"/>
          <w:szCs w:val="24"/>
          <w:highlight w:val="none"/>
          <w:lang w:eastAsia="zh-CN"/>
        </w:rPr>
        <w:t>（</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3</w:t>
      </w:r>
      <w:r>
        <w:rPr>
          <w:rFonts w:hint="eastAsia" w:ascii="Times New Roman" w:hAnsi="Times New Roman" w:eastAsia="宋体" w:cs="Times New Roman"/>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污染物排放量核算</w:t>
      </w:r>
    </w:p>
    <w:p w14:paraId="223545D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大气污染物年排放量核算详见表</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5</w:t>
      </w:r>
      <w:r>
        <w:rPr>
          <w:rFonts w:ascii="Times New Roman" w:hAnsi="Times New Roman" w:eastAsia="宋体" w:cs="Times New Roman"/>
          <w:i w:val="0"/>
          <w:strike w:val="0"/>
          <w:dstrike w:val="0"/>
          <w:color w:val="auto"/>
          <w:spacing w:val="0"/>
          <w:position w:val="0"/>
          <w:sz w:val="24"/>
          <w:szCs w:val="24"/>
          <w:highlight w:val="none"/>
        </w:rPr>
        <w:t>.2-8</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5ECCDD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黑体"/>
          <w:b/>
          <w:bCs/>
          <w:i w:val="0"/>
          <w:strike w:val="0"/>
          <w:dstrike w:val="0"/>
          <w:color w:val="auto"/>
          <w:spacing w:val="0"/>
          <w:position w:val="0"/>
          <w:sz w:val="24"/>
          <w:szCs w:val="21"/>
          <w:highlight w:val="none"/>
        </w:rPr>
      </w:pPr>
      <w:r>
        <w:rPr>
          <w:rFonts w:ascii="Times New Roman" w:hAnsi="Times New Roman" w:eastAsia="宋体" w:cs="黑体"/>
          <w:b/>
          <w:bCs/>
          <w:i w:val="0"/>
          <w:strike w:val="0"/>
          <w:dstrike w:val="0"/>
          <w:color w:val="auto"/>
          <w:spacing w:val="0"/>
          <w:position w:val="0"/>
          <w:sz w:val="24"/>
          <w:szCs w:val="21"/>
          <w:highlight w:val="none"/>
        </w:rPr>
        <w:t>表</w:t>
      </w:r>
      <w:r>
        <w:rPr>
          <w:rFonts w:hint="eastAsia" w:ascii="Times New Roman" w:hAnsi="Times New Roman" w:eastAsia="宋体" w:cs="Times New Roman"/>
          <w:b/>
          <w:bCs/>
          <w:i w:val="0"/>
          <w:strike w:val="0"/>
          <w:dstrike w:val="0"/>
          <w:color w:val="auto"/>
          <w:spacing w:val="0"/>
          <w:position w:val="0"/>
          <w:sz w:val="24"/>
          <w:szCs w:val="21"/>
          <w:highlight w:val="none"/>
          <w:lang w:val="en-US" w:eastAsia="zh-CN"/>
        </w:rPr>
        <w:t>5</w:t>
      </w:r>
      <w:r>
        <w:rPr>
          <w:rFonts w:ascii="Times New Roman" w:hAnsi="Times New Roman" w:eastAsia="宋体" w:cs="Times New Roman"/>
          <w:b/>
          <w:bCs/>
          <w:i w:val="0"/>
          <w:strike w:val="0"/>
          <w:dstrike w:val="0"/>
          <w:color w:val="auto"/>
          <w:spacing w:val="0"/>
          <w:position w:val="0"/>
          <w:sz w:val="24"/>
          <w:szCs w:val="21"/>
          <w:highlight w:val="none"/>
        </w:rPr>
        <w:t>.2-8</w:t>
      </w:r>
      <w:r>
        <w:rPr>
          <w:rFonts w:ascii="Times New Roman" w:hAnsi="Times New Roman" w:eastAsia="宋体" w:cs="黑体"/>
          <w:b/>
          <w:bCs/>
          <w:i w:val="0"/>
          <w:strike w:val="0"/>
          <w:dstrike w:val="0"/>
          <w:color w:val="auto"/>
          <w:spacing w:val="0"/>
          <w:position w:val="0"/>
          <w:sz w:val="24"/>
          <w:szCs w:val="21"/>
          <w:highlight w:val="none"/>
        </w:rPr>
        <w:t>大气污染物年排放量核算表</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925"/>
        <w:gridCol w:w="2929"/>
        <w:gridCol w:w="3456"/>
      </w:tblGrid>
      <w:tr w14:paraId="4C800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1158" w:type="pct"/>
            <w:vAlign w:val="center"/>
          </w:tcPr>
          <w:p w14:paraId="62730DF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序号</w:t>
            </w:r>
          </w:p>
        </w:tc>
        <w:tc>
          <w:tcPr>
            <w:tcW w:w="1762" w:type="pct"/>
            <w:vAlign w:val="center"/>
          </w:tcPr>
          <w:p w14:paraId="0750753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污染物</w:t>
            </w:r>
          </w:p>
        </w:tc>
        <w:tc>
          <w:tcPr>
            <w:tcW w:w="2079" w:type="pct"/>
            <w:vAlign w:val="center"/>
          </w:tcPr>
          <w:p w14:paraId="3521B1B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年排放量</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val="en-US" w:eastAsia="zh-CN"/>
              </w:rPr>
              <w:t>kg</w:t>
            </w:r>
            <w:r>
              <w:rPr>
                <w:rFonts w:ascii="Times New Roman" w:hAnsi="Times New Roman" w:eastAsia="宋体" w:cs="Times New Roman"/>
                <w:i w:val="0"/>
                <w:strike w:val="0"/>
                <w:dstrike w:val="0"/>
                <w:color w:val="auto"/>
                <w:spacing w:val="0"/>
                <w:position w:val="0"/>
                <w:sz w:val="21"/>
                <w:szCs w:val="21"/>
                <w:highlight w:val="none"/>
              </w:rPr>
              <w:t>/a</w:t>
            </w:r>
            <w:r>
              <w:rPr>
                <w:rFonts w:hint="eastAsia" w:ascii="Times New Roman" w:hAnsi="Times New Roman" w:eastAsia="宋体" w:cs="宋体"/>
                <w:i w:val="0"/>
                <w:strike w:val="0"/>
                <w:dstrike w:val="0"/>
                <w:color w:val="auto"/>
                <w:spacing w:val="0"/>
                <w:position w:val="0"/>
                <w:sz w:val="21"/>
                <w:szCs w:val="21"/>
                <w:highlight w:val="none"/>
                <w:lang w:eastAsia="zh-CN"/>
              </w:rPr>
              <w:t>）</w:t>
            </w:r>
          </w:p>
        </w:tc>
      </w:tr>
      <w:tr w14:paraId="1EED4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jc w:val="center"/>
        </w:trPr>
        <w:tc>
          <w:tcPr>
            <w:tcW w:w="1158" w:type="pct"/>
            <w:vAlign w:val="center"/>
          </w:tcPr>
          <w:p w14:paraId="586CB0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1</w:t>
            </w:r>
          </w:p>
        </w:tc>
        <w:tc>
          <w:tcPr>
            <w:tcW w:w="1762" w:type="pct"/>
            <w:vAlign w:val="center"/>
          </w:tcPr>
          <w:p w14:paraId="1BD9833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14"/>
                <w:highlight w:val="none"/>
              </w:rPr>
            </w:pP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p>
        </w:tc>
        <w:tc>
          <w:tcPr>
            <w:tcW w:w="2079" w:type="pct"/>
            <w:vAlign w:val="center"/>
          </w:tcPr>
          <w:p w14:paraId="6B3C18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i w:val="0"/>
                <w:strike w:val="0"/>
                <w:dstrike w:val="0"/>
                <w:color w:val="auto"/>
                <w:spacing w:val="0"/>
                <w:position w:val="0"/>
                <w:sz w:val="21"/>
                <w:szCs w:val="21"/>
                <w:highlight w:val="none"/>
                <w:lang w:val="en-US" w:eastAsia="zh-CN"/>
              </w:rPr>
            </w:pPr>
            <w:r>
              <w:rPr>
                <w:rFonts w:hint="eastAsia" w:ascii="Times New Roman" w:hAnsi="Times New Roman" w:eastAsia="宋体" w:cs="Times New Roman"/>
                <w:i w:val="0"/>
                <w:strike w:val="0"/>
                <w:dstrike w:val="0"/>
                <w:color w:val="auto"/>
                <w:spacing w:val="0"/>
                <w:position w:val="0"/>
                <w:sz w:val="21"/>
                <w:szCs w:val="21"/>
                <w:highlight w:val="none"/>
                <w:lang w:val="en-US" w:eastAsia="zh-CN"/>
              </w:rPr>
              <w:t>151.4051</w:t>
            </w:r>
          </w:p>
        </w:tc>
      </w:tr>
      <w:tr w14:paraId="126E5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158" w:type="pct"/>
            <w:vAlign w:val="center"/>
          </w:tcPr>
          <w:p w14:paraId="58F5FFB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2</w:t>
            </w:r>
          </w:p>
        </w:tc>
        <w:tc>
          <w:tcPr>
            <w:tcW w:w="1762" w:type="pct"/>
            <w:vAlign w:val="center"/>
          </w:tcPr>
          <w:p w14:paraId="68778D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p>
        </w:tc>
        <w:tc>
          <w:tcPr>
            <w:tcW w:w="2079" w:type="pct"/>
            <w:vAlign w:val="center"/>
          </w:tcPr>
          <w:p w14:paraId="0F8CC30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Times New Roman"/>
                <w:i w:val="0"/>
                <w:strike w:val="0"/>
                <w:dstrike w:val="0"/>
                <w:color w:val="auto"/>
                <w:spacing w:val="0"/>
                <w:position w:val="0"/>
                <w:sz w:val="21"/>
                <w:szCs w:val="21"/>
                <w:highlight w:val="none"/>
                <w:lang w:val="en-US" w:eastAsia="zh-CN"/>
              </w:rPr>
            </w:pPr>
            <w:r>
              <w:rPr>
                <w:rFonts w:hint="eastAsia" w:ascii="Times New Roman" w:hAnsi="Times New Roman" w:eastAsia="宋体" w:cs="Times New Roman"/>
                <w:i w:val="0"/>
                <w:strike w:val="0"/>
                <w:dstrike w:val="0"/>
                <w:color w:val="auto"/>
                <w:spacing w:val="0"/>
                <w:position w:val="0"/>
                <w:sz w:val="21"/>
                <w:szCs w:val="21"/>
                <w:highlight w:val="none"/>
                <w:lang w:val="en-US" w:eastAsia="zh-CN"/>
              </w:rPr>
              <w:t>14.4015</w:t>
            </w:r>
          </w:p>
        </w:tc>
      </w:tr>
    </w:tbl>
    <w:p w14:paraId="32EF43DF">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.2.1.2防护距离</w:t>
      </w:r>
    </w:p>
    <w:p w14:paraId="5D63D0C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i w:val="0"/>
          <w:strike w:val="0"/>
          <w:dstrike w:val="0"/>
          <w:color w:val="auto"/>
          <w:spacing w:val="0"/>
          <w:position w:val="0"/>
          <w:sz w:val="24"/>
          <w:szCs w:val="24"/>
          <w:highlight w:val="none"/>
        </w:rPr>
      </w:pP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1</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大气环境防护距离</w:t>
      </w:r>
    </w:p>
    <w:p w14:paraId="4A5F4557">
      <w:pPr>
        <w:keepNext w:val="0"/>
        <w:keepLines w:val="0"/>
        <w:pageBreakBefore w:val="0"/>
        <w:widowControl w:val="0"/>
        <w:kinsoku/>
        <w:wordWrap/>
        <w:overflowPunct/>
        <w:topLinePunct w:val="0"/>
        <w:autoSpaceDE/>
        <w:autoSpaceDN/>
        <w:bidi w:val="0"/>
        <w:adjustRightInd/>
        <w:snapToGrid/>
        <w:spacing w:line="360" w:lineRule="auto"/>
        <w:ind w:left="0" w:right="0" w:firstLine="506"/>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因为养殖场环境空气主要污染物是恶臭，也是居民在心理上最关心的</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在《环境影响评价技术导则大气环境》</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HJ2.2-2018</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附录</w:t>
      </w:r>
      <w:r>
        <w:rPr>
          <w:rFonts w:ascii="Times New Roman" w:hAnsi="Times New Roman" w:eastAsia="宋体" w:cs="Times New Roman"/>
          <w:i w:val="0"/>
          <w:strike w:val="0"/>
          <w:dstrike w:val="0"/>
          <w:color w:val="auto"/>
          <w:spacing w:val="0"/>
          <w:position w:val="0"/>
          <w:sz w:val="24"/>
          <w:szCs w:val="24"/>
          <w:highlight w:val="none"/>
        </w:rPr>
        <w:t>D</w:t>
      </w:r>
      <w:r>
        <w:rPr>
          <w:rFonts w:ascii="Times New Roman" w:hAnsi="Times New Roman" w:eastAsia="宋体" w:cs="宋体"/>
          <w:i w:val="0"/>
          <w:strike w:val="0"/>
          <w:dstrike w:val="0"/>
          <w:color w:val="auto"/>
          <w:spacing w:val="0"/>
          <w:position w:val="0"/>
          <w:sz w:val="24"/>
          <w:szCs w:val="24"/>
          <w:highlight w:val="none"/>
        </w:rPr>
        <w:t>其他污染物空气质量浓度参考限值中硫化氢的最高允许浓度为</w:t>
      </w:r>
      <w:r>
        <w:rPr>
          <w:rFonts w:ascii="Times New Roman" w:hAnsi="Times New Roman" w:eastAsia="宋体" w:cs="Times New Roman"/>
          <w:i w:val="0"/>
          <w:strike w:val="0"/>
          <w:dstrike w:val="0"/>
          <w:color w:val="auto"/>
          <w:spacing w:val="0"/>
          <w:position w:val="0"/>
          <w:sz w:val="24"/>
          <w:szCs w:val="24"/>
          <w:highlight w:val="none"/>
        </w:rPr>
        <w:t>0.01mg/m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ascii="Times New Roman" w:hAnsi="Times New Roman" w:eastAsia="宋体" w:cs="宋体"/>
          <w:i w:val="0"/>
          <w:strike w:val="0"/>
          <w:dstrike w:val="0"/>
          <w:color w:val="auto"/>
          <w:spacing w:val="0"/>
          <w:position w:val="0"/>
          <w:sz w:val="24"/>
          <w:szCs w:val="24"/>
          <w:highlight w:val="none"/>
        </w:rPr>
        <w:t>，氨气的最高允许浓度为</w:t>
      </w:r>
      <w:r>
        <w:rPr>
          <w:rFonts w:ascii="Times New Roman" w:hAnsi="Times New Roman" w:eastAsia="宋体" w:cs="Times New Roman"/>
          <w:i w:val="0"/>
          <w:strike w:val="0"/>
          <w:dstrike w:val="0"/>
          <w:color w:val="auto"/>
          <w:spacing w:val="0"/>
          <w:position w:val="0"/>
          <w:sz w:val="24"/>
          <w:szCs w:val="24"/>
          <w:highlight w:val="none"/>
        </w:rPr>
        <w:t>0.2mg/m</w:t>
      </w:r>
      <w:r>
        <w:rPr>
          <w:rFonts w:ascii="Times New Roman" w:hAnsi="Times New Roman" w:eastAsia="宋体" w:cs="Times New Roman"/>
          <w:i w:val="0"/>
          <w:strike w:val="0"/>
          <w:dstrike w:val="0"/>
          <w:color w:val="auto"/>
          <w:spacing w:val="0"/>
          <w:position w:val="0"/>
          <w:sz w:val="24"/>
          <w:szCs w:val="15"/>
          <w:highlight w:val="none"/>
          <w:vertAlign w:val="superscript"/>
        </w:rPr>
        <w:t>3</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本次评价采用《环境影响评价技术导则大气环境》</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HJ2.2-2018</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推荐的估算模型</w:t>
      </w:r>
      <w:r>
        <w:rPr>
          <w:rFonts w:ascii="Times New Roman" w:hAnsi="Times New Roman" w:eastAsia="宋体" w:cs="Times New Roman"/>
          <w:i w:val="0"/>
          <w:strike w:val="0"/>
          <w:dstrike w:val="0"/>
          <w:color w:val="auto"/>
          <w:spacing w:val="0"/>
          <w:position w:val="0"/>
          <w:sz w:val="24"/>
          <w:szCs w:val="24"/>
          <w:highlight w:val="none"/>
        </w:rPr>
        <w:t>AERSCREEN</w:t>
      </w:r>
      <w:r>
        <w:rPr>
          <w:rFonts w:ascii="Times New Roman" w:hAnsi="Times New Roman" w:eastAsia="宋体" w:cs="宋体"/>
          <w:i w:val="0"/>
          <w:strike w:val="0"/>
          <w:dstrike w:val="0"/>
          <w:color w:val="auto"/>
          <w:spacing w:val="0"/>
          <w:position w:val="0"/>
          <w:sz w:val="24"/>
          <w:szCs w:val="24"/>
          <w:highlight w:val="none"/>
        </w:rPr>
        <w:t>计算，本项目恶臭气体无组织排放未出现超标现象，因此项目不需设大气环境防护距离</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6365BF65">
      <w:pPr>
        <w:keepNext w:val="0"/>
        <w:keepLines w:val="0"/>
        <w:pageBreakBefore w:val="0"/>
        <w:widowControl w:val="0"/>
        <w:kinsoku/>
        <w:wordWrap/>
        <w:overflowPunct/>
        <w:topLinePunct w:val="0"/>
        <w:autoSpaceDE/>
        <w:autoSpaceDN/>
        <w:bidi w:val="0"/>
        <w:adjustRightInd/>
        <w:snapToGrid/>
        <w:spacing w:line="360" w:lineRule="auto"/>
        <w:ind w:left="0" w:right="0" w:firstLine="49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2</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本项目无相关卫生距离标准，根据《畜禽养殖业污染防治技术规范》</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HJ/T81-2001</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中要求，新建、改建、扩建的畜禽养殖场场界与该标准中规定的禁建区域的最小距离不得小于</w:t>
      </w:r>
      <w:r>
        <w:rPr>
          <w:rFonts w:ascii="Times New Roman" w:hAnsi="Times New Roman" w:eastAsia="宋体" w:cs="Times New Roman"/>
          <w:i w:val="0"/>
          <w:strike w:val="0"/>
          <w:dstrike w:val="0"/>
          <w:color w:val="auto"/>
          <w:spacing w:val="0"/>
          <w:position w:val="0"/>
          <w:sz w:val="24"/>
          <w:szCs w:val="24"/>
          <w:highlight w:val="none"/>
        </w:rPr>
        <w:t>500m</w:t>
      </w:r>
      <w:r>
        <w:rPr>
          <w:rFonts w:ascii="Times New Roman" w:hAnsi="Times New Roman" w:eastAsia="宋体" w:cs="宋体"/>
          <w:i w:val="0"/>
          <w:strike w:val="0"/>
          <w:dstrike w:val="0"/>
          <w:color w:val="auto"/>
          <w:spacing w:val="0"/>
          <w:position w:val="0"/>
          <w:sz w:val="24"/>
          <w:szCs w:val="24"/>
          <w:highlight w:val="none"/>
        </w:rPr>
        <w:t>，禁建区域包括：生活饮用水水源保护区、风景名胜区、自然保护区的核心区及缓冲区；城市和城镇居民区，包括文教科研区、医疗区、商业区、工业区、游览区等人口集中地区；县级人民政府依法划定的禁养区域；国家或地方法律、法规规定需特殊保护的其它区域</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因此确定本项目卫生防护距离为</w:t>
      </w:r>
      <w:r>
        <w:rPr>
          <w:rFonts w:ascii="Times New Roman" w:hAnsi="Times New Roman" w:eastAsia="宋体" w:cs="Times New Roman"/>
          <w:i w:val="0"/>
          <w:strike w:val="0"/>
          <w:dstrike w:val="0"/>
          <w:color w:val="auto"/>
          <w:spacing w:val="0"/>
          <w:position w:val="0"/>
          <w:sz w:val="24"/>
          <w:szCs w:val="24"/>
          <w:highlight w:val="none"/>
        </w:rPr>
        <w:t>500m</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47E2CB5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i w:val="0"/>
          <w:strike w:val="0"/>
          <w:dstrike w:val="0"/>
          <w:color w:val="auto"/>
          <w:spacing w:val="0"/>
          <w:position w:val="0"/>
          <w:sz w:val="24"/>
          <w:szCs w:val="24"/>
          <w:highlight w:val="none"/>
        </w:rPr>
      </w:pP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Times New Roman"/>
          <w:i w:val="0"/>
          <w:strike w:val="0"/>
          <w:dstrike w:val="0"/>
          <w:color w:val="auto"/>
          <w:spacing w:val="0"/>
          <w:position w:val="0"/>
          <w:sz w:val="24"/>
          <w:szCs w:val="24"/>
          <w:highlight w:val="none"/>
        </w:rPr>
        <w:t>3</w:t>
      </w:r>
      <w:r>
        <w:rPr>
          <w:rFonts w:hint="eastAsia" w:ascii="Times New Roman" w:hAnsi="Times New Roman" w:eastAsia="宋体" w:cs="宋体"/>
          <w:i w:val="0"/>
          <w:strike w:val="0"/>
          <w:dstrike w:val="0"/>
          <w:color w:val="auto"/>
          <w:spacing w:val="0"/>
          <w:position w:val="0"/>
          <w:sz w:val="24"/>
          <w:szCs w:val="24"/>
          <w:highlight w:val="none"/>
          <w:lang w:eastAsia="zh-CN"/>
        </w:rPr>
        <w:t>）</w:t>
      </w:r>
      <w:r>
        <w:rPr>
          <w:rFonts w:ascii="Times New Roman" w:hAnsi="Times New Roman" w:eastAsia="宋体" w:cs="宋体"/>
          <w:i w:val="0"/>
          <w:strike w:val="0"/>
          <w:dstrike w:val="0"/>
          <w:color w:val="auto"/>
          <w:spacing w:val="0"/>
          <w:position w:val="0"/>
          <w:sz w:val="24"/>
          <w:szCs w:val="24"/>
          <w:highlight w:val="none"/>
        </w:rPr>
        <w:t>防护距离结论</w:t>
      </w:r>
    </w:p>
    <w:p w14:paraId="033364D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综合上述分析，确定本项目的防护距离为</w:t>
      </w:r>
      <w:r>
        <w:rPr>
          <w:rFonts w:ascii="Times New Roman" w:hAnsi="Times New Roman" w:eastAsia="宋体" w:cs="Times New Roman"/>
          <w:i w:val="0"/>
          <w:strike w:val="0"/>
          <w:dstrike w:val="0"/>
          <w:color w:val="auto"/>
          <w:spacing w:val="0"/>
          <w:position w:val="0"/>
          <w:sz w:val="24"/>
          <w:szCs w:val="24"/>
          <w:highlight w:val="none"/>
        </w:rPr>
        <w:t>500m</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3A5B0D2B">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根据现场调查，以拟建养殖场场界为起点外扩</w:t>
      </w:r>
      <w:r>
        <w:rPr>
          <w:rFonts w:ascii="Times New Roman" w:hAnsi="Times New Roman" w:eastAsia="宋体" w:cs="Times New Roman"/>
          <w:i w:val="0"/>
          <w:strike w:val="0"/>
          <w:dstrike w:val="0"/>
          <w:color w:val="auto"/>
          <w:spacing w:val="0"/>
          <w:position w:val="0"/>
          <w:sz w:val="24"/>
          <w:szCs w:val="24"/>
          <w:highlight w:val="none"/>
        </w:rPr>
        <w:t>500m</w:t>
      </w:r>
      <w:r>
        <w:rPr>
          <w:rFonts w:ascii="Times New Roman" w:hAnsi="Times New Roman" w:eastAsia="宋体" w:cs="宋体"/>
          <w:i w:val="0"/>
          <w:strike w:val="0"/>
          <w:dstrike w:val="0"/>
          <w:color w:val="auto"/>
          <w:spacing w:val="0"/>
          <w:position w:val="0"/>
          <w:sz w:val="24"/>
          <w:szCs w:val="24"/>
          <w:highlight w:val="none"/>
        </w:rPr>
        <w:t>范围内无环境敏感点分布，满足项目环境防护距离要求</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2B5CC0A5">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5.2.1.3</w:t>
      </w:r>
      <w:r>
        <w:rPr>
          <w:rFonts w:hint="eastAsia" w:ascii="Times New Roman" w:hAnsi="Times New Roman" w:eastAsia="宋体"/>
          <w:strike w:val="0"/>
          <w:dstrike w:val="0"/>
          <w:color w:val="auto"/>
          <w:highlight w:val="none"/>
        </w:rPr>
        <w:t>大气环境影响评价自查表</w:t>
      </w:r>
    </w:p>
    <w:p w14:paraId="2E70DAA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i w:val="0"/>
          <w:strike w:val="0"/>
          <w:dstrike w:val="0"/>
          <w:color w:val="auto"/>
          <w:spacing w:val="0"/>
          <w:position w:val="0"/>
          <w:sz w:val="24"/>
          <w:szCs w:val="24"/>
          <w:highlight w:val="none"/>
          <w:lang w:eastAsia="zh-CN"/>
        </w:rPr>
      </w:pPr>
      <w:r>
        <w:rPr>
          <w:rFonts w:ascii="Times New Roman" w:hAnsi="Times New Roman" w:eastAsia="宋体" w:cs="宋体"/>
          <w:i w:val="0"/>
          <w:strike w:val="0"/>
          <w:dstrike w:val="0"/>
          <w:color w:val="auto"/>
          <w:spacing w:val="0"/>
          <w:position w:val="0"/>
          <w:sz w:val="24"/>
          <w:szCs w:val="24"/>
          <w:highlight w:val="none"/>
        </w:rPr>
        <w:t>建设项目大气环境影响评价自查表详见表</w:t>
      </w:r>
      <w:r>
        <w:rPr>
          <w:rFonts w:hint="eastAsia" w:ascii="Times New Roman" w:hAnsi="Times New Roman" w:eastAsia="宋体" w:cs="Times New Roman"/>
          <w:i w:val="0"/>
          <w:strike w:val="0"/>
          <w:dstrike w:val="0"/>
          <w:color w:val="auto"/>
          <w:spacing w:val="0"/>
          <w:position w:val="0"/>
          <w:sz w:val="24"/>
          <w:szCs w:val="24"/>
          <w:highlight w:val="none"/>
          <w:lang w:val="en-US" w:eastAsia="zh-CN"/>
        </w:rPr>
        <w:t>5</w:t>
      </w:r>
      <w:r>
        <w:rPr>
          <w:rFonts w:ascii="Times New Roman" w:hAnsi="Times New Roman" w:eastAsia="宋体" w:cs="Times New Roman"/>
          <w:i w:val="0"/>
          <w:strike w:val="0"/>
          <w:dstrike w:val="0"/>
          <w:color w:val="auto"/>
          <w:spacing w:val="0"/>
          <w:position w:val="0"/>
          <w:sz w:val="24"/>
          <w:szCs w:val="24"/>
          <w:highlight w:val="none"/>
        </w:rPr>
        <w:t>.2-9</w:t>
      </w:r>
      <w:r>
        <w:rPr>
          <w:rFonts w:hint="eastAsia" w:ascii="Times New Roman" w:hAnsi="Times New Roman" w:eastAsia="宋体" w:cs="宋体"/>
          <w:i w:val="0"/>
          <w:strike w:val="0"/>
          <w:dstrike w:val="0"/>
          <w:color w:val="auto"/>
          <w:spacing w:val="0"/>
          <w:position w:val="0"/>
          <w:sz w:val="24"/>
          <w:szCs w:val="24"/>
          <w:highlight w:val="none"/>
          <w:lang w:eastAsia="zh-CN"/>
        </w:rPr>
        <w:t>。</w:t>
      </w:r>
    </w:p>
    <w:p w14:paraId="69E018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表5.2-9建设项目大气环境影响评价自查表</w:t>
      </w:r>
    </w:p>
    <w:tbl>
      <w:tblPr>
        <w:tblStyle w:val="183"/>
        <w:tblW w:w="500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80"/>
        <w:gridCol w:w="1295"/>
        <w:gridCol w:w="1175"/>
        <w:gridCol w:w="186"/>
        <w:gridCol w:w="183"/>
        <w:gridCol w:w="185"/>
        <w:gridCol w:w="186"/>
        <w:gridCol w:w="1342"/>
        <w:gridCol w:w="1080"/>
        <w:gridCol w:w="455"/>
        <w:gridCol w:w="357"/>
        <w:gridCol w:w="221"/>
        <w:gridCol w:w="204"/>
        <w:gridCol w:w="977"/>
      </w:tblGrid>
      <w:tr w14:paraId="366A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1111" w:type="pct"/>
            <w:gridSpan w:val="2"/>
            <w:tcBorders>
              <w:tl2br w:val="nil"/>
              <w:tr2bl w:val="nil"/>
            </w:tcBorders>
            <w:vAlign w:val="center"/>
          </w:tcPr>
          <w:p w14:paraId="2CE4A5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工作内容</w:t>
            </w:r>
          </w:p>
        </w:tc>
        <w:tc>
          <w:tcPr>
            <w:tcW w:w="3888" w:type="pct"/>
            <w:gridSpan w:val="12"/>
            <w:tcBorders>
              <w:tl2br w:val="nil"/>
              <w:tr2bl w:val="nil"/>
            </w:tcBorders>
            <w:vAlign w:val="center"/>
          </w:tcPr>
          <w:p w14:paraId="1AA387F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自查项目</w:t>
            </w:r>
          </w:p>
        </w:tc>
      </w:tr>
      <w:tr w14:paraId="12A0D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restart"/>
            <w:tcBorders>
              <w:tl2br w:val="nil"/>
              <w:tr2bl w:val="nil"/>
            </w:tcBorders>
            <w:vAlign w:val="center"/>
          </w:tcPr>
          <w:p w14:paraId="3C5AE2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评价等级与范围</w:t>
            </w:r>
          </w:p>
        </w:tc>
        <w:tc>
          <w:tcPr>
            <w:tcW w:w="799" w:type="pct"/>
            <w:tcBorders>
              <w:tl2br w:val="nil"/>
              <w:tr2bl w:val="nil"/>
            </w:tcBorders>
            <w:vAlign w:val="center"/>
          </w:tcPr>
          <w:p w14:paraId="79FB8F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评价等级</w:t>
            </w:r>
          </w:p>
        </w:tc>
        <w:tc>
          <w:tcPr>
            <w:tcW w:w="1117" w:type="pct"/>
            <w:gridSpan w:val="5"/>
            <w:tcBorders>
              <w:tl2br w:val="nil"/>
              <w:tr2bl w:val="nil"/>
            </w:tcBorders>
            <w:vAlign w:val="center"/>
          </w:tcPr>
          <w:p w14:paraId="572CF1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一级</w:t>
            </w:r>
            <w:r>
              <w:rPr>
                <w:rFonts w:ascii="Times New Roman" w:hAnsi="Times New Roman" w:eastAsia="宋体" w:cs="Times New Roman"/>
                <w:i w:val="0"/>
                <w:strike w:val="0"/>
                <w:dstrike w:val="0"/>
                <w:color w:val="auto"/>
                <w:spacing w:val="0"/>
                <w:position w:val="0"/>
                <w:sz w:val="21"/>
                <w:szCs w:val="21"/>
                <w:highlight w:val="none"/>
              </w:rPr>
              <w:t>□</w:t>
            </w:r>
          </w:p>
        </w:tc>
        <w:tc>
          <w:tcPr>
            <w:tcW w:w="1863" w:type="pct"/>
            <w:gridSpan w:val="4"/>
            <w:tcBorders>
              <w:tl2br w:val="nil"/>
              <w:tr2bl w:val="nil"/>
            </w:tcBorders>
            <w:vAlign w:val="center"/>
          </w:tcPr>
          <w:p w14:paraId="64E7AD6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MS Gothic"/>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二级</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908" w:type="pct"/>
            <w:gridSpan w:val="3"/>
            <w:tcBorders>
              <w:tl2br w:val="nil"/>
              <w:tr2bl w:val="nil"/>
            </w:tcBorders>
            <w:vAlign w:val="center"/>
          </w:tcPr>
          <w:p w14:paraId="53F6E3D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三级</w:t>
            </w:r>
            <w:r>
              <w:rPr>
                <w:rFonts w:hint="eastAsia" w:ascii="Times New Roman" w:hAnsi="Times New Roman" w:eastAsia="宋体" w:cs="宋体"/>
                <w:i w:val="0"/>
                <w:strike w:val="0"/>
                <w:dstrike w:val="0"/>
                <w:color w:val="auto"/>
                <w:spacing w:val="0"/>
                <w:position w:val="0"/>
                <w:sz w:val="21"/>
                <w:szCs w:val="21"/>
                <w:highlight w:val="none"/>
                <w:lang w:eastAsia="zh-CN"/>
              </w:rPr>
              <w:t>□</w:t>
            </w:r>
          </w:p>
        </w:tc>
      </w:tr>
      <w:tr w14:paraId="554A2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11" w:type="pct"/>
            <w:vMerge w:val="continue"/>
            <w:tcBorders>
              <w:tl2br w:val="nil"/>
              <w:tr2bl w:val="nil"/>
            </w:tcBorders>
            <w:vAlign w:val="center"/>
          </w:tcPr>
          <w:p w14:paraId="6A3FE25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1F54B5F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评价范围</w:t>
            </w:r>
          </w:p>
        </w:tc>
        <w:tc>
          <w:tcPr>
            <w:tcW w:w="1117" w:type="pct"/>
            <w:gridSpan w:val="5"/>
            <w:tcBorders>
              <w:tl2br w:val="nil"/>
              <w:tr2bl w:val="nil"/>
            </w:tcBorders>
            <w:vAlign w:val="center"/>
          </w:tcPr>
          <w:p w14:paraId="2D7DE01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=50km□</w:t>
            </w:r>
          </w:p>
        </w:tc>
        <w:tc>
          <w:tcPr>
            <w:tcW w:w="1863" w:type="pct"/>
            <w:gridSpan w:val="4"/>
            <w:tcBorders>
              <w:tl2br w:val="nil"/>
              <w:tr2bl w:val="nil"/>
            </w:tcBorders>
            <w:vAlign w:val="center"/>
          </w:tcPr>
          <w:p w14:paraId="1998EC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50km□</w:t>
            </w:r>
          </w:p>
        </w:tc>
        <w:tc>
          <w:tcPr>
            <w:tcW w:w="908" w:type="pct"/>
            <w:gridSpan w:val="3"/>
            <w:tcBorders>
              <w:tl2br w:val="nil"/>
              <w:tr2bl w:val="nil"/>
            </w:tcBorders>
            <w:vAlign w:val="center"/>
          </w:tcPr>
          <w:p w14:paraId="026AF2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=5km</w:t>
            </w:r>
            <w:r>
              <w:rPr>
                <w:rFonts w:ascii="Times New Roman" w:hAnsi="Times New Roman" w:eastAsia="宋体" w:cs="MS Gothic"/>
                <w:i w:val="0"/>
                <w:strike w:val="0"/>
                <w:dstrike w:val="0"/>
                <w:color w:val="auto"/>
                <w:spacing w:val="0"/>
                <w:position w:val="0"/>
                <w:sz w:val="21"/>
                <w:szCs w:val="21"/>
                <w:highlight w:val="none"/>
              </w:rPr>
              <w:t>☑</w:t>
            </w:r>
          </w:p>
        </w:tc>
      </w:tr>
      <w:tr w14:paraId="7CAAFA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311" w:type="pct"/>
            <w:vMerge w:val="restart"/>
            <w:tcBorders>
              <w:tl2br w:val="nil"/>
              <w:tr2bl w:val="nil"/>
            </w:tcBorders>
            <w:vAlign w:val="center"/>
          </w:tcPr>
          <w:p w14:paraId="7013241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评价因子</w:t>
            </w:r>
          </w:p>
        </w:tc>
        <w:tc>
          <w:tcPr>
            <w:tcW w:w="799" w:type="pct"/>
            <w:tcBorders>
              <w:tl2br w:val="nil"/>
              <w:tr2bl w:val="nil"/>
            </w:tcBorders>
            <w:vAlign w:val="center"/>
          </w:tcPr>
          <w:p w14:paraId="065E46A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SO</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+NO</w:t>
            </w:r>
            <w:r>
              <w:rPr>
                <w:rFonts w:ascii="Times New Roman" w:hAnsi="Times New Roman" w:eastAsia="宋体" w:cs="Times New Roman"/>
                <w:i w:val="0"/>
                <w:iCs/>
                <w:strike w:val="0"/>
                <w:dstrike w:val="0"/>
                <w:color w:val="auto"/>
                <w:spacing w:val="0"/>
                <w:position w:val="0"/>
                <w:sz w:val="21"/>
                <w:szCs w:val="21"/>
                <w:highlight w:val="none"/>
              </w:rPr>
              <w:t>x</w:t>
            </w:r>
            <w:r>
              <w:rPr>
                <w:rFonts w:ascii="Times New Roman" w:hAnsi="Times New Roman" w:eastAsia="宋体" w:cs="宋体"/>
                <w:i w:val="0"/>
                <w:strike w:val="0"/>
                <w:dstrike w:val="0"/>
                <w:color w:val="auto"/>
                <w:spacing w:val="0"/>
                <w:position w:val="0"/>
                <w:sz w:val="21"/>
                <w:szCs w:val="21"/>
                <w:highlight w:val="none"/>
              </w:rPr>
              <w:t>排放量</w:t>
            </w:r>
          </w:p>
        </w:tc>
        <w:tc>
          <w:tcPr>
            <w:tcW w:w="826" w:type="pct"/>
            <w:gridSpan w:val="2"/>
            <w:tcBorders>
              <w:tl2br w:val="nil"/>
              <w:tr2bl w:val="nil"/>
            </w:tcBorders>
            <w:vAlign w:val="center"/>
          </w:tcPr>
          <w:p w14:paraId="73EA11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2000t/a</w:t>
            </w:r>
            <w:r>
              <w:rPr>
                <w:rFonts w:ascii="Times New Roman" w:hAnsi="Times New Roman" w:eastAsia="宋体" w:cs="宋体"/>
                <w:i w:val="0"/>
                <w:strike w:val="0"/>
                <w:dstrike w:val="0"/>
                <w:color w:val="auto"/>
                <w:spacing w:val="0"/>
                <w:position w:val="0"/>
                <w:sz w:val="21"/>
                <w:szCs w:val="21"/>
                <w:highlight w:val="none"/>
              </w:rPr>
              <w:t>□</w:t>
            </w:r>
          </w:p>
        </w:tc>
        <w:tc>
          <w:tcPr>
            <w:tcW w:w="2154" w:type="pct"/>
            <w:gridSpan w:val="7"/>
            <w:tcBorders>
              <w:tl2br w:val="nil"/>
              <w:tr2bl w:val="nil"/>
            </w:tcBorders>
            <w:vAlign w:val="center"/>
          </w:tcPr>
          <w:p w14:paraId="1C91BF0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500~2000t/a□</w:t>
            </w:r>
          </w:p>
        </w:tc>
        <w:tc>
          <w:tcPr>
            <w:tcW w:w="908" w:type="pct"/>
            <w:gridSpan w:val="3"/>
            <w:tcBorders>
              <w:tl2br w:val="nil"/>
              <w:tr2bl w:val="nil"/>
            </w:tcBorders>
            <w:vAlign w:val="center"/>
          </w:tcPr>
          <w:p w14:paraId="3344641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500t/a</w:t>
            </w:r>
            <w:r>
              <w:rPr>
                <w:rFonts w:ascii="Times New Roman" w:hAnsi="Times New Roman" w:eastAsia="宋体" w:cs="MS Gothic"/>
                <w:i w:val="0"/>
                <w:strike w:val="0"/>
                <w:dstrike w:val="0"/>
                <w:color w:val="auto"/>
                <w:spacing w:val="0"/>
                <w:position w:val="0"/>
                <w:sz w:val="21"/>
                <w:szCs w:val="21"/>
                <w:highlight w:val="none"/>
              </w:rPr>
              <w:t>☑</w:t>
            </w:r>
          </w:p>
        </w:tc>
      </w:tr>
      <w:tr w14:paraId="4D1B7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311" w:type="pct"/>
            <w:vMerge w:val="continue"/>
            <w:tcBorders>
              <w:tl2br w:val="nil"/>
              <w:tr2bl w:val="nil"/>
            </w:tcBorders>
            <w:vAlign w:val="center"/>
          </w:tcPr>
          <w:p w14:paraId="5C5463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restart"/>
            <w:tcBorders>
              <w:tl2br w:val="nil"/>
              <w:tr2bl w:val="nil"/>
            </w:tcBorders>
            <w:vAlign w:val="center"/>
          </w:tcPr>
          <w:p w14:paraId="1E1A9E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评价因子</w:t>
            </w:r>
          </w:p>
        </w:tc>
        <w:tc>
          <w:tcPr>
            <w:tcW w:w="1945" w:type="pct"/>
            <w:gridSpan w:val="6"/>
            <w:tcBorders>
              <w:tl2br w:val="nil"/>
              <w:tr2bl w:val="nil"/>
            </w:tcBorders>
            <w:vAlign w:val="center"/>
          </w:tcPr>
          <w:p w14:paraId="3E4FA4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基本污染物</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10</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2.5</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SO</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NOx</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CO</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O</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vMerge w:val="restart"/>
            <w:tcBorders>
              <w:tl2br w:val="nil"/>
              <w:tr2bl w:val="nil"/>
            </w:tcBorders>
            <w:vAlign w:val="center"/>
          </w:tcPr>
          <w:p w14:paraId="7911530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2.5</w:t>
            </w:r>
            <w:r>
              <w:rPr>
                <w:rFonts w:ascii="Times New Roman" w:hAnsi="Times New Roman" w:eastAsia="宋体" w:cs="Times New Roman"/>
                <w:i w:val="0"/>
                <w:strike w:val="0"/>
                <w:dstrike w:val="0"/>
                <w:color w:val="auto"/>
                <w:spacing w:val="0"/>
                <w:position w:val="0"/>
                <w:sz w:val="21"/>
                <w:szCs w:val="21"/>
                <w:highlight w:val="none"/>
              </w:rPr>
              <w:t>□</w:t>
            </w:r>
          </w:p>
          <w:p w14:paraId="40381F4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不包括二次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14"/>
                <w:highlight w:val="none"/>
                <w:vertAlign w:val="subscript"/>
              </w:rPr>
              <w:t>2.5</w:t>
            </w:r>
            <w:r>
              <w:rPr>
                <w:rFonts w:ascii="Times New Roman" w:hAnsi="Times New Roman" w:eastAsia="宋体" w:cs="MS Gothic"/>
                <w:i w:val="0"/>
                <w:strike w:val="0"/>
                <w:dstrike w:val="0"/>
                <w:color w:val="auto"/>
                <w:spacing w:val="0"/>
                <w:position w:val="0"/>
                <w:sz w:val="21"/>
                <w:szCs w:val="21"/>
                <w:highlight w:val="none"/>
              </w:rPr>
              <w:t>☑</w:t>
            </w:r>
          </w:p>
        </w:tc>
      </w:tr>
      <w:tr w14:paraId="54A5B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311" w:type="pct"/>
            <w:vMerge w:val="continue"/>
            <w:tcBorders>
              <w:tl2br w:val="nil"/>
              <w:tr2bl w:val="nil"/>
            </w:tcBorders>
            <w:vAlign w:val="center"/>
          </w:tcPr>
          <w:p w14:paraId="235B4AC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continue"/>
            <w:tcBorders>
              <w:tl2br w:val="nil"/>
              <w:tr2bl w:val="nil"/>
            </w:tcBorders>
            <w:vAlign w:val="center"/>
          </w:tcPr>
          <w:p w14:paraId="793D2B9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1945" w:type="pct"/>
            <w:gridSpan w:val="6"/>
            <w:tcBorders>
              <w:tl2br w:val="nil"/>
              <w:tr2bl w:val="nil"/>
            </w:tcBorders>
            <w:vAlign w:val="center"/>
          </w:tcPr>
          <w:p w14:paraId="57F958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其他污染物</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vMerge w:val="continue"/>
            <w:tcBorders>
              <w:tl2br w:val="nil"/>
              <w:tr2bl w:val="nil"/>
            </w:tcBorders>
            <w:vAlign w:val="center"/>
          </w:tcPr>
          <w:p w14:paraId="0DFD156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r>
      <w:tr w14:paraId="0414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tcBorders>
              <w:tl2br w:val="nil"/>
              <w:tr2bl w:val="nil"/>
            </w:tcBorders>
            <w:vAlign w:val="center"/>
          </w:tcPr>
          <w:p w14:paraId="029DCA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评价标准</w:t>
            </w:r>
          </w:p>
        </w:tc>
        <w:tc>
          <w:tcPr>
            <w:tcW w:w="799" w:type="pct"/>
            <w:tcBorders>
              <w:tl2br w:val="nil"/>
              <w:tr2bl w:val="nil"/>
            </w:tcBorders>
            <w:vAlign w:val="center"/>
          </w:tcPr>
          <w:p w14:paraId="2946008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评价标准</w:t>
            </w:r>
          </w:p>
        </w:tc>
        <w:tc>
          <w:tcPr>
            <w:tcW w:w="1117" w:type="pct"/>
            <w:gridSpan w:val="5"/>
            <w:tcBorders>
              <w:tl2br w:val="nil"/>
              <w:tr2bl w:val="nil"/>
            </w:tcBorders>
            <w:vAlign w:val="center"/>
          </w:tcPr>
          <w:p w14:paraId="051A37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国家标准</w:t>
            </w:r>
            <w:r>
              <w:rPr>
                <w:rFonts w:ascii="Times New Roman" w:hAnsi="Times New Roman" w:eastAsia="宋体" w:cs="MS Gothic"/>
                <w:i w:val="0"/>
                <w:strike w:val="0"/>
                <w:dstrike w:val="0"/>
                <w:color w:val="auto"/>
                <w:spacing w:val="0"/>
                <w:position w:val="0"/>
                <w:sz w:val="21"/>
                <w:szCs w:val="21"/>
                <w:highlight w:val="none"/>
              </w:rPr>
              <w:t>☑</w:t>
            </w:r>
          </w:p>
        </w:tc>
        <w:tc>
          <w:tcPr>
            <w:tcW w:w="828" w:type="pct"/>
            <w:tcBorders>
              <w:tl2br w:val="nil"/>
              <w:tr2bl w:val="nil"/>
            </w:tcBorders>
            <w:vAlign w:val="center"/>
          </w:tcPr>
          <w:p w14:paraId="4BC380D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地方标准□</w:t>
            </w:r>
          </w:p>
        </w:tc>
        <w:tc>
          <w:tcPr>
            <w:tcW w:w="1334" w:type="pct"/>
            <w:gridSpan w:val="5"/>
            <w:tcBorders>
              <w:tl2br w:val="nil"/>
              <w:tr2bl w:val="nil"/>
            </w:tcBorders>
            <w:vAlign w:val="center"/>
          </w:tcPr>
          <w:p w14:paraId="2E90382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附录</w:t>
            </w:r>
            <w:r>
              <w:rPr>
                <w:rFonts w:ascii="Times New Roman" w:hAnsi="Times New Roman" w:eastAsia="宋体" w:cs="Times New Roman"/>
                <w:i w:val="0"/>
                <w:strike w:val="0"/>
                <w:dstrike w:val="0"/>
                <w:color w:val="auto"/>
                <w:spacing w:val="0"/>
                <w:position w:val="0"/>
                <w:sz w:val="21"/>
                <w:szCs w:val="21"/>
                <w:highlight w:val="none"/>
              </w:rPr>
              <w:t>D</w:t>
            </w:r>
            <w:r>
              <w:rPr>
                <w:rFonts w:ascii="Times New Roman" w:hAnsi="Times New Roman" w:eastAsia="宋体" w:cs="MS Gothic"/>
                <w:i w:val="0"/>
                <w:strike w:val="0"/>
                <w:dstrike w:val="0"/>
                <w:color w:val="auto"/>
                <w:spacing w:val="0"/>
                <w:position w:val="0"/>
                <w:sz w:val="21"/>
                <w:szCs w:val="21"/>
                <w:highlight w:val="none"/>
              </w:rPr>
              <w:t>☑</w:t>
            </w:r>
          </w:p>
        </w:tc>
        <w:tc>
          <w:tcPr>
            <w:tcW w:w="608" w:type="pct"/>
            <w:tcBorders>
              <w:tl2br w:val="nil"/>
              <w:tr2bl w:val="nil"/>
            </w:tcBorders>
            <w:vAlign w:val="center"/>
          </w:tcPr>
          <w:p w14:paraId="7A2340B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其他标准□</w:t>
            </w:r>
          </w:p>
        </w:tc>
      </w:tr>
      <w:tr w14:paraId="15535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11" w:type="pct"/>
            <w:vMerge w:val="restart"/>
            <w:tcBorders>
              <w:tl2br w:val="nil"/>
              <w:tr2bl w:val="nil"/>
            </w:tcBorders>
            <w:vAlign w:val="center"/>
          </w:tcPr>
          <w:p w14:paraId="5A85F97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现状评价</w:t>
            </w:r>
          </w:p>
        </w:tc>
        <w:tc>
          <w:tcPr>
            <w:tcW w:w="799" w:type="pct"/>
            <w:tcBorders>
              <w:tl2br w:val="nil"/>
              <w:tr2bl w:val="nil"/>
            </w:tcBorders>
            <w:vAlign w:val="center"/>
          </w:tcPr>
          <w:p w14:paraId="4F6B2F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环境功能区</w:t>
            </w:r>
          </w:p>
        </w:tc>
        <w:tc>
          <w:tcPr>
            <w:tcW w:w="1117" w:type="pct"/>
            <w:gridSpan w:val="5"/>
            <w:tcBorders>
              <w:tl2br w:val="nil"/>
              <w:tr2bl w:val="nil"/>
            </w:tcBorders>
            <w:vAlign w:val="center"/>
          </w:tcPr>
          <w:p w14:paraId="335BA54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一类区</w:t>
            </w:r>
            <w:r>
              <w:rPr>
                <w:rFonts w:ascii="Times New Roman" w:hAnsi="Times New Roman" w:eastAsia="宋体" w:cs="Times New Roman"/>
                <w:i w:val="0"/>
                <w:strike w:val="0"/>
                <w:dstrike w:val="0"/>
                <w:color w:val="auto"/>
                <w:spacing w:val="0"/>
                <w:position w:val="0"/>
                <w:sz w:val="21"/>
                <w:szCs w:val="21"/>
                <w:highlight w:val="none"/>
              </w:rPr>
              <w:t>□</w:t>
            </w:r>
          </w:p>
        </w:tc>
        <w:tc>
          <w:tcPr>
            <w:tcW w:w="1863" w:type="pct"/>
            <w:gridSpan w:val="4"/>
            <w:tcBorders>
              <w:tl2br w:val="nil"/>
              <w:tr2bl w:val="nil"/>
            </w:tcBorders>
            <w:vAlign w:val="center"/>
          </w:tcPr>
          <w:p w14:paraId="756461C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二类区</w:t>
            </w:r>
            <w:r>
              <w:rPr>
                <w:rFonts w:ascii="Times New Roman" w:hAnsi="Times New Roman" w:eastAsia="宋体" w:cs="MS Gothic"/>
                <w:i w:val="0"/>
                <w:strike w:val="0"/>
                <w:dstrike w:val="0"/>
                <w:color w:val="auto"/>
                <w:spacing w:val="0"/>
                <w:position w:val="0"/>
                <w:sz w:val="21"/>
                <w:szCs w:val="21"/>
                <w:highlight w:val="none"/>
              </w:rPr>
              <w:t>☑</w:t>
            </w:r>
          </w:p>
        </w:tc>
        <w:tc>
          <w:tcPr>
            <w:tcW w:w="908" w:type="pct"/>
            <w:gridSpan w:val="3"/>
            <w:tcBorders>
              <w:tl2br w:val="nil"/>
              <w:tr2bl w:val="nil"/>
            </w:tcBorders>
            <w:vAlign w:val="center"/>
          </w:tcPr>
          <w:p w14:paraId="20CBDD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一类区和二类区</w:t>
            </w:r>
            <w:r>
              <w:rPr>
                <w:rFonts w:ascii="Times New Roman" w:hAnsi="Times New Roman" w:eastAsia="宋体" w:cs="Times New Roman"/>
                <w:i w:val="0"/>
                <w:strike w:val="0"/>
                <w:dstrike w:val="0"/>
                <w:color w:val="auto"/>
                <w:spacing w:val="0"/>
                <w:position w:val="0"/>
                <w:sz w:val="21"/>
                <w:szCs w:val="21"/>
                <w:highlight w:val="none"/>
              </w:rPr>
              <w:t>□</w:t>
            </w:r>
          </w:p>
        </w:tc>
      </w:tr>
      <w:tr w14:paraId="4EA5A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71C927D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5522C9F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评价基准年</w:t>
            </w:r>
          </w:p>
        </w:tc>
        <w:tc>
          <w:tcPr>
            <w:tcW w:w="3888" w:type="pct"/>
            <w:gridSpan w:val="12"/>
            <w:tcBorders>
              <w:tl2br w:val="nil"/>
              <w:tr2bl w:val="nil"/>
            </w:tcBorders>
            <w:vAlign w:val="center"/>
          </w:tcPr>
          <w:p w14:paraId="682C083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202</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4</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年</w:t>
            </w:r>
          </w:p>
        </w:tc>
      </w:tr>
      <w:tr w14:paraId="2E630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311" w:type="pct"/>
            <w:vMerge w:val="continue"/>
            <w:tcBorders>
              <w:tl2br w:val="nil"/>
              <w:tr2bl w:val="nil"/>
            </w:tcBorders>
            <w:vAlign w:val="center"/>
          </w:tcPr>
          <w:p w14:paraId="3EAA5B9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07D363A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环境空气质量现状调查数据来源</w:t>
            </w:r>
          </w:p>
        </w:tc>
        <w:tc>
          <w:tcPr>
            <w:tcW w:w="1117" w:type="pct"/>
            <w:gridSpan w:val="5"/>
            <w:tcBorders>
              <w:tl2br w:val="nil"/>
              <w:tr2bl w:val="nil"/>
            </w:tcBorders>
            <w:vAlign w:val="center"/>
          </w:tcPr>
          <w:p w14:paraId="7FAF0F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长期例行监测数据</w:t>
            </w:r>
            <w:r>
              <w:rPr>
                <w:rFonts w:ascii="Times New Roman" w:hAnsi="Times New Roman" w:eastAsia="宋体" w:cs="Times New Roman"/>
                <w:i w:val="0"/>
                <w:strike w:val="0"/>
                <w:dstrike w:val="0"/>
                <w:color w:val="auto"/>
                <w:spacing w:val="0"/>
                <w:position w:val="0"/>
                <w:sz w:val="21"/>
                <w:szCs w:val="21"/>
                <w:highlight w:val="none"/>
              </w:rPr>
              <w:t>□</w:t>
            </w:r>
          </w:p>
        </w:tc>
        <w:tc>
          <w:tcPr>
            <w:tcW w:w="1863" w:type="pct"/>
            <w:gridSpan w:val="4"/>
            <w:tcBorders>
              <w:tl2br w:val="nil"/>
              <w:tr2bl w:val="nil"/>
            </w:tcBorders>
            <w:vAlign w:val="center"/>
          </w:tcPr>
          <w:p w14:paraId="4BCB79F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主管部门发布的数据</w:t>
            </w:r>
            <w:r>
              <w:rPr>
                <w:rFonts w:ascii="Times New Roman" w:hAnsi="Times New Roman" w:eastAsia="宋体" w:cs="MS Gothic"/>
                <w:i w:val="0"/>
                <w:strike w:val="0"/>
                <w:dstrike w:val="0"/>
                <w:color w:val="auto"/>
                <w:spacing w:val="0"/>
                <w:position w:val="0"/>
                <w:sz w:val="21"/>
                <w:szCs w:val="21"/>
                <w:highlight w:val="none"/>
              </w:rPr>
              <w:t>☑</w:t>
            </w:r>
          </w:p>
        </w:tc>
        <w:tc>
          <w:tcPr>
            <w:tcW w:w="908" w:type="pct"/>
            <w:gridSpan w:val="3"/>
            <w:tcBorders>
              <w:tl2br w:val="nil"/>
              <w:tr2bl w:val="nil"/>
            </w:tcBorders>
            <w:vAlign w:val="center"/>
          </w:tcPr>
          <w:p w14:paraId="26695AF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现状补充监测</w:t>
            </w:r>
            <w:r>
              <w:rPr>
                <w:rFonts w:ascii="Times New Roman" w:hAnsi="Times New Roman" w:eastAsia="宋体" w:cs="MS Gothic"/>
                <w:i w:val="0"/>
                <w:strike w:val="0"/>
                <w:dstrike w:val="0"/>
                <w:color w:val="auto"/>
                <w:spacing w:val="0"/>
                <w:position w:val="0"/>
                <w:sz w:val="21"/>
                <w:szCs w:val="21"/>
                <w:highlight w:val="none"/>
              </w:rPr>
              <w:t>☑</w:t>
            </w:r>
          </w:p>
        </w:tc>
      </w:tr>
      <w:tr w14:paraId="2B9F2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0F53B4A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3672A74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现状评价</w:t>
            </w:r>
          </w:p>
        </w:tc>
        <w:tc>
          <w:tcPr>
            <w:tcW w:w="1945" w:type="pct"/>
            <w:gridSpan w:val="6"/>
            <w:tcBorders>
              <w:tl2br w:val="nil"/>
              <w:tr2bl w:val="nil"/>
            </w:tcBorders>
            <w:vAlign w:val="center"/>
          </w:tcPr>
          <w:p w14:paraId="376187B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达标区</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1942" w:type="pct"/>
            <w:gridSpan w:val="6"/>
            <w:tcBorders>
              <w:tl2br w:val="nil"/>
              <w:tr2bl w:val="nil"/>
            </w:tcBorders>
            <w:vAlign w:val="center"/>
          </w:tcPr>
          <w:p w14:paraId="13B15B2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MS Gothic"/>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不达标区</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0A8D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jc w:val="center"/>
        </w:trPr>
        <w:tc>
          <w:tcPr>
            <w:tcW w:w="311" w:type="pct"/>
            <w:tcBorders>
              <w:tl2br w:val="nil"/>
              <w:tr2bl w:val="nil"/>
            </w:tcBorders>
            <w:vAlign w:val="center"/>
          </w:tcPr>
          <w:p w14:paraId="1EDD5C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污染源调查</w:t>
            </w:r>
          </w:p>
        </w:tc>
        <w:tc>
          <w:tcPr>
            <w:tcW w:w="799" w:type="pct"/>
            <w:tcBorders>
              <w:tl2br w:val="nil"/>
              <w:tr2bl w:val="nil"/>
            </w:tcBorders>
            <w:vAlign w:val="center"/>
          </w:tcPr>
          <w:p w14:paraId="1890A6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调查内容</w:t>
            </w:r>
          </w:p>
        </w:tc>
        <w:tc>
          <w:tcPr>
            <w:tcW w:w="1117" w:type="pct"/>
            <w:gridSpan w:val="5"/>
            <w:tcBorders>
              <w:tl2br w:val="nil"/>
              <w:tr2bl w:val="nil"/>
            </w:tcBorders>
            <w:vAlign w:val="center"/>
          </w:tcPr>
          <w:p w14:paraId="46DF6A6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本项目正常排放源</w:t>
            </w:r>
          </w:p>
          <w:p w14:paraId="10FCEE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MS Gothic"/>
                <w:i w:val="0"/>
                <w:strike w:val="0"/>
                <w:dstrike w:val="0"/>
                <w:color w:val="auto"/>
                <w:spacing w:val="0"/>
                <w:position w:val="0"/>
                <w:sz w:val="21"/>
                <w:szCs w:val="21"/>
                <w:highlight w:val="none"/>
              </w:rPr>
              <w:t>☑</w:t>
            </w:r>
          </w:p>
          <w:p w14:paraId="3390AE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本项目非正常排放源</w:t>
            </w:r>
          </w:p>
          <w:p w14:paraId="46E801D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p>
          <w:p w14:paraId="1D4741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现有污染源□</w:t>
            </w:r>
          </w:p>
        </w:tc>
        <w:tc>
          <w:tcPr>
            <w:tcW w:w="828" w:type="pct"/>
            <w:tcBorders>
              <w:tl2br w:val="nil"/>
              <w:tr2bl w:val="nil"/>
            </w:tcBorders>
            <w:vAlign w:val="center"/>
          </w:tcPr>
          <w:p w14:paraId="1E079F8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拟替代的污染源□</w:t>
            </w:r>
          </w:p>
        </w:tc>
        <w:tc>
          <w:tcPr>
            <w:tcW w:w="1334" w:type="pct"/>
            <w:gridSpan w:val="5"/>
            <w:tcBorders>
              <w:tl2br w:val="nil"/>
              <w:tr2bl w:val="nil"/>
            </w:tcBorders>
            <w:vAlign w:val="center"/>
          </w:tcPr>
          <w:p w14:paraId="223458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其他在建、拟建项目污染源</w:t>
            </w:r>
            <w:r>
              <w:rPr>
                <w:rFonts w:ascii="Times New Roman" w:hAnsi="Times New Roman" w:eastAsia="宋体" w:cs="Times New Roman"/>
                <w:i w:val="0"/>
                <w:strike w:val="0"/>
                <w:dstrike w:val="0"/>
                <w:color w:val="auto"/>
                <w:spacing w:val="0"/>
                <w:position w:val="0"/>
                <w:sz w:val="21"/>
                <w:szCs w:val="21"/>
                <w:highlight w:val="none"/>
              </w:rPr>
              <w:t>□</w:t>
            </w:r>
          </w:p>
        </w:tc>
        <w:tc>
          <w:tcPr>
            <w:tcW w:w="608" w:type="pct"/>
            <w:tcBorders>
              <w:tl2br w:val="nil"/>
              <w:tr2bl w:val="nil"/>
            </w:tcBorders>
            <w:vAlign w:val="center"/>
          </w:tcPr>
          <w:p w14:paraId="60C4C75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区域污染源</w:t>
            </w:r>
            <w:r>
              <w:rPr>
                <w:rFonts w:ascii="Times New Roman" w:hAnsi="Times New Roman" w:eastAsia="宋体" w:cs="Times New Roman"/>
                <w:i w:val="0"/>
                <w:strike w:val="0"/>
                <w:dstrike w:val="0"/>
                <w:color w:val="auto"/>
                <w:spacing w:val="0"/>
                <w:position w:val="0"/>
                <w:sz w:val="21"/>
                <w:szCs w:val="21"/>
                <w:highlight w:val="none"/>
              </w:rPr>
              <w:t>□</w:t>
            </w:r>
          </w:p>
        </w:tc>
      </w:tr>
      <w:tr w14:paraId="50734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311" w:type="pct"/>
            <w:vMerge w:val="restart"/>
            <w:tcBorders>
              <w:tl2br w:val="nil"/>
              <w:tr2bl w:val="nil"/>
            </w:tcBorders>
            <w:vAlign w:val="center"/>
          </w:tcPr>
          <w:p w14:paraId="04F721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大气环境</w:t>
            </w:r>
          </w:p>
          <w:p w14:paraId="2531E50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影响预测</w:t>
            </w:r>
          </w:p>
          <w:p w14:paraId="7E09E3E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与</w:t>
            </w:r>
          </w:p>
          <w:p w14:paraId="16C2E84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w:t>
            </w:r>
          </w:p>
        </w:tc>
        <w:tc>
          <w:tcPr>
            <w:tcW w:w="799" w:type="pct"/>
            <w:tcBorders>
              <w:tl2br w:val="nil"/>
              <w:tr2bl w:val="nil"/>
            </w:tcBorders>
            <w:vAlign w:val="center"/>
          </w:tcPr>
          <w:p w14:paraId="37F94F2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预测模型</w:t>
            </w:r>
          </w:p>
        </w:tc>
        <w:tc>
          <w:tcPr>
            <w:tcW w:w="728" w:type="pct"/>
            <w:tcBorders>
              <w:tl2br w:val="nil"/>
              <w:tr2bl w:val="nil"/>
            </w:tcBorders>
            <w:vAlign w:val="center"/>
          </w:tcPr>
          <w:p w14:paraId="7EF1B7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Times New Roman"/>
                <w:i w:val="0"/>
                <w:strike w:val="0"/>
                <w:dstrike w:val="0"/>
                <w:color w:val="auto"/>
                <w:spacing w:val="0"/>
                <w:position w:val="0"/>
                <w:sz w:val="21"/>
                <w:szCs w:val="21"/>
                <w:highlight w:val="none"/>
              </w:rPr>
              <w:t>AERMOD</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388" w:type="pct"/>
            <w:gridSpan w:val="4"/>
            <w:tcBorders>
              <w:tl2br w:val="nil"/>
              <w:tr2bl w:val="nil"/>
            </w:tcBorders>
            <w:vAlign w:val="center"/>
          </w:tcPr>
          <w:p w14:paraId="3CE0FDB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ADMS□</w:t>
            </w:r>
          </w:p>
        </w:tc>
        <w:tc>
          <w:tcPr>
            <w:tcW w:w="828" w:type="pct"/>
            <w:tcBorders>
              <w:tl2br w:val="nil"/>
              <w:tr2bl w:val="nil"/>
            </w:tcBorders>
            <w:vAlign w:val="center"/>
          </w:tcPr>
          <w:p w14:paraId="6237F2B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AUSTAL20</w:t>
            </w:r>
          </w:p>
          <w:p w14:paraId="5438748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00</w:t>
            </w:r>
          </w:p>
          <w:p w14:paraId="0C7606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w:t>
            </w:r>
          </w:p>
        </w:tc>
        <w:tc>
          <w:tcPr>
            <w:tcW w:w="566" w:type="pct"/>
            <w:tcBorders>
              <w:tl2br w:val="nil"/>
              <w:tr2bl w:val="nil"/>
            </w:tcBorders>
            <w:vAlign w:val="center"/>
          </w:tcPr>
          <w:p w14:paraId="4CADE9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EDMS/AED</w:t>
            </w:r>
          </w:p>
          <w:p w14:paraId="43E3D79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T</w:t>
            </w:r>
          </w:p>
          <w:p w14:paraId="71B7E0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w:t>
            </w:r>
          </w:p>
        </w:tc>
        <w:tc>
          <w:tcPr>
            <w:tcW w:w="468" w:type="pct"/>
            <w:gridSpan w:val="2"/>
            <w:tcBorders>
              <w:tl2br w:val="nil"/>
              <w:tr2bl w:val="nil"/>
            </w:tcBorders>
            <w:vAlign w:val="center"/>
          </w:tcPr>
          <w:p w14:paraId="6162CFC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CALPUF</w:t>
            </w:r>
          </w:p>
          <w:p w14:paraId="35543C8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F</w:t>
            </w:r>
          </w:p>
          <w:p w14:paraId="5D069D0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w:t>
            </w:r>
          </w:p>
        </w:tc>
        <w:tc>
          <w:tcPr>
            <w:tcW w:w="300" w:type="pct"/>
            <w:gridSpan w:val="2"/>
            <w:tcBorders>
              <w:tl2br w:val="nil"/>
              <w:tr2bl w:val="nil"/>
            </w:tcBorders>
            <w:vAlign w:val="center"/>
          </w:tcPr>
          <w:p w14:paraId="6DADA7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网格模型</w:t>
            </w:r>
            <w:r>
              <w:rPr>
                <w:rFonts w:ascii="Times New Roman" w:hAnsi="Times New Roman" w:eastAsia="宋体" w:cs="Times New Roman"/>
                <w:i w:val="0"/>
                <w:strike w:val="0"/>
                <w:dstrike w:val="0"/>
                <w:color w:val="auto"/>
                <w:spacing w:val="0"/>
                <w:position w:val="0"/>
                <w:sz w:val="21"/>
                <w:szCs w:val="21"/>
                <w:highlight w:val="none"/>
              </w:rPr>
              <w:t>□</w:t>
            </w:r>
          </w:p>
        </w:tc>
        <w:tc>
          <w:tcPr>
            <w:tcW w:w="608" w:type="pct"/>
            <w:tcBorders>
              <w:tl2br w:val="nil"/>
              <w:tr2bl w:val="nil"/>
            </w:tcBorders>
            <w:vAlign w:val="center"/>
          </w:tcPr>
          <w:p w14:paraId="01A861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其他</w:t>
            </w:r>
          </w:p>
          <w:p w14:paraId="77367D4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w:t>
            </w:r>
          </w:p>
        </w:tc>
      </w:tr>
      <w:tr w14:paraId="4E955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58D4829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4749D89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预测范围</w:t>
            </w:r>
          </w:p>
        </w:tc>
        <w:tc>
          <w:tcPr>
            <w:tcW w:w="1117" w:type="pct"/>
            <w:gridSpan w:val="5"/>
            <w:tcBorders>
              <w:tl2br w:val="nil"/>
              <w:tr2bl w:val="nil"/>
            </w:tcBorders>
            <w:vAlign w:val="center"/>
          </w:tcPr>
          <w:p w14:paraId="31442E7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50km□</w:t>
            </w:r>
          </w:p>
        </w:tc>
        <w:tc>
          <w:tcPr>
            <w:tcW w:w="1863" w:type="pct"/>
            <w:gridSpan w:val="4"/>
            <w:tcBorders>
              <w:tl2br w:val="nil"/>
              <w:tr2bl w:val="nil"/>
            </w:tcBorders>
            <w:vAlign w:val="center"/>
          </w:tcPr>
          <w:p w14:paraId="5F6BB7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50km□</w:t>
            </w:r>
          </w:p>
        </w:tc>
        <w:tc>
          <w:tcPr>
            <w:tcW w:w="908" w:type="pct"/>
            <w:gridSpan w:val="3"/>
            <w:tcBorders>
              <w:tl2br w:val="nil"/>
              <w:tr2bl w:val="nil"/>
            </w:tcBorders>
            <w:vAlign w:val="center"/>
          </w:tcPr>
          <w:p w14:paraId="0A39389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边长</w:t>
            </w:r>
            <w:r>
              <w:rPr>
                <w:rFonts w:ascii="Times New Roman" w:hAnsi="Times New Roman" w:eastAsia="宋体" w:cs="Times New Roman"/>
                <w:i w:val="0"/>
                <w:strike w:val="0"/>
                <w:dstrike w:val="0"/>
                <w:color w:val="auto"/>
                <w:spacing w:val="0"/>
                <w:position w:val="0"/>
                <w:sz w:val="21"/>
                <w:szCs w:val="21"/>
                <w:highlight w:val="none"/>
              </w:rPr>
              <w:t>=5km</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r>
      <w:tr w14:paraId="49A65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311" w:type="pct"/>
            <w:vMerge w:val="continue"/>
            <w:tcBorders>
              <w:tl2br w:val="nil"/>
              <w:tr2bl w:val="nil"/>
            </w:tcBorders>
            <w:vAlign w:val="center"/>
          </w:tcPr>
          <w:p w14:paraId="5771B3A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4CEA585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预测因子</w:t>
            </w:r>
          </w:p>
        </w:tc>
        <w:tc>
          <w:tcPr>
            <w:tcW w:w="1945" w:type="pct"/>
            <w:gridSpan w:val="6"/>
            <w:tcBorders>
              <w:tl2br w:val="nil"/>
              <w:tr2bl w:val="nil"/>
            </w:tcBorders>
            <w:vAlign w:val="center"/>
          </w:tcPr>
          <w:p w14:paraId="6FD6F05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预测因子</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NH</w:t>
            </w:r>
            <w:r>
              <w:rPr>
                <w:rFonts w:hint="eastAsia" w:ascii="Times New Roman" w:hAnsi="Times New Roman" w:eastAsia="宋体" w:cs="Times New Roman"/>
                <w:i w:val="0"/>
                <w:strike w:val="0"/>
                <w:dstrike w:val="0"/>
                <w:color w:val="auto"/>
                <w:spacing w:val="0"/>
                <w:position w:val="0"/>
                <w:sz w:val="21"/>
                <w:szCs w:val="21"/>
                <w:highlight w:val="none"/>
                <w:vertAlign w:val="subscript"/>
                <w:lang w:val="en-US" w:eastAsia="zh-CN"/>
              </w:rPr>
              <w:t>3</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、H</w:t>
            </w:r>
            <w:r>
              <w:rPr>
                <w:rFonts w:hint="eastAsia" w:ascii="Times New Roman" w:hAnsi="Times New Roman" w:eastAsia="宋体" w:cs="Times New Roman"/>
                <w:i w:val="0"/>
                <w:strike w:val="0"/>
                <w:dstrike w:val="0"/>
                <w:color w:val="auto"/>
                <w:spacing w:val="0"/>
                <w:position w:val="0"/>
                <w:sz w:val="21"/>
                <w:szCs w:val="21"/>
                <w:highlight w:val="none"/>
                <w:vertAlign w:val="subscript"/>
                <w:lang w:val="en-US" w:eastAsia="zh-CN"/>
              </w:rPr>
              <w:t>2</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tcBorders>
              <w:tl2br w:val="nil"/>
              <w:tr2bl w:val="nil"/>
            </w:tcBorders>
            <w:vAlign w:val="center"/>
          </w:tcPr>
          <w:p w14:paraId="09051D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21"/>
                <w:highlight w:val="none"/>
                <w:vertAlign w:val="subscript"/>
              </w:rPr>
              <w:t>2.5</w:t>
            </w:r>
            <w:r>
              <w:rPr>
                <w:rFonts w:ascii="Times New Roman" w:hAnsi="Times New Roman" w:eastAsia="宋体" w:cs="Times New Roman"/>
                <w:i w:val="0"/>
                <w:strike w:val="0"/>
                <w:dstrike w:val="0"/>
                <w:color w:val="auto"/>
                <w:spacing w:val="0"/>
                <w:position w:val="0"/>
                <w:sz w:val="21"/>
                <w:szCs w:val="21"/>
                <w:highlight w:val="none"/>
              </w:rPr>
              <w:t>□</w:t>
            </w:r>
            <w:r>
              <w:rPr>
                <w:rFonts w:ascii="Times New Roman" w:hAnsi="Times New Roman" w:eastAsia="宋体" w:cs="宋体"/>
                <w:i w:val="0"/>
                <w:strike w:val="0"/>
                <w:dstrike w:val="0"/>
                <w:color w:val="auto"/>
                <w:spacing w:val="0"/>
                <w:position w:val="0"/>
                <w:sz w:val="21"/>
                <w:szCs w:val="21"/>
                <w:highlight w:val="none"/>
              </w:rPr>
              <w:t>不包括二次</w:t>
            </w:r>
            <w:r>
              <w:rPr>
                <w:rFonts w:ascii="Times New Roman" w:hAnsi="Times New Roman" w:eastAsia="宋体" w:cs="Times New Roman"/>
                <w:i w:val="0"/>
                <w:strike w:val="0"/>
                <w:dstrike w:val="0"/>
                <w:color w:val="auto"/>
                <w:spacing w:val="0"/>
                <w:position w:val="0"/>
                <w:sz w:val="21"/>
                <w:szCs w:val="21"/>
                <w:highlight w:val="none"/>
              </w:rPr>
              <w:t>PM</w:t>
            </w:r>
            <w:r>
              <w:rPr>
                <w:rFonts w:ascii="Times New Roman" w:hAnsi="Times New Roman" w:eastAsia="宋体" w:cs="Times New Roman"/>
                <w:i w:val="0"/>
                <w:strike w:val="0"/>
                <w:dstrike w:val="0"/>
                <w:color w:val="auto"/>
                <w:spacing w:val="0"/>
                <w:position w:val="0"/>
                <w:sz w:val="21"/>
                <w:szCs w:val="21"/>
                <w:highlight w:val="none"/>
                <w:vertAlign w:val="subscript"/>
              </w:rPr>
              <w:t>2.5</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r>
      <w:tr w14:paraId="35C92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jc w:val="center"/>
        </w:trPr>
        <w:tc>
          <w:tcPr>
            <w:tcW w:w="311" w:type="pct"/>
            <w:vMerge w:val="continue"/>
            <w:tcBorders>
              <w:tl2br w:val="nil"/>
              <w:tr2bl w:val="nil"/>
            </w:tcBorders>
            <w:vAlign w:val="center"/>
          </w:tcPr>
          <w:p w14:paraId="0E03F0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3D5E2A7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正常排放短期浓度贡献值</w:t>
            </w:r>
          </w:p>
        </w:tc>
        <w:tc>
          <w:tcPr>
            <w:tcW w:w="1945" w:type="pct"/>
            <w:gridSpan w:val="6"/>
            <w:tcBorders>
              <w:tl2br w:val="nil"/>
              <w:tr2bl w:val="nil"/>
            </w:tcBorders>
            <w:vAlign w:val="center"/>
          </w:tcPr>
          <w:p w14:paraId="40DBB55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i w:val="0"/>
                <w:strike w:val="0"/>
                <w:dstrike w:val="0"/>
                <w:color w:val="auto"/>
                <w:spacing w:val="0"/>
                <w:position w:val="0"/>
                <w:sz w:val="21"/>
                <w:szCs w:val="21"/>
                <w:highlight w:val="none"/>
                <w:lang w:eastAsia="zh-CN"/>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100%</w:t>
            </w:r>
            <w:r>
              <w:rPr>
                <w:rFonts w:hint="eastAsia" w:ascii="Times New Roman" w:hAnsi="Times New Roman" w:eastAsia="宋体" w:cs="Times New Roman"/>
                <w:i w:val="0"/>
                <w:strike w:val="0"/>
                <w:dstrike w:val="0"/>
                <w:color w:val="auto"/>
                <w:spacing w:val="0"/>
                <w:position w:val="0"/>
                <w:sz w:val="21"/>
                <w:szCs w:val="21"/>
                <w:highlight w:val="none"/>
                <w:lang w:eastAsia="zh-CN"/>
              </w:rPr>
              <w:t>☑</w:t>
            </w:r>
          </w:p>
        </w:tc>
        <w:tc>
          <w:tcPr>
            <w:tcW w:w="1942" w:type="pct"/>
            <w:gridSpan w:val="6"/>
            <w:tcBorders>
              <w:tl2br w:val="nil"/>
              <w:tr2bl w:val="nil"/>
            </w:tcBorders>
            <w:vAlign w:val="center"/>
          </w:tcPr>
          <w:p w14:paraId="6C61023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Times New Roman"/>
                <w:i w:val="0"/>
                <w:strike w:val="0"/>
                <w:dstrike w:val="0"/>
                <w:color w:val="auto"/>
                <w:spacing w:val="0"/>
                <w:position w:val="0"/>
                <w:sz w:val="21"/>
                <w:szCs w:val="21"/>
                <w:highlight w:val="none"/>
              </w:rPr>
              <w:t>100%□</w:t>
            </w:r>
          </w:p>
        </w:tc>
      </w:tr>
      <w:tr w14:paraId="2911E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jc w:val="center"/>
        </w:trPr>
        <w:tc>
          <w:tcPr>
            <w:tcW w:w="311" w:type="pct"/>
            <w:vMerge w:val="continue"/>
            <w:tcBorders>
              <w:tl2br w:val="nil"/>
              <w:tr2bl w:val="nil"/>
            </w:tcBorders>
            <w:vAlign w:val="center"/>
          </w:tcPr>
          <w:p w14:paraId="1E79855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restart"/>
            <w:tcBorders>
              <w:tl2br w:val="nil"/>
              <w:tr2bl w:val="nil"/>
            </w:tcBorders>
            <w:vAlign w:val="center"/>
          </w:tcPr>
          <w:p w14:paraId="42BB371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正常排放年均浓度贡献值</w:t>
            </w:r>
          </w:p>
        </w:tc>
        <w:tc>
          <w:tcPr>
            <w:tcW w:w="728" w:type="pct"/>
            <w:tcBorders>
              <w:tl2br w:val="nil"/>
              <w:tr2bl w:val="nil"/>
            </w:tcBorders>
            <w:vAlign w:val="center"/>
          </w:tcPr>
          <w:p w14:paraId="476DCEF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一类区</w:t>
            </w:r>
          </w:p>
        </w:tc>
        <w:tc>
          <w:tcPr>
            <w:tcW w:w="1217" w:type="pct"/>
            <w:gridSpan w:val="5"/>
            <w:tcBorders>
              <w:tl2br w:val="nil"/>
              <w:tr2bl w:val="nil"/>
            </w:tcBorders>
            <w:vAlign w:val="center"/>
          </w:tcPr>
          <w:p w14:paraId="06E1E02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10%□</w:t>
            </w:r>
          </w:p>
        </w:tc>
        <w:tc>
          <w:tcPr>
            <w:tcW w:w="1942" w:type="pct"/>
            <w:gridSpan w:val="6"/>
            <w:tcBorders>
              <w:tl2br w:val="nil"/>
              <w:tr2bl w:val="nil"/>
            </w:tcBorders>
            <w:vAlign w:val="center"/>
          </w:tcPr>
          <w:p w14:paraId="5C008E6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本项目最大标率＞</w:t>
            </w:r>
            <w:r>
              <w:rPr>
                <w:rFonts w:ascii="Times New Roman" w:hAnsi="Times New Roman" w:eastAsia="宋体" w:cs="Times New Roman"/>
                <w:i w:val="0"/>
                <w:strike w:val="0"/>
                <w:dstrike w:val="0"/>
                <w:color w:val="auto"/>
                <w:spacing w:val="0"/>
                <w:position w:val="0"/>
                <w:sz w:val="21"/>
                <w:szCs w:val="21"/>
                <w:highlight w:val="none"/>
              </w:rPr>
              <w:t>10%□</w:t>
            </w:r>
          </w:p>
        </w:tc>
      </w:tr>
      <w:tr w14:paraId="295AA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311" w:type="pct"/>
            <w:vMerge w:val="continue"/>
            <w:tcBorders>
              <w:tl2br w:val="nil"/>
              <w:tr2bl w:val="nil"/>
            </w:tcBorders>
            <w:vAlign w:val="center"/>
          </w:tcPr>
          <w:p w14:paraId="25F8BE1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vMerge w:val="continue"/>
            <w:tcBorders>
              <w:tl2br w:val="nil"/>
              <w:tr2bl w:val="nil"/>
            </w:tcBorders>
            <w:vAlign w:val="center"/>
          </w:tcPr>
          <w:p w14:paraId="4833A5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28" w:type="pct"/>
            <w:tcBorders>
              <w:tl2br w:val="nil"/>
              <w:tr2bl w:val="nil"/>
            </w:tcBorders>
            <w:vAlign w:val="center"/>
          </w:tcPr>
          <w:p w14:paraId="2BBA5C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二类区</w:t>
            </w:r>
          </w:p>
        </w:tc>
        <w:tc>
          <w:tcPr>
            <w:tcW w:w="1217" w:type="pct"/>
            <w:gridSpan w:val="5"/>
            <w:tcBorders>
              <w:tl2br w:val="nil"/>
              <w:tr2bl w:val="nil"/>
            </w:tcBorders>
            <w:vAlign w:val="center"/>
          </w:tcPr>
          <w:p w14:paraId="14C1F69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30%□</w:t>
            </w:r>
          </w:p>
        </w:tc>
        <w:tc>
          <w:tcPr>
            <w:tcW w:w="1942" w:type="pct"/>
            <w:gridSpan w:val="6"/>
            <w:tcBorders>
              <w:tl2br w:val="nil"/>
              <w:tr2bl w:val="nil"/>
            </w:tcBorders>
            <w:vAlign w:val="center"/>
          </w:tcPr>
          <w:p w14:paraId="67D6C91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本项目最大标率＞</w:t>
            </w:r>
            <w:r>
              <w:rPr>
                <w:rFonts w:ascii="Times New Roman" w:hAnsi="Times New Roman" w:eastAsia="宋体" w:cs="Times New Roman"/>
                <w:i w:val="0"/>
                <w:strike w:val="0"/>
                <w:dstrike w:val="0"/>
                <w:color w:val="auto"/>
                <w:spacing w:val="0"/>
                <w:position w:val="0"/>
                <w:sz w:val="21"/>
                <w:szCs w:val="21"/>
                <w:highlight w:val="none"/>
              </w:rPr>
              <w:t>30%□</w:t>
            </w:r>
          </w:p>
        </w:tc>
      </w:tr>
      <w:tr w14:paraId="43EEF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jc w:val="center"/>
        </w:trPr>
        <w:tc>
          <w:tcPr>
            <w:tcW w:w="311" w:type="pct"/>
            <w:vMerge w:val="continue"/>
            <w:tcBorders>
              <w:tl2br w:val="nil"/>
              <w:tr2bl w:val="nil"/>
            </w:tcBorders>
            <w:vAlign w:val="center"/>
          </w:tcPr>
          <w:p w14:paraId="520DEC0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6481AC2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非正常排放</w:t>
            </w:r>
            <w:r>
              <w:rPr>
                <w:rFonts w:ascii="Times New Roman" w:hAnsi="Times New Roman" w:eastAsia="宋体" w:cs="Times New Roman"/>
                <w:i w:val="0"/>
                <w:strike w:val="0"/>
                <w:dstrike w:val="0"/>
                <w:color w:val="auto"/>
                <w:spacing w:val="0"/>
                <w:position w:val="0"/>
                <w:sz w:val="21"/>
                <w:szCs w:val="21"/>
                <w:highlight w:val="none"/>
              </w:rPr>
              <w:t>1h</w:t>
            </w:r>
            <w:r>
              <w:rPr>
                <w:rFonts w:ascii="Times New Roman" w:hAnsi="Times New Roman" w:eastAsia="宋体" w:cs="宋体"/>
                <w:i w:val="0"/>
                <w:strike w:val="0"/>
                <w:dstrike w:val="0"/>
                <w:color w:val="auto"/>
                <w:spacing w:val="0"/>
                <w:position w:val="0"/>
                <w:sz w:val="21"/>
                <w:szCs w:val="21"/>
                <w:highlight w:val="none"/>
              </w:rPr>
              <w:t>浓</w:t>
            </w:r>
          </w:p>
          <w:p w14:paraId="489A437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度贡献值</w:t>
            </w:r>
          </w:p>
        </w:tc>
        <w:tc>
          <w:tcPr>
            <w:tcW w:w="922" w:type="pct"/>
            <w:gridSpan w:val="3"/>
            <w:tcBorders>
              <w:tl2br w:val="nil"/>
              <w:tr2bl w:val="nil"/>
            </w:tcBorders>
            <w:vAlign w:val="center"/>
          </w:tcPr>
          <w:p w14:paraId="1BD4B89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非正常持续时长</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h</w:t>
            </w:r>
          </w:p>
        </w:tc>
        <w:tc>
          <w:tcPr>
            <w:tcW w:w="1852" w:type="pct"/>
            <w:gridSpan w:val="5"/>
            <w:tcBorders>
              <w:tl2br w:val="nil"/>
              <w:tr2bl w:val="nil"/>
            </w:tcBorders>
            <w:vAlign w:val="center"/>
          </w:tcPr>
          <w:p w14:paraId="3790CD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非正常占标率</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100%□</w:t>
            </w:r>
          </w:p>
        </w:tc>
        <w:tc>
          <w:tcPr>
            <w:tcW w:w="1114" w:type="pct"/>
            <w:gridSpan w:val="4"/>
            <w:tcBorders>
              <w:tl2br w:val="nil"/>
              <w:tr2bl w:val="nil"/>
            </w:tcBorders>
            <w:vAlign w:val="center"/>
          </w:tcPr>
          <w:p w14:paraId="43128D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非正常占标率＞</w:t>
            </w:r>
            <w:r>
              <w:rPr>
                <w:rFonts w:ascii="Times New Roman" w:hAnsi="Times New Roman" w:eastAsia="宋体" w:cs="Times New Roman"/>
                <w:i w:val="0"/>
                <w:strike w:val="0"/>
                <w:dstrike w:val="0"/>
                <w:color w:val="auto"/>
                <w:spacing w:val="0"/>
                <w:position w:val="0"/>
                <w:sz w:val="21"/>
                <w:szCs w:val="21"/>
                <w:highlight w:val="none"/>
              </w:rPr>
              <w:t>100%□</w:t>
            </w:r>
          </w:p>
        </w:tc>
      </w:tr>
      <w:tr w14:paraId="3FCC4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311" w:type="pct"/>
            <w:vMerge w:val="continue"/>
            <w:tcBorders>
              <w:tl2br w:val="nil"/>
              <w:tr2bl w:val="nil"/>
            </w:tcBorders>
            <w:vAlign w:val="center"/>
          </w:tcPr>
          <w:p w14:paraId="680E57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1699531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保证率日平均浓度和年平均浓度叠加值</w:t>
            </w:r>
          </w:p>
        </w:tc>
        <w:tc>
          <w:tcPr>
            <w:tcW w:w="1945" w:type="pct"/>
            <w:gridSpan w:val="6"/>
            <w:tcBorders>
              <w:tl2br w:val="nil"/>
              <w:tr2bl w:val="nil"/>
            </w:tcBorders>
            <w:vAlign w:val="center"/>
          </w:tcPr>
          <w:p w14:paraId="1D6DDA7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叠加达标</w:t>
            </w:r>
            <w:r>
              <w:rPr>
                <w:rFonts w:ascii="Times New Roman" w:hAnsi="Times New Roman" w:eastAsia="宋体" w:cs="Times New Roman"/>
                <w:i w:val="0"/>
                <w:strike w:val="0"/>
                <w:dstrike w:val="0"/>
                <w:color w:val="auto"/>
                <w:spacing w:val="0"/>
                <w:position w:val="0"/>
                <w:sz w:val="21"/>
                <w:szCs w:val="21"/>
                <w:highlight w:val="none"/>
              </w:rPr>
              <w:t>□</w:t>
            </w:r>
          </w:p>
        </w:tc>
        <w:tc>
          <w:tcPr>
            <w:tcW w:w="1942" w:type="pct"/>
            <w:gridSpan w:val="6"/>
            <w:tcBorders>
              <w:tl2br w:val="nil"/>
              <w:tr2bl w:val="nil"/>
            </w:tcBorders>
            <w:vAlign w:val="center"/>
          </w:tcPr>
          <w:p w14:paraId="5394E1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C</w:t>
            </w:r>
            <w:r>
              <w:rPr>
                <w:rFonts w:ascii="Times New Roman" w:hAnsi="Times New Roman" w:eastAsia="宋体" w:cs="宋体"/>
                <w:i w:val="0"/>
                <w:strike w:val="0"/>
                <w:dstrike w:val="0"/>
                <w:color w:val="auto"/>
                <w:spacing w:val="0"/>
                <w:position w:val="0"/>
                <w:sz w:val="21"/>
                <w:szCs w:val="21"/>
                <w:highlight w:val="none"/>
              </w:rPr>
              <w:t>叠加不达标</w:t>
            </w:r>
            <w:r>
              <w:rPr>
                <w:rFonts w:ascii="Times New Roman" w:hAnsi="Times New Roman" w:eastAsia="宋体" w:cs="Times New Roman"/>
                <w:i w:val="0"/>
                <w:strike w:val="0"/>
                <w:dstrike w:val="0"/>
                <w:color w:val="auto"/>
                <w:spacing w:val="0"/>
                <w:position w:val="0"/>
                <w:sz w:val="21"/>
                <w:szCs w:val="21"/>
                <w:highlight w:val="none"/>
              </w:rPr>
              <w:t>□</w:t>
            </w:r>
          </w:p>
        </w:tc>
      </w:tr>
      <w:tr w14:paraId="02768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311" w:type="pct"/>
            <w:vMerge w:val="continue"/>
            <w:tcBorders>
              <w:tl2br w:val="nil"/>
              <w:tr2bl w:val="nil"/>
            </w:tcBorders>
            <w:vAlign w:val="center"/>
          </w:tcPr>
          <w:p w14:paraId="0899FAD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2F605F3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区域环境质量的整体变化情况</w:t>
            </w:r>
          </w:p>
        </w:tc>
        <w:tc>
          <w:tcPr>
            <w:tcW w:w="1945" w:type="pct"/>
            <w:gridSpan w:val="6"/>
            <w:tcBorders>
              <w:tl2br w:val="nil"/>
              <w:tr2bl w:val="nil"/>
            </w:tcBorders>
            <w:vAlign w:val="center"/>
          </w:tcPr>
          <w:p w14:paraId="658E72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iCs/>
                <w:strike w:val="0"/>
                <w:dstrike w:val="0"/>
                <w:color w:val="auto"/>
                <w:spacing w:val="0"/>
                <w:position w:val="0"/>
                <w:sz w:val="21"/>
                <w:szCs w:val="21"/>
                <w:highlight w:val="none"/>
              </w:rPr>
              <w:t>k</w:t>
            </w:r>
            <w:r>
              <w:rPr>
                <w:rFonts w:ascii="Times New Roman" w:hAnsi="Times New Roman" w:eastAsia="宋体" w:cs="Arial"/>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-20%□</w:t>
            </w:r>
          </w:p>
        </w:tc>
        <w:tc>
          <w:tcPr>
            <w:tcW w:w="1942" w:type="pct"/>
            <w:gridSpan w:val="6"/>
            <w:tcBorders>
              <w:tl2br w:val="nil"/>
              <w:tr2bl w:val="nil"/>
            </w:tcBorders>
            <w:vAlign w:val="center"/>
          </w:tcPr>
          <w:p w14:paraId="78BA15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iCs/>
                <w:strike w:val="0"/>
                <w:dstrike w:val="0"/>
                <w:color w:val="auto"/>
                <w:spacing w:val="0"/>
                <w:position w:val="0"/>
                <w:sz w:val="21"/>
                <w:szCs w:val="21"/>
                <w:highlight w:val="none"/>
              </w:rPr>
              <w:t>k</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-20%□</w:t>
            </w:r>
          </w:p>
        </w:tc>
      </w:tr>
      <w:tr w14:paraId="74ECD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311" w:type="pct"/>
            <w:vMerge w:val="restart"/>
            <w:tcBorders>
              <w:tl2br w:val="nil"/>
              <w:tr2bl w:val="nil"/>
            </w:tcBorders>
            <w:vAlign w:val="center"/>
          </w:tcPr>
          <w:p w14:paraId="447766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环境监测计划</w:t>
            </w:r>
          </w:p>
        </w:tc>
        <w:tc>
          <w:tcPr>
            <w:tcW w:w="799" w:type="pct"/>
            <w:tcBorders>
              <w:tl2br w:val="nil"/>
              <w:tr2bl w:val="nil"/>
            </w:tcBorders>
            <w:vAlign w:val="center"/>
          </w:tcPr>
          <w:p w14:paraId="53AD1C0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污染源监测</w:t>
            </w:r>
          </w:p>
        </w:tc>
        <w:tc>
          <w:tcPr>
            <w:tcW w:w="1945" w:type="pct"/>
            <w:gridSpan w:val="6"/>
            <w:tcBorders>
              <w:tl2br w:val="nil"/>
              <w:tr2bl w:val="nil"/>
            </w:tcBorders>
            <w:vAlign w:val="center"/>
          </w:tcPr>
          <w:p w14:paraId="7A4F076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监测因子：</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臭气浓度</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1334" w:type="pct"/>
            <w:gridSpan w:val="5"/>
            <w:tcBorders>
              <w:tl2br w:val="nil"/>
              <w:tr2bl w:val="nil"/>
            </w:tcBorders>
            <w:vAlign w:val="center"/>
          </w:tcPr>
          <w:p w14:paraId="1A24247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有组织废气监测</w:t>
            </w:r>
            <w:r>
              <w:rPr>
                <w:rFonts w:ascii="Times New Roman" w:hAnsi="Times New Roman" w:eastAsia="宋体" w:cs="MS Gothic"/>
                <w:i w:val="0"/>
                <w:strike w:val="0"/>
                <w:dstrike w:val="0"/>
                <w:color w:val="auto"/>
                <w:spacing w:val="0"/>
                <w:position w:val="0"/>
                <w:sz w:val="21"/>
                <w:szCs w:val="21"/>
                <w:highlight w:val="none"/>
              </w:rPr>
              <w:t>□</w:t>
            </w:r>
          </w:p>
          <w:p w14:paraId="74ACE2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无组织废气监测</w:t>
            </w:r>
            <w:r>
              <w:rPr>
                <w:rFonts w:ascii="Times New Roman" w:hAnsi="Times New Roman" w:eastAsia="宋体" w:cs="MS Gothic"/>
                <w:i w:val="0"/>
                <w:strike w:val="0"/>
                <w:dstrike w:val="0"/>
                <w:color w:val="auto"/>
                <w:spacing w:val="0"/>
                <w:position w:val="0"/>
                <w:sz w:val="21"/>
                <w:szCs w:val="21"/>
                <w:highlight w:val="none"/>
              </w:rPr>
              <w:t>☑</w:t>
            </w:r>
          </w:p>
        </w:tc>
        <w:tc>
          <w:tcPr>
            <w:tcW w:w="608" w:type="pct"/>
            <w:tcBorders>
              <w:tl2br w:val="nil"/>
              <w:tr2bl w:val="nil"/>
            </w:tcBorders>
            <w:vAlign w:val="center"/>
          </w:tcPr>
          <w:p w14:paraId="1CEC57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无监测</w:t>
            </w:r>
            <w:r>
              <w:rPr>
                <w:rFonts w:ascii="Times New Roman" w:hAnsi="Times New Roman" w:eastAsia="宋体" w:cs="Times New Roman"/>
                <w:i w:val="0"/>
                <w:strike w:val="0"/>
                <w:dstrike w:val="0"/>
                <w:color w:val="auto"/>
                <w:spacing w:val="0"/>
                <w:position w:val="0"/>
                <w:sz w:val="21"/>
                <w:szCs w:val="21"/>
                <w:highlight w:val="none"/>
              </w:rPr>
              <w:t>□</w:t>
            </w:r>
          </w:p>
        </w:tc>
      </w:tr>
      <w:tr w14:paraId="333A0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11BC0B7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041F41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环境质量监测</w:t>
            </w:r>
          </w:p>
        </w:tc>
        <w:tc>
          <w:tcPr>
            <w:tcW w:w="1945" w:type="pct"/>
            <w:gridSpan w:val="6"/>
            <w:tcBorders>
              <w:tl2br w:val="nil"/>
              <w:tr2bl w:val="nil"/>
            </w:tcBorders>
            <w:vAlign w:val="center"/>
          </w:tcPr>
          <w:p w14:paraId="3006E85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监测因子：</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NH</w:t>
            </w:r>
            <w:r>
              <w:rPr>
                <w:rFonts w:ascii="Times New Roman" w:hAnsi="Times New Roman" w:eastAsia="宋体" w:cs="Times New Roman"/>
                <w:i w:val="0"/>
                <w:strike w:val="0"/>
                <w:dstrike w:val="0"/>
                <w:color w:val="auto"/>
                <w:spacing w:val="0"/>
                <w:position w:val="0"/>
                <w:sz w:val="21"/>
                <w:szCs w:val="14"/>
                <w:highlight w:val="none"/>
                <w:vertAlign w:val="subscript"/>
              </w:rPr>
              <w:t>3</w:t>
            </w:r>
            <w:r>
              <w:rPr>
                <w:rFonts w:ascii="Times New Roman" w:hAnsi="Times New Roman" w:eastAsia="宋体" w:cs="宋体"/>
                <w:i w:val="0"/>
                <w:strike w:val="0"/>
                <w:dstrike w:val="0"/>
                <w:color w:val="auto"/>
                <w:spacing w:val="0"/>
                <w:position w:val="0"/>
                <w:sz w:val="21"/>
                <w:szCs w:val="21"/>
                <w:highlight w:val="none"/>
              </w:rPr>
              <w:t>、</w:t>
            </w:r>
            <w:r>
              <w:rPr>
                <w:rFonts w:ascii="Times New Roman" w:hAnsi="Times New Roman" w:eastAsia="宋体" w:cs="Times New Roman"/>
                <w:i w:val="0"/>
                <w:strike w:val="0"/>
                <w:dstrike w:val="0"/>
                <w:color w:val="auto"/>
                <w:spacing w:val="0"/>
                <w:position w:val="0"/>
                <w:sz w:val="21"/>
                <w:szCs w:val="21"/>
                <w:highlight w:val="none"/>
              </w:rPr>
              <w:t>H</w:t>
            </w:r>
            <w:r>
              <w:rPr>
                <w:rFonts w:ascii="Times New Roman" w:hAnsi="Times New Roman" w:eastAsia="宋体" w:cs="Times New Roman"/>
                <w:i w:val="0"/>
                <w:strike w:val="0"/>
                <w:dstrike w:val="0"/>
                <w:color w:val="auto"/>
                <w:spacing w:val="0"/>
                <w:position w:val="0"/>
                <w:sz w:val="21"/>
                <w:szCs w:val="14"/>
                <w:highlight w:val="none"/>
                <w:vertAlign w:val="subscript"/>
              </w:rPr>
              <w:t>2</w:t>
            </w:r>
            <w:r>
              <w:rPr>
                <w:rFonts w:ascii="Times New Roman" w:hAnsi="Times New Roman" w:eastAsia="宋体" w:cs="Times New Roman"/>
                <w:i w:val="0"/>
                <w:strike w:val="0"/>
                <w:dstrike w:val="0"/>
                <w:color w:val="auto"/>
                <w:spacing w:val="0"/>
                <w:position w:val="0"/>
                <w:sz w:val="21"/>
                <w:szCs w:val="21"/>
                <w:highlight w:val="none"/>
              </w:rPr>
              <w:t>S</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val="en-US" w:eastAsia="zh-CN"/>
              </w:rPr>
              <w:t>臭气浓度</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1334" w:type="pct"/>
            <w:gridSpan w:val="5"/>
            <w:tcBorders>
              <w:tl2br w:val="nil"/>
              <w:tr2bl w:val="nil"/>
            </w:tcBorders>
            <w:vAlign w:val="center"/>
          </w:tcPr>
          <w:p w14:paraId="22C849A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i w:val="0"/>
                <w:strike w:val="0"/>
                <w:dstrike w:val="0"/>
                <w:color w:val="auto"/>
                <w:spacing w:val="0"/>
                <w:position w:val="0"/>
                <w:sz w:val="21"/>
                <w:szCs w:val="21"/>
                <w:highlight w:val="none"/>
                <w:lang w:eastAsia="zh-CN"/>
              </w:rPr>
            </w:pPr>
            <w:r>
              <w:rPr>
                <w:rFonts w:ascii="Times New Roman" w:hAnsi="Times New Roman" w:eastAsia="宋体" w:cs="宋体"/>
                <w:i w:val="0"/>
                <w:strike w:val="0"/>
                <w:dstrike w:val="0"/>
                <w:color w:val="auto"/>
                <w:spacing w:val="0"/>
                <w:position w:val="0"/>
                <w:sz w:val="21"/>
                <w:szCs w:val="21"/>
                <w:highlight w:val="none"/>
              </w:rPr>
              <w:t>监测点位数</w:t>
            </w:r>
            <w:r>
              <w:rPr>
                <w:rFonts w:hint="eastAsia" w:ascii="Times New Roman" w:hAnsi="Times New Roman" w:eastAsia="宋体" w:cs="宋体"/>
                <w:i w:val="0"/>
                <w:strike w:val="0"/>
                <w:dstrike w:val="0"/>
                <w:color w:val="auto"/>
                <w:spacing w:val="0"/>
                <w:position w:val="0"/>
                <w:sz w:val="21"/>
                <w:szCs w:val="21"/>
                <w:highlight w:val="none"/>
                <w:lang w:eastAsia="zh-CN"/>
              </w:rPr>
              <w:t>（）</w:t>
            </w:r>
          </w:p>
        </w:tc>
        <w:tc>
          <w:tcPr>
            <w:tcW w:w="608" w:type="pct"/>
            <w:tcBorders>
              <w:tl2br w:val="nil"/>
              <w:tr2bl w:val="nil"/>
            </w:tcBorders>
            <w:vAlign w:val="center"/>
          </w:tcPr>
          <w:p w14:paraId="0F29211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无监测</w:t>
            </w:r>
            <w:r>
              <w:rPr>
                <w:rFonts w:ascii="Times New Roman" w:hAnsi="Times New Roman" w:eastAsia="宋体" w:cs="MS Gothic"/>
                <w:i w:val="0"/>
                <w:strike w:val="0"/>
                <w:dstrike w:val="0"/>
                <w:color w:val="auto"/>
                <w:spacing w:val="0"/>
                <w:position w:val="0"/>
                <w:sz w:val="21"/>
                <w:szCs w:val="21"/>
                <w:highlight w:val="none"/>
              </w:rPr>
              <w:t>☑</w:t>
            </w:r>
          </w:p>
        </w:tc>
      </w:tr>
      <w:tr w14:paraId="28EAF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restart"/>
            <w:tcBorders>
              <w:tl2br w:val="nil"/>
              <w:tr2bl w:val="nil"/>
            </w:tcBorders>
            <w:vAlign w:val="center"/>
          </w:tcPr>
          <w:p w14:paraId="576D8A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p w14:paraId="16C2922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评价结论</w:t>
            </w:r>
          </w:p>
        </w:tc>
        <w:tc>
          <w:tcPr>
            <w:tcW w:w="799" w:type="pct"/>
            <w:tcBorders>
              <w:tl2br w:val="nil"/>
              <w:tr2bl w:val="nil"/>
            </w:tcBorders>
            <w:vAlign w:val="center"/>
          </w:tcPr>
          <w:p w14:paraId="69C925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环境影响</w:t>
            </w:r>
          </w:p>
        </w:tc>
        <w:tc>
          <w:tcPr>
            <w:tcW w:w="1117" w:type="pct"/>
            <w:gridSpan w:val="5"/>
            <w:tcBorders>
              <w:tl2br w:val="nil"/>
              <w:tr2bl w:val="nil"/>
            </w:tcBorders>
            <w:vAlign w:val="center"/>
          </w:tcPr>
          <w:p w14:paraId="15AAB3A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可以接受</w:t>
            </w:r>
            <w:r>
              <w:rPr>
                <w:rFonts w:ascii="Times New Roman" w:hAnsi="Times New Roman" w:eastAsia="宋体" w:cs="MS Gothic"/>
                <w:i w:val="0"/>
                <w:strike w:val="0"/>
                <w:dstrike w:val="0"/>
                <w:color w:val="auto"/>
                <w:spacing w:val="0"/>
                <w:position w:val="0"/>
                <w:sz w:val="21"/>
                <w:szCs w:val="21"/>
                <w:highlight w:val="none"/>
              </w:rPr>
              <w:t>☑</w:t>
            </w:r>
          </w:p>
        </w:tc>
        <w:tc>
          <w:tcPr>
            <w:tcW w:w="2771" w:type="pct"/>
            <w:gridSpan w:val="7"/>
            <w:tcBorders>
              <w:tl2br w:val="nil"/>
              <w:tr2bl w:val="nil"/>
            </w:tcBorders>
            <w:vAlign w:val="center"/>
          </w:tcPr>
          <w:p w14:paraId="4E2213D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不可以接受</w:t>
            </w:r>
            <w:r>
              <w:rPr>
                <w:rFonts w:ascii="Times New Roman" w:hAnsi="Times New Roman" w:eastAsia="宋体" w:cs="Times New Roman"/>
                <w:i w:val="0"/>
                <w:strike w:val="0"/>
                <w:dstrike w:val="0"/>
                <w:color w:val="auto"/>
                <w:spacing w:val="0"/>
                <w:position w:val="0"/>
                <w:sz w:val="21"/>
                <w:szCs w:val="21"/>
                <w:highlight w:val="none"/>
              </w:rPr>
              <w:t>□</w:t>
            </w:r>
          </w:p>
        </w:tc>
      </w:tr>
      <w:tr w14:paraId="280B3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311" w:type="pct"/>
            <w:vMerge w:val="continue"/>
            <w:tcBorders>
              <w:tl2br w:val="nil"/>
              <w:tr2bl w:val="nil"/>
            </w:tcBorders>
            <w:vAlign w:val="center"/>
          </w:tcPr>
          <w:p w14:paraId="08523FB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590AB1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大气环境防护距离</w:t>
            </w:r>
          </w:p>
        </w:tc>
        <w:tc>
          <w:tcPr>
            <w:tcW w:w="3888" w:type="pct"/>
            <w:gridSpan w:val="12"/>
            <w:tcBorders>
              <w:tl2br w:val="nil"/>
              <w:tr2bl w:val="nil"/>
            </w:tcBorders>
            <w:vAlign w:val="center"/>
          </w:tcPr>
          <w:p w14:paraId="35E2D2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距</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厂界最远</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m</w:t>
            </w:r>
          </w:p>
        </w:tc>
      </w:tr>
      <w:tr w14:paraId="0FC4A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11" w:type="pct"/>
            <w:vMerge w:val="continue"/>
            <w:tcBorders>
              <w:tl2br w:val="nil"/>
              <w:tr2bl w:val="nil"/>
            </w:tcBorders>
            <w:vAlign w:val="center"/>
          </w:tcPr>
          <w:p w14:paraId="11D159E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i w:val="0"/>
                <w:strike w:val="0"/>
                <w:dstrike w:val="0"/>
                <w:color w:val="auto"/>
                <w:spacing w:val="0"/>
                <w:position w:val="0"/>
                <w:sz w:val="21"/>
                <w:highlight w:val="none"/>
              </w:rPr>
            </w:pPr>
          </w:p>
        </w:tc>
        <w:tc>
          <w:tcPr>
            <w:tcW w:w="799" w:type="pct"/>
            <w:tcBorders>
              <w:tl2br w:val="nil"/>
              <w:tr2bl w:val="nil"/>
            </w:tcBorders>
            <w:vAlign w:val="center"/>
          </w:tcPr>
          <w:p w14:paraId="1FB7B9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污染源年排放量</w:t>
            </w:r>
          </w:p>
        </w:tc>
        <w:tc>
          <w:tcPr>
            <w:tcW w:w="1019" w:type="pct"/>
            <w:gridSpan w:val="4"/>
            <w:tcBorders>
              <w:tl2br w:val="nil"/>
              <w:tr2bl w:val="nil"/>
            </w:tcBorders>
            <w:vAlign w:val="center"/>
          </w:tcPr>
          <w:p w14:paraId="08214FB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SO</w:t>
            </w:r>
            <w:r>
              <w:rPr>
                <w:rFonts w:ascii="Times New Roman" w:hAnsi="Times New Roman" w:eastAsia="宋体" w:cs="Times New Roman"/>
                <w:i w:val="0"/>
                <w:strike w:val="0"/>
                <w:dstrike w:val="0"/>
                <w:color w:val="auto"/>
                <w:spacing w:val="0"/>
                <w:position w:val="0"/>
                <w:sz w:val="21"/>
                <w:szCs w:val="14"/>
                <w:highlight w:val="none"/>
              </w:rPr>
              <w:t>2</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c>
          <w:tcPr>
            <w:tcW w:w="926" w:type="pct"/>
            <w:gridSpan w:val="2"/>
            <w:tcBorders>
              <w:tl2br w:val="nil"/>
              <w:tr2bl w:val="nil"/>
            </w:tcBorders>
            <w:vAlign w:val="center"/>
          </w:tcPr>
          <w:p w14:paraId="47C6514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NOx</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c>
          <w:tcPr>
            <w:tcW w:w="1190" w:type="pct"/>
            <w:gridSpan w:val="4"/>
            <w:tcBorders>
              <w:tl2br w:val="nil"/>
              <w:tr2bl w:val="nil"/>
            </w:tcBorders>
            <w:vAlign w:val="center"/>
          </w:tcPr>
          <w:p w14:paraId="0969286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颗粒物</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c>
          <w:tcPr>
            <w:tcW w:w="752" w:type="pct"/>
            <w:gridSpan w:val="2"/>
            <w:tcBorders>
              <w:tl2br w:val="nil"/>
              <w:tr2bl w:val="nil"/>
            </w:tcBorders>
            <w:vAlign w:val="center"/>
          </w:tcPr>
          <w:p w14:paraId="65B271B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i w:val="0"/>
                <w:strike w:val="0"/>
                <w:dstrike w:val="0"/>
                <w:color w:val="auto"/>
                <w:spacing w:val="0"/>
                <w:position w:val="0"/>
                <w:sz w:val="21"/>
                <w:szCs w:val="21"/>
                <w:highlight w:val="none"/>
              </w:rPr>
            </w:pPr>
            <w:r>
              <w:rPr>
                <w:rFonts w:ascii="Times New Roman" w:hAnsi="Times New Roman" w:eastAsia="宋体" w:cs="Times New Roman"/>
                <w:i w:val="0"/>
                <w:strike w:val="0"/>
                <w:dstrike w:val="0"/>
                <w:color w:val="auto"/>
                <w:spacing w:val="0"/>
                <w:position w:val="0"/>
                <w:sz w:val="21"/>
                <w:szCs w:val="21"/>
                <w:highlight w:val="none"/>
              </w:rPr>
              <w:t>VOCs</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t/a</w:t>
            </w:r>
          </w:p>
        </w:tc>
      </w:tr>
      <w:tr w14:paraId="5F2D4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5000" w:type="pct"/>
            <w:gridSpan w:val="14"/>
            <w:tcBorders>
              <w:tl2br w:val="nil"/>
              <w:tr2bl w:val="nil"/>
            </w:tcBorders>
            <w:vAlign w:val="center"/>
          </w:tcPr>
          <w:p w14:paraId="0CCBB89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i w:val="0"/>
                <w:strike w:val="0"/>
                <w:dstrike w:val="0"/>
                <w:color w:val="auto"/>
                <w:spacing w:val="0"/>
                <w:position w:val="0"/>
                <w:sz w:val="21"/>
                <w:szCs w:val="21"/>
                <w:highlight w:val="none"/>
              </w:rPr>
            </w:pPr>
            <w:r>
              <w:rPr>
                <w:rFonts w:ascii="Times New Roman" w:hAnsi="Times New Roman" w:eastAsia="宋体" w:cs="宋体"/>
                <w:i w:val="0"/>
                <w:strike w:val="0"/>
                <w:dstrike w:val="0"/>
                <w:color w:val="auto"/>
                <w:spacing w:val="0"/>
                <w:position w:val="0"/>
                <w:sz w:val="21"/>
                <w:szCs w:val="21"/>
                <w:highlight w:val="none"/>
              </w:rPr>
              <w:t>注：</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Times New Roman"/>
                <w:i w:val="0"/>
                <w:strike w:val="0"/>
                <w:dstrike w:val="0"/>
                <w:color w:val="auto"/>
                <w:spacing w:val="0"/>
                <w:position w:val="0"/>
                <w:sz w:val="21"/>
                <w:szCs w:val="21"/>
                <w:highlight w:val="none"/>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为勾选项，填</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hint="eastAsia" w:ascii="Times New Roman" w:hAnsi="Times New Roman" w:eastAsia="宋体" w:cs="宋体"/>
                <w:i w:val="0"/>
                <w:strike w:val="0"/>
                <w:dstrike w:val="0"/>
                <w:color w:val="auto"/>
                <w:spacing w:val="0"/>
                <w:position w:val="0"/>
                <w:sz w:val="21"/>
                <w:szCs w:val="21"/>
                <w:highlight w:val="none"/>
                <w:lang w:eastAsia="zh-CN"/>
              </w:rPr>
              <w:t>（）</w:t>
            </w:r>
            <w:r>
              <w:rPr>
                <w:rFonts w:hint="eastAsia" w:ascii="Times New Roman" w:hAnsi="Times New Roman" w:eastAsia="宋体" w:cs="Times New Roman"/>
                <w:i w:val="0"/>
                <w:strike w:val="0"/>
                <w:dstrike w:val="0"/>
                <w:color w:val="auto"/>
                <w:spacing w:val="0"/>
                <w:position w:val="0"/>
                <w:sz w:val="21"/>
                <w:szCs w:val="21"/>
                <w:highlight w:val="none"/>
                <w:lang w:eastAsia="zh-CN"/>
              </w:rPr>
              <w:t>”</w:t>
            </w:r>
            <w:r>
              <w:rPr>
                <w:rFonts w:ascii="Times New Roman" w:hAnsi="Times New Roman" w:eastAsia="宋体" w:cs="宋体"/>
                <w:i w:val="0"/>
                <w:strike w:val="0"/>
                <w:dstrike w:val="0"/>
                <w:color w:val="auto"/>
                <w:spacing w:val="0"/>
                <w:position w:val="0"/>
                <w:sz w:val="21"/>
                <w:szCs w:val="21"/>
                <w:highlight w:val="none"/>
              </w:rPr>
              <w:t>为内容填写项</w:t>
            </w:r>
          </w:p>
        </w:tc>
      </w:tr>
    </w:tbl>
    <w:p w14:paraId="237223EF">
      <w:pPr>
        <w:rPr>
          <w:rFonts w:ascii="Times New Roman" w:hAnsi="Times New Roman" w:eastAsia="宋体"/>
          <w:strike w:val="0"/>
          <w:dstrike w:val="0"/>
          <w:color w:val="auto"/>
          <w:sz w:val="21"/>
          <w:highlight w:val="none"/>
        </w:rPr>
      </w:pPr>
    </w:p>
    <w:p w14:paraId="04B9602B">
      <w:pPr>
        <w:rPr>
          <w:rFonts w:ascii="Times New Roman" w:hAnsi="Times New Roman" w:eastAsia="宋体"/>
          <w:strike w:val="0"/>
          <w:dstrike w:val="0"/>
          <w:color w:val="auto"/>
          <w:highlight w:val="none"/>
        </w:rPr>
        <w:sectPr>
          <w:headerReference r:id="rId19" w:type="default"/>
          <w:footerReference r:id="rId20" w:type="default"/>
          <w:pgSz w:w="11907" w:h="16839"/>
          <w:pgMar w:top="1440" w:right="1800" w:bottom="1440" w:left="1800" w:header="877" w:footer="980" w:gutter="0"/>
          <w:pgBorders>
            <w:top w:val="none" w:sz="0" w:space="0"/>
            <w:left w:val="none" w:sz="0" w:space="0"/>
            <w:bottom w:val="none" w:sz="0" w:space="0"/>
            <w:right w:val="none" w:sz="0" w:space="0"/>
          </w:pgBorders>
          <w:pgNumType w:fmt="decimal"/>
          <w:cols w:space="720" w:num="1"/>
        </w:sectPr>
      </w:pPr>
    </w:p>
    <w:p w14:paraId="241F1A81">
      <w:pPr>
        <w:pStyle w:val="4"/>
        <w:rPr>
          <w:rFonts w:ascii="Times New Roman" w:hAnsi="Times New Roman" w:eastAsia="宋体"/>
          <w:strike w:val="0"/>
          <w:dstrike w:val="0"/>
          <w:color w:val="auto"/>
          <w:highlight w:val="none"/>
        </w:rPr>
      </w:pPr>
      <w:bookmarkStart w:id="232" w:name="_Toc106663501"/>
      <w:bookmarkStart w:id="233" w:name="_Toc30485"/>
      <w:r>
        <w:rPr>
          <w:rFonts w:hint="eastAsia" w:ascii="Times New Roman" w:hAnsi="Times New Roman" w:eastAsia="宋体"/>
          <w:strike w:val="0"/>
          <w:dstrike w:val="0"/>
          <w:color w:val="auto"/>
          <w:highlight w:val="none"/>
        </w:rPr>
        <w:t>5.2.2水环境影响</w:t>
      </w:r>
      <w:r>
        <w:rPr>
          <w:rFonts w:hint="eastAsia" w:ascii="Times New Roman" w:hAnsi="Times New Roman" w:eastAsia="宋体"/>
          <w:strike w:val="0"/>
          <w:dstrike w:val="0"/>
          <w:color w:val="auto"/>
          <w:highlight w:val="none"/>
          <w:lang w:val="en-US" w:eastAsia="zh-CN"/>
        </w:rPr>
        <w:t>分析</w:t>
      </w:r>
      <w:r>
        <w:rPr>
          <w:rFonts w:hint="eastAsia" w:ascii="Times New Roman" w:hAnsi="Times New Roman" w:eastAsia="宋体"/>
          <w:strike w:val="0"/>
          <w:dstrike w:val="0"/>
          <w:color w:val="auto"/>
          <w:highlight w:val="none"/>
        </w:rPr>
        <w:t>与评价</w:t>
      </w:r>
      <w:bookmarkEnd w:id="232"/>
      <w:bookmarkEnd w:id="233"/>
    </w:p>
    <w:p w14:paraId="79EDE62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根据工程分析，本项目废水包括</w:t>
      </w:r>
      <w:r>
        <w:rPr>
          <w:rFonts w:hint="eastAsia" w:ascii="Times New Roman" w:hAnsi="Times New Roman" w:eastAsia="宋体"/>
          <w:strike w:val="0"/>
          <w:dstrike w:val="0"/>
          <w:color w:val="auto"/>
          <w:highlight w:val="none"/>
          <w:lang w:eastAsia="zh-CN"/>
        </w:rPr>
        <w:t>生活污水和生产废水。</w:t>
      </w:r>
    </w:p>
    <w:p w14:paraId="19A41BB9">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5.2.2.1地表水环境影响分析</w:t>
      </w:r>
    </w:p>
    <w:p w14:paraId="6EDC6F5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本项目运营期废水主要为</w:t>
      </w:r>
      <w:r>
        <w:rPr>
          <w:rFonts w:hint="eastAsia" w:ascii="Times New Roman" w:hAnsi="Times New Roman" w:eastAsia="宋体" w:cs="宋体"/>
          <w:strike w:val="0"/>
          <w:dstrike w:val="0"/>
          <w:color w:val="auto"/>
          <w:spacing w:val="0"/>
          <w:position w:val="0"/>
          <w:sz w:val="24"/>
          <w:szCs w:val="24"/>
          <w:highlight w:val="none"/>
          <w:lang w:eastAsia="zh-CN"/>
        </w:rPr>
        <w:t>生活污水和生产废水。</w:t>
      </w:r>
    </w:p>
    <w:p w14:paraId="577393E1">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lang w:eastAsia="zh-CN"/>
        </w:rPr>
        <w:t>本项目生活污水和生产废水经黑膜池发酵处理后用于项目区周边林带施肥</w:t>
      </w:r>
      <w:r>
        <w:rPr>
          <w:rFonts w:ascii="Times New Roman" w:hAnsi="Times New Roman" w:eastAsia="宋体" w:cs="宋体"/>
          <w:strike w:val="0"/>
          <w:dstrike w:val="0"/>
          <w:color w:val="auto"/>
          <w:spacing w:val="0"/>
          <w:position w:val="0"/>
          <w:sz w:val="24"/>
          <w:szCs w:val="24"/>
          <w:highlight w:val="none"/>
        </w:rPr>
        <w:t>；项目区所产生的废水均得到有效处理，无外排废水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项目对场区进行分区硬化防渗处置，项目产生的各类废水均得到合理处置，均不外排</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本项目废水不会进入天然地表水体，与地表水也不发生水力联系，对地表水环境影响不大</w:t>
      </w:r>
      <w:r>
        <w:rPr>
          <w:rFonts w:hint="eastAsia" w:ascii="Times New Roman" w:hAnsi="Times New Roman" w:eastAsia="宋体" w:cs="宋体"/>
          <w:strike w:val="0"/>
          <w:dstrike w:val="0"/>
          <w:color w:val="auto"/>
          <w:spacing w:val="0"/>
          <w:position w:val="0"/>
          <w:sz w:val="24"/>
          <w:szCs w:val="24"/>
          <w:highlight w:val="none"/>
          <w:lang w:eastAsia="zh-CN"/>
        </w:rPr>
        <w:t>。</w:t>
      </w:r>
    </w:p>
    <w:p w14:paraId="73F7D2A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地表水环境影响评价自查表见表</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.2-10</w:t>
      </w:r>
      <w:r>
        <w:rPr>
          <w:rFonts w:hint="eastAsia" w:ascii="Times New Roman" w:hAnsi="Times New Roman" w:eastAsia="宋体" w:cs="宋体"/>
          <w:strike w:val="0"/>
          <w:dstrike w:val="0"/>
          <w:color w:val="auto"/>
          <w:spacing w:val="0"/>
          <w:position w:val="0"/>
          <w:sz w:val="24"/>
          <w:szCs w:val="24"/>
          <w:highlight w:val="none"/>
          <w:lang w:eastAsia="zh-CN"/>
        </w:rPr>
        <w:t>。</w:t>
      </w:r>
    </w:p>
    <w:p w14:paraId="0B0221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表5.2-10地表水环境影响评价自查表</w:t>
      </w:r>
    </w:p>
    <w:tbl>
      <w:tblPr>
        <w:tblStyle w:val="183"/>
        <w:tblW w:w="50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5"/>
        <w:gridCol w:w="1377"/>
        <w:gridCol w:w="1054"/>
        <w:gridCol w:w="484"/>
        <w:gridCol w:w="22"/>
        <w:gridCol w:w="20"/>
        <w:gridCol w:w="654"/>
        <w:gridCol w:w="989"/>
        <w:gridCol w:w="263"/>
        <w:gridCol w:w="126"/>
        <w:gridCol w:w="123"/>
        <w:gridCol w:w="926"/>
        <w:gridCol w:w="289"/>
        <w:gridCol w:w="330"/>
        <w:gridCol w:w="1163"/>
      </w:tblGrid>
      <w:tr w14:paraId="2BD96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1089" w:type="pct"/>
            <w:gridSpan w:val="2"/>
            <w:tcBorders>
              <w:tl2br w:val="nil"/>
              <w:tr2bl w:val="nil"/>
            </w:tcBorders>
            <w:vAlign w:val="center"/>
          </w:tcPr>
          <w:p w14:paraId="37BF914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工作内容</w:t>
            </w:r>
          </w:p>
        </w:tc>
        <w:tc>
          <w:tcPr>
            <w:tcW w:w="3910" w:type="pct"/>
            <w:gridSpan w:val="13"/>
            <w:tcBorders>
              <w:tl2br w:val="nil"/>
              <w:tr2bl w:val="nil"/>
            </w:tcBorders>
            <w:vAlign w:val="center"/>
          </w:tcPr>
          <w:p w14:paraId="0B5BB43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自查项目</w:t>
            </w:r>
          </w:p>
        </w:tc>
      </w:tr>
      <w:tr w14:paraId="03AC5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restart"/>
            <w:tcBorders>
              <w:tl2br w:val="nil"/>
              <w:tr2bl w:val="nil"/>
            </w:tcBorders>
            <w:textDirection w:val="tbRlV"/>
            <w:vAlign w:val="center"/>
          </w:tcPr>
          <w:p w14:paraId="28164FA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影响识别</w:t>
            </w:r>
          </w:p>
        </w:tc>
        <w:tc>
          <w:tcPr>
            <w:tcW w:w="831" w:type="pct"/>
            <w:tcBorders>
              <w:tl2br w:val="nil"/>
              <w:tr2bl w:val="nil"/>
            </w:tcBorders>
            <w:vAlign w:val="center"/>
          </w:tcPr>
          <w:p w14:paraId="0499BD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影响类型</w:t>
            </w:r>
          </w:p>
        </w:tc>
        <w:tc>
          <w:tcPr>
            <w:tcW w:w="3910" w:type="pct"/>
            <w:gridSpan w:val="13"/>
            <w:tcBorders>
              <w:tl2br w:val="nil"/>
              <w:tr2bl w:val="nil"/>
            </w:tcBorders>
            <w:vAlign w:val="center"/>
          </w:tcPr>
          <w:p w14:paraId="7F185D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水污染影响型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；水文要素影响型</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9EE3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582A69B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742764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水环境保护目标</w:t>
            </w:r>
          </w:p>
        </w:tc>
        <w:tc>
          <w:tcPr>
            <w:tcW w:w="3910" w:type="pct"/>
            <w:gridSpan w:val="13"/>
            <w:tcBorders>
              <w:tl2br w:val="nil"/>
              <w:tr2bl w:val="nil"/>
            </w:tcBorders>
            <w:vAlign w:val="center"/>
          </w:tcPr>
          <w:p w14:paraId="31F30C6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饮用水水源保护区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；饮用水取水</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；涉水的自然保护区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；重要湿地</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；重点保护与珍惜水生生物的栖息地</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；重要水生生物的自然产卵场及索饵场、越冬场和洄游通道、天然渔场等渔业水体</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；涉水的风景名胜区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A3D0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47F7DA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3B061BA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影响途径</w:t>
            </w:r>
          </w:p>
        </w:tc>
        <w:tc>
          <w:tcPr>
            <w:tcW w:w="1956" w:type="pct"/>
            <w:gridSpan w:val="6"/>
            <w:tcBorders>
              <w:tl2br w:val="nil"/>
              <w:tr2bl w:val="nil"/>
            </w:tcBorders>
            <w:vAlign w:val="center"/>
          </w:tcPr>
          <w:p w14:paraId="1596F13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水污染影响型</w:t>
            </w:r>
          </w:p>
        </w:tc>
        <w:tc>
          <w:tcPr>
            <w:tcW w:w="1953" w:type="pct"/>
            <w:gridSpan w:val="7"/>
            <w:tcBorders>
              <w:tl2br w:val="nil"/>
              <w:tr2bl w:val="nil"/>
            </w:tcBorders>
            <w:vAlign w:val="center"/>
          </w:tcPr>
          <w:p w14:paraId="49E8E4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水文要素影响型</w:t>
            </w:r>
          </w:p>
        </w:tc>
      </w:tr>
      <w:tr w14:paraId="42907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47C59F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5673E54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4AAFE8E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微软雅黑"/>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直接排放</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；间接排放</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7D0220C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；径流</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；水域面积</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4765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1C9488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638D789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影响因子</w:t>
            </w:r>
          </w:p>
        </w:tc>
        <w:tc>
          <w:tcPr>
            <w:tcW w:w="1956" w:type="pct"/>
            <w:gridSpan w:val="6"/>
            <w:tcBorders>
              <w:tl2br w:val="nil"/>
              <w:tr2bl w:val="nil"/>
            </w:tcBorders>
            <w:vAlign w:val="center"/>
          </w:tcPr>
          <w:p w14:paraId="7CBDFD0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微软雅黑"/>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持久性污染物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；有毒有害污染物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；非持久性污染物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pH</w:t>
            </w:r>
            <w:r>
              <w:rPr>
                <w:rFonts w:ascii="Times New Roman" w:hAnsi="Times New Roman" w:eastAsia="宋体" w:cs="宋体"/>
                <w:strike w:val="0"/>
                <w:dstrike w:val="0"/>
                <w:color w:val="auto"/>
                <w:spacing w:val="0"/>
                <w:position w:val="0"/>
                <w:sz w:val="21"/>
                <w:szCs w:val="21"/>
                <w:highlight w:val="none"/>
              </w:rPr>
              <w:t>值</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；热污染；富营养化</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215B480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水温</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；水位</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水深</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；流量</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4755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1089" w:type="pct"/>
            <w:gridSpan w:val="2"/>
            <w:vMerge w:val="restart"/>
            <w:tcBorders>
              <w:tl2br w:val="nil"/>
              <w:tr2bl w:val="nil"/>
            </w:tcBorders>
            <w:vAlign w:val="center"/>
          </w:tcPr>
          <w:p w14:paraId="473994E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评价等级</w:t>
            </w:r>
          </w:p>
        </w:tc>
        <w:tc>
          <w:tcPr>
            <w:tcW w:w="1956" w:type="pct"/>
            <w:gridSpan w:val="6"/>
            <w:tcBorders>
              <w:tl2br w:val="nil"/>
              <w:tr2bl w:val="nil"/>
            </w:tcBorders>
            <w:vAlign w:val="center"/>
          </w:tcPr>
          <w:p w14:paraId="70EF424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水污染影响型</w:t>
            </w:r>
          </w:p>
        </w:tc>
        <w:tc>
          <w:tcPr>
            <w:tcW w:w="1953" w:type="pct"/>
            <w:gridSpan w:val="7"/>
            <w:tcBorders>
              <w:tl2br w:val="nil"/>
              <w:tr2bl w:val="nil"/>
            </w:tcBorders>
            <w:vAlign w:val="center"/>
          </w:tcPr>
          <w:p w14:paraId="4ECBBD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水文要素影响型</w:t>
            </w:r>
          </w:p>
        </w:tc>
      </w:tr>
      <w:tr w14:paraId="53135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1089" w:type="pct"/>
            <w:gridSpan w:val="2"/>
            <w:vMerge w:val="continue"/>
            <w:tcBorders>
              <w:tl2br w:val="nil"/>
              <w:tr2bl w:val="nil"/>
            </w:tcBorders>
            <w:vAlign w:val="center"/>
          </w:tcPr>
          <w:p w14:paraId="7DC3EF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7DD64E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微软雅黑"/>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；二级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；三级</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；三级</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54F0FF4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；二级</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；三级</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19C4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restart"/>
            <w:tcBorders>
              <w:tl2br w:val="nil"/>
              <w:tr2bl w:val="nil"/>
            </w:tcBorders>
            <w:vAlign w:val="center"/>
          </w:tcPr>
          <w:p w14:paraId="0EE83A9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现状调查</w:t>
            </w:r>
          </w:p>
        </w:tc>
        <w:tc>
          <w:tcPr>
            <w:tcW w:w="831" w:type="pct"/>
            <w:vMerge w:val="restart"/>
            <w:tcBorders>
              <w:tl2br w:val="nil"/>
              <w:tr2bl w:val="nil"/>
            </w:tcBorders>
            <w:vAlign w:val="center"/>
          </w:tcPr>
          <w:p w14:paraId="3DE581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区域污染源</w:t>
            </w:r>
          </w:p>
        </w:tc>
        <w:tc>
          <w:tcPr>
            <w:tcW w:w="1956" w:type="pct"/>
            <w:gridSpan w:val="6"/>
            <w:tcBorders>
              <w:tl2br w:val="nil"/>
              <w:tr2bl w:val="nil"/>
            </w:tcBorders>
            <w:vAlign w:val="center"/>
          </w:tcPr>
          <w:p w14:paraId="2FD9FAB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调查项目</w:t>
            </w:r>
          </w:p>
        </w:tc>
        <w:tc>
          <w:tcPr>
            <w:tcW w:w="1953" w:type="pct"/>
            <w:gridSpan w:val="7"/>
            <w:tcBorders>
              <w:tl2br w:val="nil"/>
              <w:tr2bl w:val="nil"/>
            </w:tcBorders>
            <w:vAlign w:val="center"/>
          </w:tcPr>
          <w:p w14:paraId="347E69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数据来源</w:t>
            </w:r>
          </w:p>
        </w:tc>
      </w:tr>
      <w:tr w14:paraId="3491C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53E7AF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72A5C40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47" w:type="pct"/>
            <w:gridSpan w:val="3"/>
            <w:tcBorders>
              <w:tl2br w:val="nil"/>
              <w:tr2bl w:val="nil"/>
            </w:tcBorders>
            <w:vAlign w:val="center"/>
          </w:tcPr>
          <w:p w14:paraId="0E0613C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已建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；在建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；拟建</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009" w:type="pct"/>
            <w:gridSpan w:val="3"/>
            <w:tcBorders>
              <w:tl2br w:val="nil"/>
              <w:tr2bl w:val="nil"/>
            </w:tcBorders>
            <w:vAlign w:val="center"/>
          </w:tcPr>
          <w:p w14:paraId="4AE78E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拟替代的污染源</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1DFE02F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排污许可证</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；环评</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；环保验收</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；即有实施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；现场监测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；入河排放口数据</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3486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527FE38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440E676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受影响水体水环境质量</w:t>
            </w:r>
          </w:p>
        </w:tc>
        <w:tc>
          <w:tcPr>
            <w:tcW w:w="1956" w:type="pct"/>
            <w:gridSpan w:val="6"/>
            <w:tcBorders>
              <w:tl2br w:val="nil"/>
              <w:tr2bl w:val="nil"/>
            </w:tcBorders>
            <w:vAlign w:val="center"/>
          </w:tcPr>
          <w:p w14:paraId="5799590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调查时期</w:t>
            </w:r>
          </w:p>
        </w:tc>
        <w:tc>
          <w:tcPr>
            <w:tcW w:w="1953" w:type="pct"/>
            <w:gridSpan w:val="7"/>
            <w:tcBorders>
              <w:tl2br w:val="nil"/>
              <w:tr2bl w:val="nil"/>
            </w:tcBorders>
            <w:vAlign w:val="center"/>
          </w:tcPr>
          <w:p w14:paraId="651739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数据来源</w:t>
            </w:r>
          </w:p>
        </w:tc>
      </w:tr>
      <w:tr w14:paraId="51F31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textDirection w:val="tbRlV"/>
            <w:vAlign w:val="center"/>
          </w:tcPr>
          <w:p w14:paraId="080A2C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5426D18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7034A9A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4AE5CA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生态环境保护主管部门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；补充监测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75269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4" w:hRule="atLeast"/>
          <w:jc w:val="center"/>
        </w:trPr>
        <w:tc>
          <w:tcPr>
            <w:tcW w:w="258" w:type="pct"/>
            <w:vMerge w:val="continue"/>
            <w:tcBorders>
              <w:tl2br w:val="nil"/>
              <w:tr2bl w:val="nil"/>
            </w:tcBorders>
            <w:textDirection w:val="tbRlV"/>
            <w:vAlign w:val="center"/>
          </w:tcPr>
          <w:p w14:paraId="235AD1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190BA17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区域水资源开发利用状况</w:t>
            </w:r>
          </w:p>
        </w:tc>
        <w:tc>
          <w:tcPr>
            <w:tcW w:w="3910" w:type="pct"/>
            <w:gridSpan w:val="13"/>
            <w:tcBorders>
              <w:tl2br w:val="nil"/>
              <w:tr2bl w:val="nil"/>
            </w:tcBorders>
            <w:vAlign w:val="center"/>
          </w:tcPr>
          <w:p w14:paraId="044005F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未开发</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；开发量</w:t>
            </w:r>
            <w:r>
              <w:rPr>
                <w:rFonts w:ascii="Times New Roman" w:hAnsi="Times New Roman" w:eastAsia="宋体" w:cs="Times New Roman"/>
                <w:strike w:val="0"/>
                <w:dstrike w:val="0"/>
                <w:color w:val="auto"/>
                <w:spacing w:val="0"/>
                <w:position w:val="0"/>
                <w:sz w:val="21"/>
                <w:szCs w:val="21"/>
                <w:highlight w:val="none"/>
              </w:rPr>
              <w:t>40%</w:t>
            </w:r>
            <w:r>
              <w:rPr>
                <w:rFonts w:ascii="Times New Roman" w:hAnsi="Times New Roman" w:eastAsia="宋体" w:cs="宋体"/>
                <w:strike w:val="0"/>
                <w:dstrike w:val="0"/>
                <w:color w:val="auto"/>
                <w:spacing w:val="0"/>
                <w:position w:val="0"/>
                <w:sz w:val="21"/>
                <w:szCs w:val="21"/>
                <w:highlight w:val="none"/>
              </w:rPr>
              <w:t>以下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；开发量</w:t>
            </w:r>
            <w:r>
              <w:rPr>
                <w:rFonts w:ascii="Times New Roman" w:hAnsi="Times New Roman" w:eastAsia="宋体" w:cs="Times New Roman"/>
                <w:strike w:val="0"/>
                <w:dstrike w:val="0"/>
                <w:color w:val="auto"/>
                <w:spacing w:val="0"/>
                <w:position w:val="0"/>
                <w:sz w:val="21"/>
                <w:szCs w:val="21"/>
                <w:highlight w:val="none"/>
              </w:rPr>
              <w:t>40%</w:t>
            </w:r>
            <w:r>
              <w:rPr>
                <w:rFonts w:ascii="Times New Roman" w:hAnsi="Times New Roman" w:eastAsia="宋体" w:cs="宋体"/>
                <w:strike w:val="0"/>
                <w:dstrike w:val="0"/>
                <w:color w:val="auto"/>
                <w:spacing w:val="0"/>
                <w:position w:val="0"/>
                <w:sz w:val="21"/>
                <w:szCs w:val="21"/>
                <w:highlight w:val="none"/>
              </w:rPr>
              <w:t>以上</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1E89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258" w:type="pct"/>
            <w:vMerge w:val="continue"/>
            <w:tcBorders>
              <w:tl2br w:val="nil"/>
              <w:tr2bl w:val="nil"/>
            </w:tcBorders>
            <w:textDirection w:val="tbRlV"/>
            <w:vAlign w:val="center"/>
          </w:tcPr>
          <w:p w14:paraId="7D370F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3B2EA8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水文情势调查</w:t>
            </w:r>
          </w:p>
        </w:tc>
        <w:tc>
          <w:tcPr>
            <w:tcW w:w="1956" w:type="pct"/>
            <w:gridSpan w:val="6"/>
            <w:tcBorders>
              <w:tl2br w:val="nil"/>
              <w:tr2bl w:val="nil"/>
            </w:tcBorders>
            <w:vAlign w:val="center"/>
          </w:tcPr>
          <w:p w14:paraId="65E7671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调查时期</w:t>
            </w:r>
          </w:p>
        </w:tc>
        <w:tc>
          <w:tcPr>
            <w:tcW w:w="1953" w:type="pct"/>
            <w:gridSpan w:val="7"/>
            <w:tcBorders>
              <w:tl2br w:val="nil"/>
              <w:tr2bl w:val="nil"/>
            </w:tcBorders>
            <w:vAlign w:val="center"/>
          </w:tcPr>
          <w:p w14:paraId="039D318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数据来源</w:t>
            </w:r>
          </w:p>
        </w:tc>
      </w:tr>
      <w:tr w14:paraId="04A10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10" w:hRule="atLeast"/>
          <w:jc w:val="center"/>
        </w:trPr>
        <w:tc>
          <w:tcPr>
            <w:tcW w:w="258" w:type="pct"/>
            <w:vMerge w:val="continue"/>
            <w:tcBorders>
              <w:tl2br w:val="nil"/>
              <w:tr2bl w:val="nil"/>
            </w:tcBorders>
            <w:vAlign w:val="center"/>
          </w:tcPr>
          <w:p w14:paraId="191B12C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395DE89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补充监测</w:t>
            </w:r>
          </w:p>
        </w:tc>
        <w:tc>
          <w:tcPr>
            <w:tcW w:w="1956" w:type="pct"/>
            <w:gridSpan w:val="6"/>
            <w:tcBorders>
              <w:tl2br w:val="nil"/>
              <w:tr2bl w:val="nil"/>
            </w:tcBorders>
            <w:vAlign w:val="center"/>
          </w:tcPr>
          <w:p w14:paraId="79DAD4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953" w:type="pct"/>
            <w:gridSpan w:val="7"/>
            <w:tcBorders>
              <w:tl2br w:val="nil"/>
              <w:tr2bl w:val="nil"/>
            </w:tcBorders>
            <w:vAlign w:val="center"/>
          </w:tcPr>
          <w:p w14:paraId="15790D4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水行政主管部门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；补充监测</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1A36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5" w:hRule="atLeast"/>
          <w:jc w:val="center"/>
        </w:trPr>
        <w:tc>
          <w:tcPr>
            <w:tcW w:w="258" w:type="pct"/>
            <w:vMerge w:val="continue"/>
            <w:tcBorders>
              <w:tl2br w:val="nil"/>
              <w:tr2bl w:val="nil"/>
            </w:tcBorders>
            <w:vAlign w:val="center"/>
          </w:tcPr>
          <w:p w14:paraId="658814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2042E8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956" w:type="pct"/>
            <w:gridSpan w:val="6"/>
            <w:tcBorders>
              <w:tl2br w:val="nil"/>
              <w:tr2bl w:val="nil"/>
            </w:tcBorders>
            <w:vAlign w:val="center"/>
          </w:tcPr>
          <w:p w14:paraId="0148B23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监测时间</w:t>
            </w:r>
          </w:p>
        </w:tc>
        <w:tc>
          <w:tcPr>
            <w:tcW w:w="1253" w:type="pct"/>
            <w:gridSpan w:val="6"/>
            <w:tcBorders>
              <w:tl2br w:val="nil"/>
              <w:tr2bl w:val="nil"/>
            </w:tcBorders>
            <w:vAlign w:val="center"/>
          </w:tcPr>
          <w:p w14:paraId="018C0A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监测因子</w:t>
            </w:r>
          </w:p>
        </w:tc>
        <w:tc>
          <w:tcPr>
            <w:tcW w:w="699" w:type="pct"/>
            <w:tcBorders>
              <w:tl2br w:val="nil"/>
              <w:tr2bl w:val="nil"/>
            </w:tcBorders>
            <w:vAlign w:val="center"/>
          </w:tcPr>
          <w:p w14:paraId="0BB3C95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监测断面或点位</w:t>
            </w:r>
          </w:p>
        </w:tc>
      </w:tr>
      <w:tr w14:paraId="78E30F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5" w:hRule="atLeast"/>
          <w:jc w:val="center"/>
        </w:trPr>
        <w:tc>
          <w:tcPr>
            <w:tcW w:w="258" w:type="pct"/>
            <w:vMerge w:val="continue"/>
            <w:tcBorders>
              <w:tl2br w:val="nil"/>
              <w:tr2bl w:val="nil"/>
            </w:tcBorders>
            <w:vAlign w:val="center"/>
          </w:tcPr>
          <w:p w14:paraId="4ECD643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3CF1EE5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956" w:type="pct"/>
            <w:gridSpan w:val="6"/>
            <w:tcBorders>
              <w:tl2br w:val="nil"/>
              <w:tr2bl w:val="nil"/>
            </w:tcBorders>
            <w:vAlign w:val="center"/>
          </w:tcPr>
          <w:p w14:paraId="3A83AB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253" w:type="pct"/>
            <w:gridSpan w:val="6"/>
            <w:tcBorders>
              <w:tl2br w:val="nil"/>
              <w:tr2bl w:val="nil"/>
            </w:tcBorders>
            <w:vAlign w:val="center"/>
          </w:tcPr>
          <w:p w14:paraId="38A641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99" w:type="pct"/>
            <w:tcBorders>
              <w:tl2br w:val="nil"/>
              <w:tr2bl w:val="nil"/>
            </w:tcBorders>
            <w:vAlign w:val="center"/>
          </w:tcPr>
          <w:p w14:paraId="6FE577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监测断面或点位个数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个</w:t>
            </w:r>
          </w:p>
        </w:tc>
      </w:tr>
      <w:tr w14:paraId="29EB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restart"/>
            <w:tcBorders>
              <w:tl2br w:val="nil"/>
              <w:tr2bl w:val="nil"/>
            </w:tcBorders>
            <w:textDirection w:val="tbRlV"/>
            <w:vAlign w:val="center"/>
          </w:tcPr>
          <w:p w14:paraId="3F19620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现状评价</w:t>
            </w:r>
          </w:p>
        </w:tc>
        <w:tc>
          <w:tcPr>
            <w:tcW w:w="831" w:type="pct"/>
            <w:tcBorders>
              <w:tl2br w:val="nil"/>
              <w:tr2bl w:val="nil"/>
            </w:tcBorders>
            <w:vAlign w:val="center"/>
          </w:tcPr>
          <w:p w14:paraId="38F756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评价范围</w:t>
            </w:r>
          </w:p>
        </w:tc>
        <w:tc>
          <w:tcPr>
            <w:tcW w:w="3910" w:type="pct"/>
            <w:gridSpan w:val="13"/>
            <w:tcBorders>
              <w:tl2br w:val="nil"/>
              <w:tr2bl w:val="nil"/>
            </w:tcBorders>
            <w:vAlign w:val="center"/>
          </w:tcPr>
          <w:p w14:paraId="1085F95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河流：长度</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宋体"/>
                <w:strike w:val="0"/>
                <w:dstrike w:val="0"/>
                <w:color w:val="auto"/>
                <w:spacing w:val="0"/>
                <w:position w:val="0"/>
                <w:sz w:val="21"/>
                <w:szCs w:val="21"/>
                <w:highlight w:val="none"/>
              </w:rPr>
              <w:t>；湖库、河口及近岸海域：面积</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Times New Roman"/>
                <w:strike w:val="0"/>
                <w:dstrike w:val="0"/>
                <w:color w:val="auto"/>
                <w:spacing w:val="0"/>
                <w:position w:val="0"/>
                <w:sz w:val="21"/>
                <w:szCs w:val="14"/>
                <w:highlight w:val="none"/>
                <w:vertAlign w:val="superscript"/>
              </w:rPr>
              <w:t>2</w:t>
            </w:r>
          </w:p>
        </w:tc>
      </w:tr>
      <w:tr w14:paraId="7919D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2802AE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777B11C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评价因子</w:t>
            </w:r>
          </w:p>
        </w:tc>
        <w:tc>
          <w:tcPr>
            <w:tcW w:w="3910" w:type="pct"/>
            <w:gridSpan w:val="13"/>
            <w:tcBorders>
              <w:tl2br w:val="nil"/>
              <w:tr2bl w:val="nil"/>
            </w:tcBorders>
            <w:vAlign w:val="center"/>
          </w:tcPr>
          <w:p w14:paraId="3BC08B6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52F7DE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04" w:hRule="atLeast"/>
          <w:jc w:val="center"/>
        </w:trPr>
        <w:tc>
          <w:tcPr>
            <w:tcW w:w="258" w:type="pct"/>
            <w:vMerge w:val="continue"/>
            <w:tcBorders>
              <w:tl2br w:val="nil"/>
              <w:tr2bl w:val="nil"/>
            </w:tcBorders>
            <w:textDirection w:val="tbRlV"/>
            <w:vAlign w:val="center"/>
          </w:tcPr>
          <w:p w14:paraId="44A53B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4AE4E06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评价标准</w:t>
            </w:r>
          </w:p>
        </w:tc>
        <w:tc>
          <w:tcPr>
            <w:tcW w:w="3910" w:type="pct"/>
            <w:gridSpan w:val="13"/>
            <w:tcBorders>
              <w:tl2br w:val="nil"/>
              <w:tr2bl w:val="nil"/>
            </w:tcBorders>
            <w:vAlign w:val="center"/>
          </w:tcPr>
          <w:p w14:paraId="04B6A5B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河流、湖库、河口：Ⅰ类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；Ⅱ类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；Ⅲ类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；Ⅳ类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；Ⅴ类</w:t>
            </w:r>
            <w:r>
              <w:rPr>
                <w:rFonts w:hint="eastAsia" w:ascii="Times New Roman" w:hAnsi="Times New Roman" w:eastAsia="宋体" w:cs="MS Gothic"/>
                <w:i w:val="0"/>
                <w:strike w:val="0"/>
                <w:dstrike w:val="0"/>
                <w:color w:val="auto"/>
                <w:spacing w:val="0"/>
                <w:position w:val="0"/>
                <w:sz w:val="21"/>
                <w:szCs w:val="21"/>
                <w:highlight w:val="none"/>
                <w:lang w:eastAsia="zh-CN"/>
              </w:rPr>
              <w:t>□</w:t>
            </w:r>
          </w:p>
          <w:p w14:paraId="595C8F4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近岸海域：第一类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；第二类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；第三类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；第四类</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规划年评价标准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40DED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4B8C61A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1F8C567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评价时期</w:t>
            </w:r>
          </w:p>
        </w:tc>
        <w:tc>
          <w:tcPr>
            <w:tcW w:w="3910" w:type="pct"/>
            <w:gridSpan w:val="13"/>
            <w:tcBorders>
              <w:tl2br w:val="nil"/>
              <w:tr2bl w:val="nil"/>
            </w:tcBorders>
            <w:vAlign w:val="center"/>
          </w:tcPr>
          <w:p w14:paraId="77E2D3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2701E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603" w:hRule="atLeast"/>
          <w:jc w:val="center"/>
        </w:trPr>
        <w:tc>
          <w:tcPr>
            <w:tcW w:w="258" w:type="pct"/>
            <w:vMerge w:val="continue"/>
            <w:tcBorders>
              <w:tl2br w:val="nil"/>
              <w:tr2bl w:val="nil"/>
            </w:tcBorders>
            <w:textDirection w:val="tbRlV"/>
            <w:vAlign w:val="center"/>
          </w:tcPr>
          <w:p w14:paraId="1B4B651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5935C7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评价结论</w:t>
            </w:r>
          </w:p>
        </w:tc>
        <w:tc>
          <w:tcPr>
            <w:tcW w:w="3008" w:type="pct"/>
            <w:gridSpan w:val="11"/>
            <w:tcBorders>
              <w:tl2br w:val="nil"/>
              <w:tr2bl w:val="nil"/>
            </w:tcBorders>
            <w:vAlign w:val="center"/>
          </w:tcPr>
          <w:p w14:paraId="527585F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水环境功能区或水功能区、近岸海域环境功能区水质达标状况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水环境控制单元或断面水质达标状况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水环境保护目标质量状况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对照断面、控制断面等代表性断面的水质状况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；不达标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底泥污染评价</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水资源与开发利用程度及其水文情势评价</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水环境质量回顾评价</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区域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水资源</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包括水能资源</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与开发利用总体状况、生态流量管理要求与现状满足程度、建设项目占用水域空间的水流状况与河湖演变状况</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901" w:type="pct"/>
            <w:gridSpan w:val="2"/>
            <w:tcBorders>
              <w:tl2br w:val="nil"/>
              <w:tr2bl w:val="nil"/>
            </w:tcBorders>
            <w:vAlign w:val="center"/>
          </w:tcPr>
          <w:p w14:paraId="156F0E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达标区</w:t>
            </w:r>
            <w:r>
              <w:rPr>
                <w:rFonts w:hint="eastAsia" w:ascii="Times New Roman" w:hAnsi="Times New Roman" w:eastAsia="宋体" w:cs="MS Gothic"/>
                <w:i w:val="0"/>
                <w:strike w:val="0"/>
                <w:dstrike w:val="0"/>
                <w:color w:val="auto"/>
                <w:spacing w:val="0"/>
                <w:position w:val="0"/>
                <w:sz w:val="21"/>
                <w:szCs w:val="21"/>
                <w:highlight w:val="none"/>
                <w:lang w:eastAsia="zh-CN"/>
              </w:rPr>
              <w:t>□</w:t>
            </w:r>
          </w:p>
          <w:p w14:paraId="2D323FF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不达标区</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C447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restart"/>
            <w:tcBorders>
              <w:tl2br w:val="nil"/>
              <w:tr2bl w:val="nil"/>
            </w:tcBorders>
            <w:textDirection w:val="tbRlV"/>
            <w:vAlign w:val="center"/>
          </w:tcPr>
          <w:p w14:paraId="16C4F3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影响预测</w:t>
            </w:r>
          </w:p>
        </w:tc>
        <w:tc>
          <w:tcPr>
            <w:tcW w:w="831" w:type="pct"/>
            <w:tcBorders>
              <w:tl2br w:val="nil"/>
              <w:tr2bl w:val="nil"/>
            </w:tcBorders>
            <w:vAlign w:val="center"/>
          </w:tcPr>
          <w:p w14:paraId="1F407C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预测范围</w:t>
            </w:r>
          </w:p>
        </w:tc>
        <w:tc>
          <w:tcPr>
            <w:tcW w:w="3910" w:type="pct"/>
            <w:gridSpan w:val="13"/>
            <w:tcBorders>
              <w:tl2br w:val="nil"/>
              <w:tr2bl w:val="nil"/>
            </w:tcBorders>
            <w:vAlign w:val="center"/>
          </w:tcPr>
          <w:p w14:paraId="5614AF9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河流：长度</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宋体"/>
                <w:strike w:val="0"/>
                <w:dstrike w:val="0"/>
                <w:color w:val="auto"/>
                <w:spacing w:val="0"/>
                <w:position w:val="0"/>
                <w:sz w:val="21"/>
                <w:szCs w:val="21"/>
                <w:highlight w:val="none"/>
              </w:rPr>
              <w:t>；湖库、河口及近岸海域：面积</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km</w:t>
            </w:r>
            <w:r>
              <w:rPr>
                <w:rFonts w:ascii="Times New Roman" w:hAnsi="Times New Roman" w:eastAsia="宋体" w:cs="Times New Roman"/>
                <w:strike w:val="0"/>
                <w:dstrike w:val="0"/>
                <w:color w:val="auto"/>
                <w:spacing w:val="0"/>
                <w:position w:val="0"/>
                <w:sz w:val="21"/>
                <w:szCs w:val="14"/>
                <w:highlight w:val="none"/>
                <w:vertAlign w:val="superscript"/>
              </w:rPr>
              <w:t>2</w:t>
            </w:r>
          </w:p>
        </w:tc>
      </w:tr>
      <w:tr w14:paraId="4F930D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0742A70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1064663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预测因子</w:t>
            </w:r>
          </w:p>
        </w:tc>
        <w:tc>
          <w:tcPr>
            <w:tcW w:w="3910" w:type="pct"/>
            <w:gridSpan w:val="13"/>
            <w:tcBorders>
              <w:tl2br w:val="nil"/>
              <w:tr2bl w:val="nil"/>
            </w:tcBorders>
            <w:vAlign w:val="center"/>
          </w:tcPr>
          <w:p w14:paraId="44D4FAF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4FB3D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6" w:hRule="atLeast"/>
          <w:jc w:val="center"/>
        </w:trPr>
        <w:tc>
          <w:tcPr>
            <w:tcW w:w="258" w:type="pct"/>
            <w:vMerge w:val="continue"/>
            <w:tcBorders>
              <w:tl2br w:val="nil"/>
              <w:tr2bl w:val="nil"/>
            </w:tcBorders>
            <w:textDirection w:val="tbRlV"/>
            <w:vAlign w:val="center"/>
          </w:tcPr>
          <w:p w14:paraId="2830F67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5D18673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预测时期</w:t>
            </w:r>
          </w:p>
        </w:tc>
        <w:tc>
          <w:tcPr>
            <w:tcW w:w="3910" w:type="pct"/>
            <w:gridSpan w:val="13"/>
            <w:tcBorders>
              <w:tl2br w:val="nil"/>
              <w:tr2bl w:val="nil"/>
            </w:tcBorders>
            <w:vAlign w:val="center"/>
          </w:tcPr>
          <w:p w14:paraId="4A2A7BD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丰水期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；平水期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；枯水期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；冰封期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；春季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；夏季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；秋季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；冬季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设计水文条件</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2B2E58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04" w:hRule="atLeast"/>
          <w:jc w:val="center"/>
        </w:trPr>
        <w:tc>
          <w:tcPr>
            <w:tcW w:w="258" w:type="pct"/>
            <w:vMerge w:val="continue"/>
            <w:tcBorders>
              <w:tl2br w:val="nil"/>
              <w:tr2bl w:val="nil"/>
            </w:tcBorders>
            <w:textDirection w:val="tbRlV"/>
            <w:vAlign w:val="center"/>
          </w:tcPr>
          <w:p w14:paraId="625891C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6B25A44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预测情景</w:t>
            </w:r>
          </w:p>
        </w:tc>
        <w:tc>
          <w:tcPr>
            <w:tcW w:w="3910" w:type="pct"/>
            <w:gridSpan w:val="13"/>
            <w:tcBorders>
              <w:tl2br w:val="nil"/>
              <w:tr2bl w:val="nil"/>
            </w:tcBorders>
            <w:vAlign w:val="center"/>
          </w:tcPr>
          <w:p w14:paraId="3F7303B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建设期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；生产运行期</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；服务期满后</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p>
          <w:p w14:paraId="6FFF221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正常工况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；非正常工况</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p>
          <w:p w14:paraId="2CF1B9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污染控制和减缓措施方案</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p>
          <w:p w14:paraId="105931B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域环境质量改善目标要求情景</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2C8F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75962FC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79D0B97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预测方法</w:t>
            </w:r>
          </w:p>
        </w:tc>
        <w:tc>
          <w:tcPr>
            <w:tcW w:w="3910" w:type="pct"/>
            <w:gridSpan w:val="13"/>
            <w:tcBorders>
              <w:tl2br w:val="nil"/>
              <w:tr2bl w:val="nil"/>
            </w:tcBorders>
            <w:vAlign w:val="center"/>
          </w:tcPr>
          <w:p w14:paraId="4F41E2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数值解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；解析解</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；导则推荐模式</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7227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04" w:hRule="atLeast"/>
          <w:jc w:val="center"/>
        </w:trPr>
        <w:tc>
          <w:tcPr>
            <w:tcW w:w="258" w:type="pct"/>
            <w:vMerge w:val="restart"/>
            <w:tcBorders>
              <w:tl2br w:val="nil"/>
              <w:tr2bl w:val="nil"/>
            </w:tcBorders>
            <w:textDirection w:val="tbRlV"/>
            <w:vAlign w:val="center"/>
          </w:tcPr>
          <w:p w14:paraId="726D27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影响评价</w:t>
            </w:r>
          </w:p>
        </w:tc>
        <w:tc>
          <w:tcPr>
            <w:tcW w:w="831" w:type="pct"/>
            <w:tcBorders>
              <w:tl2br w:val="nil"/>
              <w:tr2bl w:val="nil"/>
            </w:tcBorders>
            <w:vAlign w:val="center"/>
          </w:tcPr>
          <w:p w14:paraId="7773E5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水污染物控制</w:t>
            </w:r>
          </w:p>
          <w:p w14:paraId="2594AA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和水环境影响</w:t>
            </w:r>
          </w:p>
          <w:p w14:paraId="59D705C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减缓措施有效</w:t>
            </w:r>
          </w:p>
          <w:p w14:paraId="6483B44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性评价</w:t>
            </w:r>
          </w:p>
        </w:tc>
        <w:tc>
          <w:tcPr>
            <w:tcW w:w="3910" w:type="pct"/>
            <w:gridSpan w:val="13"/>
            <w:tcBorders>
              <w:tl2br w:val="nil"/>
              <w:tr2bl w:val="nil"/>
            </w:tcBorders>
            <w:vAlign w:val="center"/>
          </w:tcPr>
          <w:p w14:paraId="1732DA1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区</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流</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域水环境质量改善目标</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；替代消减源</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382A7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3C6F25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5C01FA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污染源排放量核算</w:t>
            </w:r>
          </w:p>
        </w:tc>
        <w:tc>
          <w:tcPr>
            <w:tcW w:w="931" w:type="pct"/>
            <w:gridSpan w:val="2"/>
            <w:tcBorders>
              <w:tl2br w:val="nil"/>
              <w:tr2bl w:val="nil"/>
            </w:tcBorders>
            <w:vAlign w:val="center"/>
          </w:tcPr>
          <w:p w14:paraId="677D0DD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污染物名称</w:t>
            </w:r>
          </w:p>
        </w:tc>
        <w:tc>
          <w:tcPr>
            <w:tcW w:w="1265" w:type="pct"/>
            <w:gridSpan w:val="6"/>
            <w:tcBorders>
              <w:tl2br w:val="nil"/>
              <w:tr2bl w:val="nil"/>
            </w:tcBorders>
            <w:vAlign w:val="center"/>
          </w:tcPr>
          <w:p w14:paraId="1EE2C4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排放量</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713" w:type="pct"/>
            <w:gridSpan w:val="5"/>
            <w:tcBorders>
              <w:tl2br w:val="nil"/>
              <w:tr2bl w:val="nil"/>
            </w:tcBorders>
            <w:vAlign w:val="center"/>
          </w:tcPr>
          <w:p w14:paraId="7CC955E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排放浓度</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mg/L</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60173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615DAF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7096F4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31" w:type="pct"/>
            <w:gridSpan w:val="2"/>
            <w:tcBorders>
              <w:tl2br w:val="nil"/>
              <w:tr2bl w:val="nil"/>
            </w:tcBorders>
            <w:vAlign w:val="center"/>
          </w:tcPr>
          <w:p w14:paraId="1D517F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265" w:type="pct"/>
            <w:gridSpan w:val="6"/>
            <w:tcBorders>
              <w:tl2br w:val="nil"/>
              <w:tr2bl w:val="nil"/>
            </w:tcBorders>
            <w:vAlign w:val="center"/>
          </w:tcPr>
          <w:p w14:paraId="705CF40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713" w:type="pct"/>
            <w:gridSpan w:val="5"/>
            <w:tcBorders>
              <w:tl2br w:val="nil"/>
              <w:tr2bl w:val="nil"/>
            </w:tcBorders>
            <w:vAlign w:val="center"/>
          </w:tcPr>
          <w:p w14:paraId="5475C48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15933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6" w:hRule="atLeast"/>
          <w:jc w:val="center"/>
        </w:trPr>
        <w:tc>
          <w:tcPr>
            <w:tcW w:w="258" w:type="pct"/>
            <w:vMerge w:val="continue"/>
            <w:tcBorders>
              <w:tl2br w:val="nil"/>
              <w:tr2bl w:val="nil"/>
            </w:tcBorders>
            <w:textDirection w:val="tbRlV"/>
            <w:vAlign w:val="center"/>
          </w:tcPr>
          <w:p w14:paraId="75F1176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640A525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替代源排放情况</w:t>
            </w:r>
          </w:p>
        </w:tc>
        <w:tc>
          <w:tcPr>
            <w:tcW w:w="637" w:type="pct"/>
            <w:tcBorders>
              <w:tl2br w:val="nil"/>
              <w:tr2bl w:val="nil"/>
            </w:tcBorders>
            <w:vAlign w:val="center"/>
          </w:tcPr>
          <w:p w14:paraId="622C3B4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污染源名称</w:t>
            </w:r>
          </w:p>
        </w:tc>
        <w:tc>
          <w:tcPr>
            <w:tcW w:w="721" w:type="pct"/>
            <w:gridSpan w:val="4"/>
            <w:tcBorders>
              <w:tl2br w:val="nil"/>
              <w:tr2bl w:val="nil"/>
            </w:tcBorders>
            <w:vAlign w:val="center"/>
          </w:tcPr>
          <w:p w14:paraId="710B521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排污许可证号</w:t>
            </w:r>
          </w:p>
        </w:tc>
        <w:tc>
          <w:tcPr>
            <w:tcW w:w="759" w:type="pct"/>
            <w:gridSpan w:val="2"/>
            <w:tcBorders>
              <w:tl2br w:val="nil"/>
              <w:tr2bl w:val="nil"/>
            </w:tcBorders>
            <w:vAlign w:val="center"/>
          </w:tcPr>
          <w:p w14:paraId="6C0101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污染物名称</w:t>
            </w:r>
          </w:p>
        </w:tc>
        <w:tc>
          <w:tcPr>
            <w:tcW w:w="715" w:type="pct"/>
            <w:gridSpan w:val="3"/>
            <w:tcBorders>
              <w:tl2br w:val="nil"/>
              <w:tr2bl w:val="nil"/>
            </w:tcBorders>
            <w:vAlign w:val="center"/>
          </w:tcPr>
          <w:p w14:paraId="76E0C62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排放量</w:t>
            </w:r>
            <w:r>
              <w:rPr>
                <w:rFonts w:ascii="Times New Roman" w:hAnsi="Times New Roman" w:eastAsia="宋体" w:cs="Times New Roman"/>
                <w:strike w:val="0"/>
                <w:dstrike w:val="0"/>
                <w:color w:val="auto"/>
                <w:spacing w:val="0"/>
                <w:position w:val="0"/>
                <w:sz w:val="21"/>
                <w:szCs w:val="21"/>
                <w:highlight w:val="none"/>
              </w:rPr>
              <w:t>/</w:t>
            </w:r>
          </w:p>
          <w:p w14:paraId="752E145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t/a</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076" w:type="pct"/>
            <w:gridSpan w:val="3"/>
            <w:tcBorders>
              <w:tl2br w:val="nil"/>
              <w:tr2bl w:val="nil"/>
            </w:tcBorders>
            <w:vAlign w:val="center"/>
          </w:tcPr>
          <w:p w14:paraId="59BE26F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排放浓度</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mg/L</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25DE1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50" w:hRule="atLeast"/>
          <w:jc w:val="center"/>
        </w:trPr>
        <w:tc>
          <w:tcPr>
            <w:tcW w:w="258" w:type="pct"/>
            <w:vMerge w:val="continue"/>
            <w:tcBorders>
              <w:tl2br w:val="nil"/>
              <w:tr2bl w:val="nil"/>
            </w:tcBorders>
            <w:textDirection w:val="tbRlV"/>
            <w:vAlign w:val="center"/>
          </w:tcPr>
          <w:p w14:paraId="687D28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85E0D6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37" w:type="pct"/>
            <w:tcBorders>
              <w:tl2br w:val="nil"/>
              <w:tr2bl w:val="nil"/>
            </w:tcBorders>
            <w:vAlign w:val="center"/>
          </w:tcPr>
          <w:p w14:paraId="305BD87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721" w:type="pct"/>
            <w:gridSpan w:val="4"/>
            <w:tcBorders>
              <w:tl2br w:val="nil"/>
              <w:tr2bl w:val="nil"/>
            </w:tcBorders>
            <w:vAlign w:val="center"/>
          </w:tcPr>
          <w:p w14:paraId="75CFBBC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759" w:type="pct"/>
            <w:gridSpan w:val="2"/>
            <w:tcBorders>
              <w:tl2br w:val="nil"/>
              <w:tr2bl w:val="nil"/>
            </w:tcBorders>
            <w:vAlign w:val="center"/>
          </w:tcPr>
          <w:p w14:paraId="3044CD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715" w:type="pct"/>
            <w:gridSpan w:val="3"/>
            <w:tcBorders>
              <w:tl2br w:val="nil"/>
              <w:tr2bl w:val="nil"/>
            </w:tcBorders>
            <w:vAlign w:val="center"/>
          </w:tcPr>
          <w:p w14:paraId="32EF79E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076" w:type="pct"/>
            <w:gridSpan w:val="3"/>
            <w:tcBorders>
              <w:tl2br w:val="nil"/>
              <w:tr2bl w:val="nil"/>
            </w:tcBorders>
            <w:vAlign w:val="center"/>
          </w:tcPr>
          <w:p w14:paraId="079C4D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r w14:paraId="13B26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10" w:hRule="atLeast"/>
          <w:jc w:val="center"/>
        </w:trPr>
        <w:tc>
          <w:tcPr>
            <w:tcW w:w="258" w:type="pct"/>
            <w:vMerge w:val="continue"/>
            <w:tcBorders>
              <w:tl2br w:val="nil"/>
              <w:tr2bl w:val="nil"/>
            </w:tcBorders>
            <w:vAlign w:val="center"/>
          </w:tcPr>
          <w:p w14:paraId="23F0DC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28EDBC8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生态流量确定</w:t>
            </w:r>
          </w:p>
        </w:tc>
        <w:tc>
          <w:tcPr>
            <w:tcW w:w="3910" w:type="pct"/>
            <w:gridSpan w:val="13"/>
            <w:tcBorders>
              <w:tl2br w:val="nil"/>
              <w:tr2bl w:val="nil"/>
            </w:tcBorders>
            <w:vAlign w:val="center"/>
          </w:tcPr>
          <w:p w14:paraId="2028C29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生态流量：一般水期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m³/s</w:t>
            </w:r>
            <w:r>
              <w:rPr>
                <w:rFonts w:ascii="Times New Roman" w:hAnsi="Times New Roman" w:eastAsia="宋体" w:cs="宋体"/>
                <w:strike w:val="0"/>
                <w:dstrike w:val="0"/>
                <w:color w:val="auto"/>
                <w:spacing w:val="0"/>
                <w:position w:val="0"/>
                <w:sz w:val="21"/>
                <w:szCs w:val="21"/>
                <w:highlight w:val="none"/>
              </w:rPr>
              <w:t>；鱼类繁殖期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m³/s</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m³/s</w:t>
            </w:r>
            <w:r>
              <w:rPr>
                <w:rFonts w:ascii="Times New Roman" w:hAnsi="Times New Roman" w:eastAsia="宋体" w:cs="宋体"/>
                <w:strike w:val="0"/>
                <w:dstrike w:val="0"/>
                <w:color w:val="auto"/>
                <w:spacing w:val="0"/>
                <w:position w:val="0"/>
                <w:sz w:val="21"/>
                <w:szCs w:val="21"/>
                <w:highlight w:val="none"/>
              </w:rPr>
              <w:t>生态水位：一般水期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r>
              <w:rPr>
                <w:rFonts w:ascii="Times New Roman" w:hAnsi="Times New Roman" w:eastAsia="宋体" w:cs="宋体"/>
                <w:strike w:val="0"/>
                <w:dstrike w:val="0"/>
                <w:color w:val="auto"/>
                <w:spacing w:val="0"/>
                <w:position w:val="0"/>
                <w:sz w:val="21"/>
                <w:szCs w:val="21"/>
                <w:highlight w:val="none"/>
              </w:rPr>
              <w:t>；鱼类繁殖期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m</w:t>
            </w:r>
          </w:p>
        </w:tc>
      </w:tr>
      <w:tr w14:paraId="4BCD60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4" w:hRule="atLeast"/>
          <w:jc w:val="center"/>
        </w:trPr>
        <w:tc>
          <w:tcPr>
            <w:tcW w:w="258" w:type="pct"/>
            <w:vMerge w:val="restart"/>
            <w:tcBorders>
              <w:tl2br w:val="nil"/>
              <w:tr2bl w:val="nil"/>
            </w:tcBorders>
            <w:textDirection w:val="tbRlV"/>
            <w:vAlign w:val="center"/>
          </w:tcPr>
          <w:p w14:paraId="055AF8D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防治措施</w:t>
            </w:r>
          </w:p>
        </w:tc>
        <w:tc>
          <w:tcPr>
            <w:tcW w:w="831" w:type="pct"/>
            <w:tcBorders>
              <w:tl2br w:val="nil"/>
              <w:tr2bl w:val="nil"/>
            </w:tcBorders>
            <w:vAlign w:val="center"/>
          </w:tcPr>
          <w:p w14:paraId="6A99A35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环保措施</w:t>
            </w:r>
          </w:p>
        </w:tc>
        <w:tc>
          <w:tcPr>
            <w:tcW w:w="3910" w:type="pct"/>
            <w:gridSpan w:val="13"/>
            <w:tcBorders>
              <w:tl2br w:val="nil"/>
              <w:tr2bl w:val="nil"/>
            </w:tcBorders>
            <w:vAlign w:val="center"/>
          </w:tcPr>
          <w:p w14:paraId="1DC261B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污水处理设施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；水文减缓设施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；生态流量保障设施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；区域削减</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；依托其他工程措施</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51443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515CC0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restart"/>
            <w:tcBorders>
              <w:tl2br w:val="nil"/>
              <w:tr2bl w:val="nil"/>
            </w:tcBorders>
            <w:vAlign w:val="center"/>
          </w:tcPr>
          <w:p w14:paraId="3E2BB9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监测计划</w:t>
            </w:r>
          </w:p>
        </w:tc>
        <w:tc>
          <w:tcPr>
            <w:tcW w:w="962" w:type="pct"/>
            <w:gridSpan w:val="4"/>
            <w:tcBorders>
              <w:tl2br w:val="nil"/>
              <w:tr2bl w:val="nil"/>
            </w:tcBorders>
            <w:vAlign w:val="center"/>
          </w:tcPr>
          <w:p w14:paraId="616BCD8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311" w:type="pct"/>
            <w:gridSpan w:val="5"/>
            <w:tcBorders>
              <w:tl2br w:val="nil"/>
              <w:tr2bl w:val="nil"/>
            </w:tcBorders>
            <w:vAlign w:val="center"/>
          </w:tcPr>
          <w:p w14:paraId="52C9D0D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环境质量</w:t>
            </w:r>
          </w:p>
        </w:tc>
        <w:tc>
          <w:tcPr>
            <w:tcW w:w="1636" w:type="pct"/>
            <w:gridSpan w:val="4"/>
            <w:tcBorders>
              <w:tl2br w:val="nil"/>
              <w:tr2bl w:val="nil"/>
            </w:tcBorders>
            <w:vAlign w:val="center"/>
          </w:tcPr>
          <w:p w14:paraId="100CC23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w:t>
            </w:r>
          </w:p>
        </w:tc>
      </w:tr>
      <w:tr w14:paraId="473E6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4" w:hRule="atLeast"/>
          <w:jc w:val="center"/>
        </w:trPr>
        <w:tc>
          <w:tcPr>
            <w:tcW w:w="258" w:type="pct"/>
            <w:vMerge w:val="continue"/>
            <w:tcBorders>
              <w:tl2br w:val="nil"/>
              <w:tr2bl w:val="nil"/>
            </w:tcBorders>
            <w:textDirection w:val="tbRlV"/>
            <w:vAlign w:val="center"/>
          </w:tcPr>
          <w:p w14:paraId="0350E8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2BE0E6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62" w:type="pct"/>
            <w:gridSpan w:val="4"/>
            <w:tcBorders>
              <w:tl2br w:val="nil"/>
              <w:tr2bl w:val="nil"/>
            </w:tcBorders>
            <w:vAlign w:val="center"/>
          </w:tcPr>
          <w:p w14:paraId="1A976F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监测方式</w:t>
            </w:r>
          </w:p>
        </w:tc>
        <w:tc>
          <w:tcPr>
            <w:tcW w:w="1311" w:type="pct"/>
            <w:gridSpan w:val="5"/>
            <w:tcBorders>
              <w:tl2br w:val="nil"/>
              <w:tr2bl w:val="nil"/>
            </w:tcBorders>
            <w:vAlign w:val="center"/>
          </w:tcPr>
          <w:p w14:paraId="03AA3CB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ascii="Times New Roman" w:hAnsi="Times New Roman" w:eastAsia="宋体" w:cs="宋体"/>
                <w:strike w:val="0"/>
                <w:dstrike w:val="0"/>
                <w:color w:val="auto"/>
                <w:spacing w:val="0"/>
                <w:position w:val="0"/>
                <w:sz w:val="21"/>
                <w:szCs w:val="21"/>
                <w:highlight w:val="none"/>
              </w:rPr>
              <w:t>手动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；自动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；无监测</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c>
          <w:tcPr>
            <w:tcW w:w="1636" w:type="pct"/>
            <w:gridSpan w:val="4"/>
            <w:tcBorders>
              <w:tl2br w:val="nil"/>
              <w:tr2bl w:val="nil"/>
            </w:tcBorders>
            <w:vAlign w:val="center"/>
          </w:tcPr>
          <w:p w14:paraId="419D6AE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手动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；自动</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；无监测</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010599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5" w:hRule="atLeast"/>
          <w:jc w:val="center"/>
        </w:trPr>
        <w:tc>
          <w:tcPr>
            <w:tcW w:w="258" w:type="pct"/>
            <w:vMerge w:val="continue"/>
            <w:tcBorders>
              <w:tl2br w:val="nil"/>
              <w:tr2bl w:val="nil"/>
            </w:tcBorders>
            <w:textDirection w:val="tbRlV"/>
            <w:vAlign w:val="center"/>
          </w:tcPr>
          <w:p w14:paraId="4F22213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19BDAD3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62" w:type="pct"/>
            <w:gridSpan w:val="4"/>
            <w:tcBorders>
              <w:tl2br w:val="nil"/>
              <w:tr2bl w:val="nil"/>
            </w:tcBorders>
            <w:vAlign w:val="center"/>
          </w:tcPr>
          <w:p w14:paraId="39CCB4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监测点位</w:t>
            </w:r>
          </w:p>
        </w:tc>
        <w:tc>
          <w:tcPr>
            <w:tcW w:w="1311" w:type="pct"/>
            <w:gridSpan w:val="5"/>
            <w:tcBorders>
              <w:tl2br w:val="nil"/>
              <w:tr2bl w:val="nil"/>
            </w:tcBorders>
            <w:vAlign w:val="center"/>
          </w:tcPr>
          <w:p w14:paraId="53CD70F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636" w:type="pct"/>
            <w:gridSpan w:val="4"/>
            <w:tcBorders>
              <w:tl2br w:val="nil"/>
              <w:tr2bl w:val="nil"/>
            </w:tcBorders>
            <w:vAlign w:val="center"/>
          </w:tcPr>
          <w:p w14:paraId="7664433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767D1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258" w:type="pct"/>
            <w:vMerge w:val="continue"/>
            <w:tcBorders>
              <w:tl2br w:val="nil"/>
              <w:tr2bl w:val="nil"/>
            </w:tcBorders>
            <w:textDirection w:val="tbRlV"/>
            <w:vAlign w:val="center"/>
          </w:tcPr>
          <w:p w14:paraId="5FAA079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vMerge w:val="continue"/>
            <w:tcBorders>
              <w:tl2br w:val="nil"/>
              <w:tr2bl w:val="nil"/>
            </w:tcBorders>
            <w:vAlign w:val="center"/>
          </w:tcPr>
          <w:p w14:paraId="403EBB4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962" w:type="pct"/>
            <w:gridSpan w:val="4"/>
            <w:tcBorders>
              <w:tl2br w:val="nil"/>
              <w:tr2bl w:val="nil"/>
            </w:tcBorders>
            <w:vAlign w:val="center"/>
          </w:tcPr>
          <w:p w14:paraId="5151A36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监测因子</w:t>
            </w:r>
          </w:p>
        </w:tc>
        <w:tc>
          <w:tcPr>
            <w:tcW w:w="1311" w:type="pct"/>
            <w:gridSpan w:val="5"/>
            <w:tcBorders>
              <w:tl2br w:val="nil"/>
              <w:tr2bl w:val="nil"/>
            </w:tcBorders>
            <w:vAlign w:val="center"/>
          </w:tcPr>
          <w:p w14:paraId="17C3846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1636" w:type="pct"/>
            <w:gridSpan w:val="4"/>
            <w:tcBorders>
              <w:tl2br w:val="nil"/>
              <w:tr2bl w:val="nil"/>
            </w:tcBorders>
            <w:vAlign w:val="center"/>
          </w:tcPr>
          <w:p w14:paraId="452055D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p>
        </w:tc>
      </w:tr>
      <w:tr w14:paraId="56732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05" w:hRule="atLeast"/>
          <w:jc w:val="center"/>
        </w:trPr>
        <w:tc>
          <w:tcPr>
            <w:tcW w:w="258" w:type="pct"/>
            <w:vMerge w:val="continue"/>
            <w:tcBorders>
              <w:tl2br w:val="nil"/>
              <w:tr2bl w:val="nil"/>
            </w:tcBorders>
            <w:textDirection w:val="tbRlV"/>
            <w:vAlign w:val="center"/>
          </w:tcPr>
          <w:p w14:paraId="07DE884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31" w:type="pct"/>
            <w:tcBorders>
              <w:tl2br w:val="nil"/>
              <w:tr2bl w:val="nil"/>
            </w:tcBorders>
            <w:vAlign w:val="center"/>
          </w:tcPr>
          <w:p w14:paraId="2A72EA2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污染物排放清单</w:t>
            </w:r>
          </w:p>
        </w:tc>
        <w:tc>
          <w:tcPr>
            <w:tcW w:w="3910" w:type="pct"/>
            <w:gridSpan w:val="13"/>
            <w:tcBorders>
              <w:tl2br w:val="nil"/>
              <w:tr2bl w:val="nil"/>
            </w:tcBorders>
            <w:vAlign w:val="center"/>
          </w:tcPr>
          <w:p w14:paraId="76BECE1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67760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4" w:hRule="atLeast"/>
          <w:jc w:val="center"/>
        </w:trPr>
        <w:tc>
          <w:tcPr>
            <w:tcW w:w="1089" w:type="pct"/>
            <w:gridSpan w:val="2"/>
            <w:tcBorders>
              <w:tl2br w:val="nil"/>
              <w:tr2bl w:val="nil"/>
            </w:tcBorders>
            <w:vAlign w:val="center"/>
          </w:tcPr>
          <w:p w14:paraId="1BCE47E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评价结论</w:t>
            </w:r>
          </w:p>
        </w:tc>
        <w:tc>
          <w:tcPr>
            <w:tcW w:w="3910" w:type="pct"/>
            <w:gridSpan w:val="13"/>
            <w:tcBorders>
              <w:tl2br w:val="nil"/>
              <w:tr2bl w:val="nil"/>
            </w:tcBorders>
            <w:vAlign w:val="center"/>
          </w:tcPr>
          <w:p w14:paraId="75A6196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可以接受</w:t>
            </w:r>
            <w:r>
              <w:rPr>
                <w:rFonts w:hint="eastAsia" w:ascii="Times New Roman" w:hAnsi="Times New Roman" w:eastAsia="宋体" w:cs="MS Gothic"/>
                <w:i w:val="0"/>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；不可以接受</w:t>
            </w:r>
            <w:r>
              <w:rPr>
                <w:rFonts w:hint="eastAsia" w:ascii="Times New Roman" w:hAnsi="Times New Roman" w:eastAsia="宋体" w:cs="MS Gothic"/>
                <w:i w:val="0"/>
                <w:strike w:val="0"/>
                <w:dstrike w:val="0"/>
                <w:color w:val="auto"/>
                <w:spacing w:val="0"/>
                <w:position w:val="0"/>
                <w:sz w:val="21"/>
                <w:szCs w:val="21"/>
                <w:highlight w:val="none"/>
                <w:lang w:eastAsia="zh-CN"/>
              </w:rPr>
              <w:t>□</w:t>
            </w:r>
          </w:p>
        </w:tc>
      </w:tr>
      <w:tr w14:paraId="4734A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49" w:hRule="atLeast"/>
          <w:jc w:val="center"/>
        </w:trPr>
        <w:tc>
          <w:tcPr>
            <w:tcW w:w="5000" w:type="pct"/>
            <w:gridSpan w:val="15"/>
            <w:tcBorders>
              <w:tl2br w:val="nil"/>
              <w:tr2bl w:val="nil"/>
            </w:tcBorders>
            <w:vAlign w:val="center"/>
          </w:tcPr>
          <w:p w14:paraId="730B3F8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注：</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为勾选项，填</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为内容填写项</w:t>
            </w:r>
          </w:p>
        </w:tc>
      </w:tr>
    </w:tbl>
    <w:p w14:paraId="3D3EDCDF">
      <w:pPr>
        <w:pStyle w:val="5"/>
        <w:ind w:firstLine="482"/>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5.2.2.2地下水环境影响分析</w:t>
      </w:r>
    </w:p>
    <w:p w14:paraId="6FBE24C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default" w:ascii="Times New Roman" w:hAnsi="Times New Roman" w:eastAsia="宋体" w:cs="宋体"/>
          <w:strike w:val="0"/>
          <w:dstrike w:val="0"/>
          <w:color w:val="auto"/>
          <w:spacing w:val="0"/>
          <w:position w:val="0"/>
          <w:sz w:val="24"/>
          <w:szCs w:val="24"/>
          <w:highlight w:val="none"/>
          <w:lang w:val="en-US" w:eastAsia="zh-CN"/>
        </w:rPr>
      </w:pPr>
      <w:bookmarkStart w:id="234" w:name="_Toc86740198"/>
      <w:r>
        <w:rPr>
          <w:rFonts w:hint="eastAsia" w:ascii="Times New Roman" w:hAnsi="Times New Roman" w:eastAsia="宋体" w:cs="Times New Roman"/>
          <w:strike w:val="0"/>
          <w:dstrike w:val="0"/>
          <w:color w:val="auto"/>
          <w:spacing w:val="0"/>
          <w:position w:val="0"/>
          <w:sz w:val="24"/>
          <w:szCs w:val="24"/>
          <w:highlight w:val="none"/>
          <w:lang w:val="en-US" w:eastAsia="zh-CN"/>
        </w:rPr>
        <w:t>1、</w:t>
      </w:r>
      <w:r>
        <w:rPr>
          <w:rFonts w:hint="eastAsia" w:ascii="Times New Roman" w:hAnsi="Times New Roman" w:eastAsia="宋体" w:cs="Times New Roman"/>
          <w:strike w:val="0"/>
          <w:dstrike w:val="0"/>
          <w:color w:val="auto"/>
          <w:spacing w:val="0"/>
          <w:position w:val="0"/>
          <w:sz w:val="24"/>
          <w:szCs w:val="24"/>
          <w:highlight w:val="none"/>
          <w:lang w:val="en-US" w:eastAsia="zh-CN"/>
        </w:rPr>
        <w:t>水文地质特征</w:t>
      </w:r>
    </w:p>
    <w:p w14:paraId="4EC3790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z w:val="24"/>
          <w:szCs w:val="24"/>
        </w:rPr>
      </w:pPr>
      <w:r>
        <w:rPr>
          <w:rFonts w:ascii="Times New Roman" w:hAnsi="Times New Roman" w:eastAsia="宋体" w:cs="宋体"/>
          <w:strike w:val="0"/>
          <w:dstrike w:val="0"/>
          <w:color w:val="auto"/>
          <w:sz w:val="24"/>
          <w:szCs w:val="24"/>
        </w:rPr>
        <w:t>木垒县地下水按赋存特征可划分为：基岩裂隙水、碎屑岩类裂隙孔隙承压水和松散岩类孔隙潜水。基岩裂隙水主要分布在山丘区，碎屑岩类裂隙孔隙承压水主要分布在木垒县北部地区，松散岩类孔隙潜水分布在山前平原及沙漠区。</w:t>
      </w:r>
    </w:p>
    <w:p w14:paraId="3064472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z w:val="24"/>
          <w:szCs w:val="24"/>
          <w:lang w:eastAsia="zh-CN"/>
        </w:rPr>
      </w:pPr>
      <w:r>
        <w:rPr>
          <w:rFonts w:ascii="Times New Roman" w:hAnsi="Times New Roman" w:eastAsia="宋体" w:cs="宋体"/>
          <w:strike w:val="0"/>
          <w:dstrike w:val="0"/>
          <w:color w:val="auto"/>
          <w:sz w:val="24"/>
          <w:szCs w:val="24"/>
        </w:rPr>
        <w:t>松散岩类孔隙潜水由第四纪下更新统-全新统的冰水沉积物和冲洪积物组成的单一结构潜水含水层，含水层岩性，从南到北由卵砾石、砾石，渐变为砂砾石、砂，由上到下，南部表现为卵石、卵砾石，渐变为砂粒石，北部由砂粒石变为砂。总体上南部基底坡度大，地下水径流速度快，含水层薄，不利于地下水的富集。北部基底坡降小，地下水径流速度慢，含水层厚度增厚，形成相对好的富水区，水位埋深由南向北总体表现为由大到小的变化规律，北部沙漠及沙漠前缘水位埋深2-15m。</w:t>
      </w:r>
    </w:p>
    <w:p w14:paraId="53E8A27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z w:val="24"/>
          <w:szCs w:val="24"/>
        </w:rPr>
      </w:pPr>
      <w:r>
        <w:rPr>
          <w:rFonts w:ascii="Times New Roman" w:hAnsi="Times New Roman" w:eastAsia="宋体" w:cs="宋体"/>
          <w:strike w:val="0"/>
          <w:dstrike w:val="0"/>
          <w:color w:val="auto"/>
          <w:sz w:val="24"/>
          <w:szCs w:val="24"/>
        </w:rPr>
        <w:t>基岩山区，地下水补给源主要为山区大气降水。平原区地下水的补给受自然条件和区内人类活动共同影响，侧向上接受山区基岩裂隙水沟谷潜流补给，垂向上主要接受大气降水入渗补给、洪流入渗补给、渠系入渗、田间灌溉入渗补给及坎儿井、泉水、水库的入渗补给。沙漠区及其以南的平原细土带主要接受侧向径流补给和洪水入渗补给。</w:t>
      </w:r>
    </w:p>
    <w:p w14:paraId="3607962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z w:val="24"/>
          <w:szCs w:val="24"/>
          <w:lang w:eastAsia="zh-CN"/>
        </w:rPr>
      </w:pPr>
      <w:r>
        <w:rPr>
          <w:rFonts w:ascii="Times New Roman" w:hAnsi="Times New Roman" w:eastAsia="宋体" w:cs="宋体"/>
          <w:strike w:val="0"/>
          <w:dstrike w:val="0"/>
          <w:color w:val="auto"/>
          <w:sz w:val="24"/>
          <w:szCs w:val="24"/>
        </w:rPr>
        <w:t>山区地下水以水平或垂直方式从高处向低处运移，径流途径短，在沟谷处以泉形式溢出地表补给地表水或以沟谷潜流形式侧向径流。平原区地下水水力坡度南大北小，地下水呈北西向，由南向北径流，至北部沙漠区流向逐渐偏转为北西西向。山区地下水主要以泉或沟谷潜流的形式排泄。平原区地下水排泄方式主要为侧向径流排泄、人工开采、蒸发蒸腾以及泉水溢出等。沙漠区地下水以侧向流出、蒸发蒸腾排泄为主。</w:t>
      </w:r>
    </w:p>
    <w:p w14:paraId="7DC9F3A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z w:val="24"/>
          <w:szCs w:val="24"/>
        </w:rPr>
      </w:pPr>
      <w:r>
        <w:rPr>
          <w:rFonts w:ascii="Times New Roman" w:hAnsi="Times New Roman" w:eastAsia="宋体" w:cs="宋体"/>
          <w:strike w:val="0"/>
          <w:dstrike w:val="0"/>
          <w:color w:val="auto"/>
          <w:sz w:val="24"/>
          <w:szCs w:val="24"/>
        </w:rPr>
        <w:t>项目所在区域地下水属于孔隙潜水，含水层岩性为中粗砂，富有地下水，单位涌水量约为900m</w:t>
      </w:r>
      <w:r>
        <w:rPr>
          <w:rFonts w:ascii="Times New Roman" w:hAnsi="Times New Roman" w:eastAsia="宋体" w:cs="宋体"/>
          <w:strike w:val="0"/>
          <w:dstrike w:val="0"/>
          <w:color w:val="auto"/>
          <w:sz w:val="24"/>
          <w:szCs w:val="24"/>
          <w:vertAlign w:val="superscript"/>
        </w:rPr>
        <w:t>3</w:t>
      </w:r>
      <w:r>
        <w:rPr>
          <w:rFonts w:ascii="Times New Roman" w:hAnsi="Times New Roman" w:eastAsia="宋体" w:cs="宋体"/>
          <w:strike w:val="0"/>
          <w:dstrike w:val="0"/>
          <w:color w:val="auto"/>
          <w:sz w:val="24"/>
          <w:szCs w:val="24"/>
        </w:rPr>
        <w:t>/d•m，渗透系数为3.144m/d，埋深约为50m。地下水呈北西向，由南向北径流，补给来源主要为侧向径流补给，排泄方式以侧向流出和蒸发蒸腾为主。</w:t>
      </w:r>
    </w:p>
    <w:p w14:paraId="0C1A41B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2</w:t>
      </w:r>
      <w:r>
        <w:rPr>
          <w:rFonts w:hint="eastAsia" w:ascii="Times New Roman" w:hAnsi="Times New Roman" w:eastAsia="宋体" w:cs="Times New Roman"/>
          <w:strike w:val="0"/>
          <w:dstrike w:val="0"/>
          <w:color w:val="auto"/>
          <w:spacing w:val="0"/>
          <w:position w:val="0"/>
          <w:sz w:val="24"/>
          <w:szCs w:val="24"/>
          <w:highlight w:val="none"/>
          <w:lang w:val="en-US" w:eastAsia="zh-CN"/>
        </w:rPr>
        <w:t>、</w:t>
      </w:r>
      <w:r>
        <w:rPr>
          <w:rFonts w:ascii="Times New Roman" w:hAnsi="Times New Roman" w:eastAsia="宋体" w:cs="宋体"/>
          <w:strike w:val="0"/>
          <w:dstrike w:val="0"/>
          <w:color w:val="auto"/>
          <w:spacing w:val="0"/>
          <w:position w:val="0"/>
          <w:sz w:val="24"/>
          <w:szCs w:val="24"/>
          <w:highlight w:val="none"/>
        </w:rPr>
        <w:t>地下水环境影响途径</w:t>
      </w:r>
    </w:p>
    <w:p w14:paraId="2D2F2D4B">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根据本项目特点，运营期对区域地下水的污染源主要为</w:t>
      </w:r>
      <w:r>
        <w:rPr>
          <w:rFonts w:hint="eastAsia" w:ascii="Times New Roman" w:hAnsi="Times New Roman" w:eastAsia="宋体" w:cs="宋体"/>
          <w:strike w:val="0"/>
          <w:dstrike w:val="0"/>
          <w:color w:val="auto"/>
          <w:spacing w:val="0"/>
          <w:position w:val="0"/>
          <w:sz w:val="24"/>
          <w:szCs w:val="24"/>
          <w:highlight w:val="none"/>
          <w:lang w:val="en-US" w:eastAsia="zh-CN"/>
        </w:rPr>
        <w:t>骆驼圈舍</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医疗废物</w:t>
      </w:r>
      <w:r>
        <w:rPr>
          <w:rFonts w:hint="eastAsia" w:ascii="Times New Roman" w:hAnsi="Times New Roman" w:eastAsia="宋体" w:cs="宋体"/>
          <w:strike w:val="0"/>
          <w:dstrike w:val="0"/>
          <w:color w:val="auto"/>
          <w:spacing w:val="0"/>
          <w:position w:val="0"/>
          <w:sz w:val="24"/>
          <w:szCs w:val="24"/>
          <w:highlight w:val="none"/>
          <w:lang w:val="en-US" w:eastAsia="zh-CN"/>
        </w:rPr>
        <w:t>暂存间、</w:t>
      </w:r>
      <w:r>
        <w:rPr>
          <w:rFonts w:hint="eastAsia" w:ascii="Times New Roman" w:hAnsi="Times New Roman" w:eastAsia="宋体" w:cs="宋体"/>
          <w:strike w:val="0"/>
          <w:dstrike w:val="0"/>
          <w:color w:val="auto"/>
          <w:spacing w:val="0"/>
          <w:position w:val="0"/>
          <w:sz w:val="24"/>
          <w:szCs w:val="24"/>
          <w:highlight w:val="none"/>
          <w:lang w:val="en-US" w:eastAsia="zh-CN"/>
        </w:rPr>
        <w:t>黑膜池</w:t>
      </w:r>
      <w:r>
        <w:rPr>
          <w:rFonts w:hint="eastAsia" w:ascii="Times New Roman" w:hAnsi="Times New Roman" w:eastAsia="宋体" w:cs="宋体"/>
          <w:strike w:val="0"/>
          <w:dstrike w:val="0"/>
          <w:color w:val="auto"/>
          <w:spacing w:val="0"/>
          <w:position w:val="0"/>
          <w:sz w:val="24"/>
          <w:szCs w:val="24"/>
          <w:highlight w:val="none"/>
          <w:lang w:val="en-US" w:eastAsia="zh-CN"/>
        </w:rPr>
        <w:t>等，上述区块防渗措施受损，污染物（主要为</w:t>
      </w:r>
      <w:r>
        <w:rPr>
          <w:rFonts w:hint="default" w:ascii="Times New Roman" w:hAnsi="Times New Roman" w:eastAsia="宋体" w:cs="宋体"/>
          <w:strike w:val="0"/>
          <w:dstrike w:val="0"/>
          <w:color w:val="auto"/>
          <w:spacing w:val="0"/>
          <w:position w:val="0"/>
          <w:sz w:val="24"/>
          <w:szCs w:val="24"/>
          <w:highlight w:val="none"/>
          <w:lang w:val="en-US" w:eastAsia="zh-CN"/>
        </w:rPr>
        <w:t>pH</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default" w:ascii="Times New Roman" w:hAnsi="Times New Roman" w:eastAsia="宋体" w:cs="宋体"/>
          <w:strike w:val="0"/>
          <w:dstrike w:val="0"/>
          <w:color w:val="auto"/>
          <w:spacing w:val="0"/>
          <w:position w:val="0"/>
          <w:sz w:val="24"/>
          <w:szCs w:val="24"/>
          <w:highlight w:val="none"/>
          <w:lang w:val="en-US" w:eastAsia="zh-CN"/>
        </w:rPr>
        <w:t>SS</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default" w:ascii="Times New Roman" w:hAnsi="Times New Roman" w:eastAsia="宋体" w:cs="宋体"/>
          <w:strike w:val="0"/>
          <w:dstrike w:val="0"/>
          <w:color w:val="auto"/>
          <w:spacing w:val="0"/>
          <w:position w:val="0"/>
          <w:sz w:val="24"/>
          <w:szCs w:val="24"/>
          <w:highlight w:val="none"/>
          <w:lang w:val="en-US" w:eastAsia="zh-CN"/>
        </w:rPr>
        <w:t>COD</w:t>
      </w:r>
      <w:r>
        <w:rPr>
          <w:rFonts w:hint="eastAsia" w:ascii="Times New Roman" w:hAnsi="Times New Roman" w:eastAsia="宋体" w:cs="宋体"/>
          <w:strike w:val="0"/>
          <w:dstrike w:val="0"/>
          <w:color w:val="auto"/>
          <w:spacing w:val="0"/>
          <w:position w:val="0"/>
          <w:sz w:val="24"/>
          <w:szCs w:val="24"/>
          <w:highlight w:val="none"/>
          <w:lang w:val="en-US" w:eastAsia="zh-CN"/>
        </w:rPr>
        <w:t>、氨氮）通过垂直渗透进入包气带，进入包气带的污染物在物理、化学和生物作用下经吸附、转化、迁移和分解后输入地下水</w:t>
      </w:r>
      <w:r>
        <w:rPr>
          <w:rFonts w:hint="eastAsia" w:ascii="Times New Roman" w:hAnsi="Times New Roman" w:eastAsia="宋体" w:cs="宋体"/>
          <w:strike w:val="0"/>
          <w:dstrike w:val="0"/>
          <w:color w:val="auto"/>
          <w:spacing w:val="0"/>
          <w:position w:val="0"/>
          <w:sz w:val="24"/>
          <w:szCs w:val="24"/>
          <w:highlight w:val="none"/>
          <w:lang w:val="en-US" w:eastAsia="zh-CN"/>
        </w:rPr>
        <w:t>。</w:t>
      </w:r>
    </w:p>
    <w:p w14:paraId="4128F125">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本项目不以地下水作为供水水源，不会因地下水抽采对当地的地下水水位及水资源量产生影响，对地下水的影响主要是项目污水及固体废物对地下水水质的影响</w:t>
      </w:r>
      <w:r>
        <w:rPr>
          <w:rFonts w:hint="eastAsia" w:ascii="Times New Roman" w:hAnsi="Times New Roman" w:eastAsia="宋体" w:cs="宋体"/>
          <w:strike w:val="0"/>
          <w:dstrike w:val="0"/>
          <w:color w:val="auto"/>
          <w:spacing w:val="0"/>
          <w:position w:val="0"/>
          <w:sz w:val="24"/>
          <w:szCs w:val="24"/>
          <w:highlight w:val="none"/>
          <w:lang w:eastAsia="zh-CN"/>
        </w:rPr>
        <w:t>。</w:t>
      </w:r>
    </w:p>
    <w:p w14:paraId="32D2E452">
      <w:pPr>
        <w:keepNext w:val="0"/>
        <w:keepLines w:val="0"/>
        <w:pageBreakBefore w:val="0"/>
        <w:widowControl w:val="0"/>
        <w:kinsoku/>
        <w:wordWrap/>
        <w:overflowPunct/>
        <w:topLinePunct w:val="0"/>
        <w:autoSpaceDE/>
        <w:autoSpaceDN/>
        <w:bidi w:val="0"/>
        <w:adjustRightInd/>
        <w:snapToGrid/>
        <w:spacing w:line="360" w:lineRule="auto"/>
        <w:ind w:left="0" w:right="0" w:firstLine="489"/>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项目厂区内生产装置和污水管道等跑、冒、滴、漏的有毒有害物料首先污染土壤，再通过降雨淋溶经包气带渗透至潜水层而污染浅层地下水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一般情况下，包气带的厚度越薄，透水性越好，越容易造成潜水含水层的污染；反之，包气带的厚度越厚、透水性越差，则不容易造成潜水污染</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渗透污染是导致浅层地下水污染的主要方式</w:t>
      </w:r>
      <w:r>
        <w:rPr>
          <w:rFonts w:hint="eastAsia" w:ascii="Times New Roman" w:hAnsi="Times New Roman" w:eastAsia="宋体" w:cs="宋体"/>
          <w:strike w:val="0"/>
          <w:dstrike w:val="0"/>
          <w:color w:val="auto"/>
          <w:spacing w:val="0"/>
          <w:position w:val="0"/>
          <w:sz w:val="24"/>
          <w:szCs w:val="24"/>
          <w:highlight w:val="none"/>
          <w:lang w:eastAsia="zh-CN"/>
        </w:rPr>
        <w:t>。</w:t>
      </w:r>
    </w:p>
    <w:p w14:paraId="178D90C5">
      <w:pPr>
        <w:keepNext w:val="0"/>
        <w:keepLines w:val="0"/>
        <w:pageBreakBefore w:val="0"/>
        <w:widowControl w:val="0"/>
        <w:kinsoku/>
        <w:wordWrap/>
        <w:overflowPunct/>
        <w:topLinePunct w:val="0"/>
        <w:autoSpaceDE/>
        <w:autoSpaceDN/>
        <w:bidi w:val="0"/>
        <w:adjustRightInd/>
        <w:snapToGrid/>
        <w:spacing w:line="360" w:lineRule="auto"/>
        <w:ind w:left="0" w:right="0" w:firstLine="489"/>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4、</w:t>
      </w:r>
      <w:r>
        <w:rPr>
          <w:rFonts w:ascii="Times New Roman" w:hAnsi="Times New Roman" w:eastAsia="宋体" w:cs="宋体"/>
          <w:strike w:val="0"/>
          <w:dstrike w:val="0"/>
          <w:color w:val="auto"/>
          <w:spacing w:val="0"/>
          <w:position w:val="0"/>
          <w:sz w:val="24"/>
          <w:szCs w:val="24"/>
          <w:highlight w:val="none"/>
        </w:rPr>
        <w:t>地下水现状监测</w:t>
      </w:r>
    </w:p>
    <w:p w14:paraId="559A0F24">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本项目地下水现状监测设置三个点位</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经过监测数据可知，评价区地下水均未超过《地下水质量标准》</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GB/T14848-2017</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中Ⅲ类标准要求</w:t>
      </w:r>
      <w:r>
        <w:rPr>
          <w:rFonts w:hint="eastAsia" w:ascii="Times New Roman" w:hAnsi="Times New Roman" w:eastAsia="宋体" w:cs="宋体"/>
          <w:strike w:val="0"/>
          <w:dstrike w:val="0"/>
          <w:color w:val="auto"/>
          <w:spacing w:val="0"/>
          <w:position w:val="0"/>
          <w:sz w:val="24"/>
          <w:szCs w:val="24"/>
          <w:highlight w:val="none"/>
          <w:lang w:eastAsia="zh-CN"/>
        </w:rPr>
        <w:t>。</w:t>
      </w:r>
    </w:p>
    <w:p w14:paraId="40CFFB1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宋体"/>
          <w:strike w:val="0"/>
          <w:dstrike w:val="0"/>
          <w:color w:val="auto"/>
          <w:spacing w:val="0"/>
          <w:position w:val="0"/>
          <w:sz w:val="24"/>
          <w:szCs w:val="24"/>
          <w:highlight w:val="none"/>
        </w:rPr>
        <w:t>废水及影响途径</w:t>
      </w:r>
    </w:p>
    <w:p w14:paraId="7EEF0F5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1</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正常情况下地下水影响分析</w:t>
      </w:r>
    </w:p>
    <w:p w14:paraId="605A825F">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本项目影响地下水质主要有两方面，一是废水收集以及排放过程中的下渗对地下水的影响，二是由于固体废物收集处经雨水淋溶污染地下水</w:t>
      </w:r>
      <w:r>
        <w:rPr>
          <w:rFonts w:hint="eastAsia" w:ascii="Times New Roman" w:hAnsi="Times New Roman" w:eastAsia="宋体" w:cs="宋体"/>
          <w:strike w:val="0"/>
          <w:dstrike w:val="0"/>
          <w:color w:val="auto"/>
          <w:spacing w:val="0"/>
          <w:position w:val="0"/>
          <w:sz w:val="24"/>
          <w:szCs w:val="24"/>
          <w:highlight w:val="none"/>
          <w:lang w:eastAsia="zh-CN"/>
        </w:rPr>
        <w:t>。</w:t>
      </w:r>
    </w:p>
    <w:p w14:paraId="06CCDD9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①废水排放对地下水质的影响</w:t>
      </w:r>
    </w:p>
    <w:p w14:paraId="5400F3DC">
      <w:pPr>
        <w:keepNext w:val="0"/>
        <w:keepLines w:val="0"/>
        <w:pageBreakBefore w:val="0"/>
        <w:widowControl w:val="0"/>
        <w:kinsoku/>
        <w:wordWrap/>
        <w:overflowPunct/>
        <w:topLinePunct w:val="0"/>
        <w:autoSpaceDE/>
        <w:autoSpaceDN/>
        <w:bidi w:val="0"/>
        <w:adjustRightInd/>
        <w:snapToGrid/>
        <w:spacing w:line="360" w:lineRule="auto"/>
        <w:ind w:left="0" w:right="0" w:firstLine="482"/>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hint="eastAsia" w:ascii="Times New Roman" w:hAnsi="Times New Roman" w:eastAsia="宋体" w:cs="宋体"/>
          <w:strike w:val="0"/>
          <w:dstrike w:val="0"/>
          <w:color w:val="auto"/>
          <w:spacing w:val="0"/>
          <w:position w:val="0"/>
          <w:sz w:val="24"/>
          <w:szCs w:val="24"/>
          <w:highlight w:val="none"/>
          <w:lang w:eastAsia="zh-CN"/>
        </w:rPr>
        <w:t>本项目生活污水和生产废水经黑膜池发酵处理后用于项目区周边林带施肥</w:t>
      </w:r>
      <w:r>
        <w:rPr>
          <w:rFonts w:ascii="Times New Roman" w:hAnsi="Times New Roman" w:eastAsia="宋体" w:cs="宋体"/>
          <w:strike w:val="0"/>
          <w:dstrike w:val="0"/>
          <w:color w:val="auto"/>
          <w:spacing w:val="0"/>
          <w:position w:val="0"/>
          <w:sz w:val="24"/>
          <w:szCs w:val="24"/>
          <w:highlight w:val="none"/>
        </w:rPr>
        <w:t>，不直接和地表联系，不会通过地表水和地下水的水力联系而进入地下水从而引地下水水质的变化</w:t>
      </w:r>
      <w:r>
        <w:rPr>
          <w:rFonts w:hint="eastAsia" w:ascii="Times New Roman" w:hAnsi="Times New Roman" w:eastAsia="宋体" w:cs="宋体"/>
          <w:strike w:val="0"/>
          <w:dstrike w:val="0"/>
          <w:color w:val="auto"/>
          <w:spacing w:val="0"/>
          <w:position w:val="0"/>
          <w:sz w:val="24"/>
          <w:szCs w:val="24"/>
          <w:highlight w:val="none"/>
          <w:lang w:eastAsia="zh-CN"/>
        </w:rPr>
        <w:t>。</w:t>
      </w:r>
    </w:p>
    <w:p w14:paraId="39C99783">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此外，本项目所在区域地下有粘土层存在，可以减少下渗水量，即使有微量废水渗入地下水，由于土壤的自净作用，对区域内地下水的水质影响也很微弱，不会改变区域地下水的现状使用功能</w:t>
      </w:r>
      <w:r>
        <w:rPr>
          <w:rFonts w:hint="eastAsia" w:ascii="Times New Roman" w:hAnsi="Times New Roman" w:eastAsia="宋体" w:cs="宋体"/>
          <w:strike w:val="0"/>
          <w:dstrike w:val="0"/>
          <w:color w:val="auto"/>
          <w:spacing w:val="0"/>
          <w:position w:val="0"/>
          <w:sz w:val="24"/>
          <w:szCs w:val="24"/>
          <w:highlight w:val="none"/>
          <w:lang w:eastAsia="zh-CN"/>
        </w:rPr>
        <w:t>。</w:t>
      </w:r>
    </w:p>
    <w:p w14:paraId="45B0D99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②固体废物对地下水水质的影响</w:t>
      </w:r>
    </w:p>
    <w:p w14:paraId="56669A58">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本项目产生的固体废物主要为</w:t>
      </w:r>
      <w:r>
        <w:rPr>
          <w:rFonts w:hint="eastAsia" w:ascii="Times New Roman" w:hAnsi="Times New Roman" w:eastAsia="宋体" w:cs="宋体"/>
          <w:strike w:val="0"/>
          <w:dstrike w:val="0"/>
          <w:color w:val="auto"/>
          <w:spacing w:val="0"/>
          <w:position w:val="0"/>
          <w:sz w:val="24"/>
          <w:szCs w:val="24"/>
          <w:highlight w:val="none"/>
          <w:lang w:eastAsia="zh-CN"/>
        </w:rPr>
        <w:t>骆驼粪便、病死骆驼、分娩废弃物（胎衣、死胎、胎盘附属物）、挤奶大厅废弃的一次性挤奶耗材、塑料奶管、废弃包装物、生活垃圾、医疗废物、黑膜池污泥。</w:t>
      </w:r>
      <w:r>
        <w:rPr>
          <w:rFonts w:ascii="Times New Roman" w:hAnsi="Times New Roman" w:eastAsia="宋体" w:cs="宋体"/>
          <w:strike w:val="0"/>
          <w:dstrike w:val="0"/>
          <w:color w:val="auto"/>
          <w:spacing w:val="0"/>
          <w:position w:val="0"/>
          <w:sz w:val="24"/>
          <w:szCs w:val="24"/>
          <w:highlight w:val="none"/>
        </w:rPr>
        <w:t>其中，</w:t>
      </w:r>
      <w:r>
        <w:rPr>
          <w:rFonts w:hint="eastAsia" w:ascii="Times New Roman" w:hAnsi="Times New Roman" w:eastAsia="宋体" w:cs="宋体"/>
          <w:strike w:val="0"/>
          <w:dstrike w:val="0"/>
          <w:color w:val="auto"/>
          <w:spacing w:val="0"/>
          <w:position w:val="0"/>
          <w:sz w:val="24"/>
          <w:szCs w:val="24"/>
          <w:highlight w:val="none"/>
          <w:lang w:eastAsia="zh-CN"/>
        </w:rPr>
        <w:t>骆驼粪便</w:t>
      </w:r>
      <w:r>
        <w:rPr>
          <w:rFonts w:hint="eastAsia" w:ascii="Times New Roman" w:hAnsi="Times New Roman" w:eastAsia="宋体" w:cs="宋体"/>
          <w:strike w:val="0"/>
          <w:dstrike w:val="0"/>
          <w:color w:val="auto"/>
          <w:spacing w:val="0"/>
          <w:position w:val="0"/>
          <w:sz w:val="24"/>
          <w:szCs w:val="24"/>
          <w:highlight w:val="none"/>
          <w:lang w:val="en-US" w:eastAsia="zh-CN"/>
        </w:rPr>
        <w:t>清运至堆肥场，经发酵处理后作为有机肥外售</w:t>
      </w:r>
      <w:r>
        <w:rPr>
          <w:rFonts w:ascii="Times New Roman" w:hAnsi="Times New Roman" w:eastAsia="宋体" w:cs="宋体"/>
          <w:strike w:val="0"/>
          <w:dstrike w:val="0"/>
          <w:color w:val="auto"/>
          <w:spacing w:val="0"/>
          <w:position w:val="0"/>
          <w:sz w:val="24"/>
          <w:szCs w:val="24"/>
          <w:highlight w:val="none"/>
        </w:rPr>
        <w:t>；</w:t>
      </w:r>
      <w:r>
        <w:rPr>
          <w:rFonts w:hint="eastAsia" w:ascii="Times New Roman" w:hAnsi="Times New Roman" w:eastAsia="宋体" w:cs="宋体"/>
          <w:strike w:val="0"/>
          <w:dstrike w:val="0"/>
          <w:color w:val="auto"/>
          <w:spacing w:val="0"/>
          <w:position w:val="0"/>
          <w:sz w:val="24"/>
          <w:szCs w:val="24"/>
          <w:highlight w:val="none"/>
          <w:lang w:val="en-US" w:eastAsia="zh-CN"/>
        </w:rPr>
        <w:t>病死骆驼、分娩废弃物（胎衣、死胎、胎盘附属物）委托具有合法资质的无害化处理单位进行无害化处理</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挤奶大厅废弃的一次性挤奶耗材、塑料奶管、废弃包装物</w:t>
      </w:r>
      <w:r>
        <w:rPr>
          <w:rFonts w:ascii="Times New Roman" w:hAnsi="Times New Roman" w:eastAsia="宋体" w:cs="宋体"/>
          <w:strike w:val="0"/>
          <w:dstrike w:val="0"/>
          <w:color w:val="auto"/>
          <w:spacing w:val="0"/>
          <w:position w:val="0"/>
          <w:sz w:val="24"/>
          <w:szCs w:val="24"/>
          <w:highlight w:val="none"/>
        </w:rPr>
        <w:t>进行外售，生活垃圾集中收集由当地环卫部门处置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医疗废物储存于</w:t>
      </w:r>
      <w:r>
        <w:rPr>
          <w:rFonts w:hint="eastAsia" w:ascii="Times New Roman" w:hAnsi="Times New Roman" w:eastAsia="宋体" w:cs="宋体"/>
          <w:strike w:val="0"/>
          <w:dstrike w:val="0"/>
          <w:color w:val="auto"/>
          <w:spacing w:val="0"/>
          <w:position w:val="0"/>
          <w:sz w:val="24"/>
          <w:szCs w:val="24"/>
          <w:highlight w:val="none"/>
          <w:lang w:eastAsia="zh-CN"/>
        </w:rPr>
        <w:t>医疗废物暂存间</w:t>
      </w:r>
      <w:r>
        <w:rPr>
          <w:rFonts w:ascii="Times New Roman" w:hAnsi="Times New Roman" w:eastAsia="宋体" w:cs="宋体"/>
          <w:strike w:val="0"/>
          <w:dstrike w:val="0"/>
          <w:color w:val="auto"/>
          <w:spacing w:val="0"/>
          <w:position w:val="0"/>
          <w:sz w:val="24"/>
          <w:szCs w:val="24"/>
          <w:highlight w:val="none"/>
        </w:rPr>
        <w:t>，交由有资质的单位进行处置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黑膜池污泥定期运至堆肥场，经过处理后作为同骆驼粪便一同作为有机肥外售</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厂区固废临时堆放处做好防雨、防渗处理等就可基本解决固废污染当地地下水问题，对地下水水质影响不大</w:t>
      </w:r>
      <w:r>
        <w:rPr>
          <w:rFonts w:hint="eastAsia" w:ascii="Times New Roman" w:hAnsi="Times New Roman" w:eastAsia="宋体" w:cs="宋体"/>
          <w:strike w:val="0"/>
          <w:dstrike w:val="0"/>
          <w:color w:val="auto"/>
          <w:spacing w:val="0"/>
          <w:position w:val="0"/>
          <w:sz w:val="24"/>
          <w:szCs w:val="24"/>
          <w:highlight w:val="none"/>
          <w:lang w:eastAsia="zh-CN"/>
        </w:rPr>
        <w:t>。</w:t>
      </w:r>
    </w:p>
    <w:p w14:paraId="79D09AE6">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本项目所在区域地下有较好的粘土层防渗，只要本项目做好防渗措施，本项目废水对地下水影响较小</w:t>
      </w:r>
      <w:r>
        <w:rPr>
          <w:rFonts w:hint="eastAsia" w:ascii="Times New Roman" w:hAnsi="Times New Roman" w:eastAsia="宋体" w:cs="宋体"/>
          <w:strike w:val="0"/>
          <w:dstrike w:val="0"/>
          <w:color w:val="auto"/>
          <w:spacing w:val="0"/>
          <w:position w:val="0"/>
          <w:sz w:val="24"/>
          <w:szCs w:val="24"/>
          <w:highlight w:val="none"/>
          <w:lang w:eastAsia="zh-CN"/>
        </w:rPr>
        <w:t>。</w:t>
      </w:r>
    </w:p>
    <w:p w14:paraId="7D0E197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2</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非正常情况下地下水影响分析</w:t>
      </w:r>
    </w:p>
    <w:p w14:paraId="1DD7D1B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①影响途径</w:t>
      </w:r>
    </w:p>
    <w:p w14:paraId="2CE96EE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本项目对地下水的影响主要是项目污水及固体废物对地下水水质的影响</w:t>
      </w:r>
      <w:r>
        <w:rPr>
          <w:rFonts w:hint="eastAsia" w:ascii="Times New Roman" w:hAnsi="Times New Roman" w:eastAsia="宋体" w:cs="宋体"/>
          <w:strike w:val="0"/>
          <w:dstrike w:val="0"/>
          <w:color w:val="auto"/>
          <w:spacing w:val="0"/>
          <w:position w:val="0"/>
          <w:sz w:val="24"/>
          <w:szCs w:val="24"/>
          <w:highlight w:val="none"/>
          <w:lang w:eastAsia="zh-CN"/>
        </w:rPr>
        <w:t>。</w:t>
      </w:r>
    </w:p>
    <w:p w14:paraId="0504CD88">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项目厂区内</w:t>
      </w:r>
      <w:r>
        <w:rPr>
          <w:rFonts w:hint="eastAsia" w:ascii="Times New Roman" w:hAnsi="Times New Roman" w:eastAsia="宋体" w:cs="宋体"/>
          <w:strike w:val="0"/>
          <w:dstrike w:val="0"/>
          <w:color w:val="auto"/>
          <w:spacing w:val="0"/>
          <w:position w:val="0"/>
          <w:sz w:val="24"/>
          <w:szCs w:val="24"/>
          <w:highlight w:val="none"/>
          <w:lang w:val="en-US" w:eastAsia="zh-CN"/>
        </w:rPr>
        <w:t>黑膜池</w:t>
      </w:r>
      <w:r>
        <w:rPr>
          <w:rFonts w:ascii="Times New Roman" w:hAnsi="Times New Roman" w:eastAsia="宋体" w:cs="宋体"/>
          <w:strike w:val="0"/>
          <w:dstrike w:val="0"/>
          <w:color w:val="auto"/>
          <w:spacing w:val="0"/>
          <w:position w:val="0"/>
          <w:sz w:val="24"/>
          <w:szCs w:val="24"/>
          <w:highlight w:val="none"/>
        </w:rPr>
        <w:t>泄露和污水管道等跑、冒、滴、漏的有毒有害物料首先污染土壤，再通过降雨淋溶经包气带渗透至潜水层而污染浅层地下水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一般情况下，包气带的厚度越薄，透水性越好，越容易造成潜水含水层的污染；反之，包气带的厚度越厚、透水性越差，则不容易造成潜水污染</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渗透污染是导致浅层地下水污染的主要方式</w:t>
      </w:r>
      <w:r>
        <w:rPr>
          <w:rFonts w:hint="eastAsia" w:ascii="Times New Roman" w:hAnsi="Times New Roman" w:eastAsia="宋体" w:cs="宋体"/>
          <w:strike w:val="0"/>
          <w:dstrike w:val="0"/>
          <w:color w:val="auto"/>
          <w:spacing w:val="0"/>
          <w:position w:val="0"/>
          <w:sz w:val="24"/>
          <w:szCs w:val="24"/>
          <w:highlight w:val="none"/>
          <w:lang w:eastAsia="zh-CN"/>
        </w:rPr>
        <w:t>。</w:t>
      </w:r>
    </w:p>
    <w:p w14:paraId="1CE4204E">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default"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②预测情景分析</w:t>
      </w:r>
    </w:p>
    <w:p w14:paraId="71E51FD9">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strike w:val="0"/>
          <w:dstrike w:val="0"/>
          <w:color w:val="auto"/>
        </w:rPr>
      </w:pPr>
      <w:r>
        <w:rPr>
          <w:rFonts w:hint="eastAsia" w:ascii="Times New Roman" w:hAnsi="Times New Roman" w:eastAsia="宋体" w:cs="宋体"/>
          <w:strike w:val="0"/>
          <w:dstrike w:val="0"/>
          <w:color w:val="auto"/>
          <w:spacing w:val="0"/>
          <w:position w:val="0"/>
          <w:sz w:val="24"/>
          <w:szCs w:val="24"/>
          <w:highlight w:val="none"/>
          <w:lang w:val="en-US" w:eastAsia="zh-CN"/>
        </w:rPr>
        <w:t>综合分析根据本项目特征，非正常状况下选取</w:t>
      </w:r>
      <w:r>
        <w:rPr>
          <w:rFonts w:hint="default" w:ascii="Times New Roman" w:hAnsi="Times New Roman" w:eastAsia="宋体" w:cs="宋体"/>
          <w:strike w:val="0"/>
          <w:dstrike w:val="0"/>
          <w:color w:val="auto"/>
          <w:spacing w:val="0"/>
          <w:position w:val="0"/>
          <w:sz w:val="24"/>
          <w:szCs w:val="24"/>
          <w:highlight w:val="none"/>
          <w:lang w:val="en-US" w:eastAsia="zh-CN"/>
        </w:rPr>
        <w:t>COD</w:t>
      </w:r>
      <w:r>
        <w:rPr>
          <w:rFonts w:hint="default" w:ascii="Times New Roman" w:hAnsi="Times New Roman" w:eastAsia="宋体" w:cs="宋体"/>
          <w:strike w:val="0"/>
          <w:dstrike w:val="0"/>
          <w:color w:val="auto"/>
          <w:spacing w:val="0"/>
          <w:position w:val="0"/>
          <w:sz w:val="24"/>
          <w:szCs w:val="24"/>
          <w:highlight w:val="none"/>
          <w:vertAlign w:val="superscript"/>
          <w:lang w:val="en-US" w:eastAsia="zh-CN"/>
        </w:rPr>
        <w:t>Mn</w:t>
      </w:r>
      <w:r>
        <w:rPr>
          <w:rFonts w:hint="eastAsia" w:ascii="Times New Roman" w:hAnsi="Times New Roman" w:eastAsia="宋体" w:cs="宋体"/>
          <w:strike w:val="0"/>
          <w:dstrike w:val="0"/>
          <w:color w:val="auto"/>
          <w:spacing w:val="0"/>
          <w:position w:val="0"/>
          <w:sz w:val="24"/>
          <w:szCs w:val="24"/>
          <w:highlight w:val="none"/>
          <w:lang w:val="en-US" w:eastAsia="zh-CN"/>
        </w:rPr>
        <w:t>和氨氮作为特征污染物进行</w:t>
      </w:r>
      <w:r>
        <w:rPr>
          <w:rFonts w:hint="eastAsia" w:ascii="Times New Roman" w:hAnsi="Times New Roman" w:eastAsia="宋体" w:cs="宋体"/>
          <w:strike w:val="0"/>
          <w:dstrike w:val="0"/>
          <w:color w:val="auto"/>
          <w:kern w:val="0"/>
          <w:sz w:val="24"/>
          <w:szCs w:val="24"/>
          <w:lang w:val="en-US" w:eastAsia="zh-CN" w:bidi="ar"/>
        </w:rPr>
        <w:t>预测</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非正常状况情景设定为</w:t>
      </w:r>
      <w:r>
        <w:rPr>
          <w:rFonts w:hint="eastAsia" w:ascii="Times New Roman" w:hAnsi="Times New Roman" w:eastAsia="宋体" w:cs="宋体"/>
          <w:strike w:val="0"/>
          <w:dstrike w:val="0"/>
          <w:color w:val="auto"/>
          <w:kern w:val="0"/>
          <w:sz w:val="24"/>
          <w:szCs w:val="24"/>
          <w:lang w:val="en-US" w:eastAsia="zh-CN" w:bidi="ar"/>
        </w:rPr>
        <w:t>黑膜池</w:t>
      </w:r>
      <w:r>
        <w:rPr>
          <w:rFonts w:hint="eastAsia" w:ascii="Times New Roman" w:hAnsi="Times New Roman" w:eastAsia="宋体" w:cs="宋体"/>
          <w:strike w:val="0"/>
          <w:dstrike w:val="0"/>
          <w:color w:val="auto"/>
          <w:kern w:val="0"/>
          <w:sz w:val="24"/>
          <w:szCs w:val="24"/>
          <w:lang w:val="en-US" w:eastAsia="zh-CN" w:bidi="ar"/>
        </w:rPr>
        <w:t>泄漏，污染物直接穿透包气带进入地下水运移的情景，运用解析法进行模拟预测</w:t>
      </w:r>
      <w:r>
        <w:rPr>
          <w:rFonts w:hint="eastAsia" w:ascii="Times New Roman" w:hAnsi="Times New Roman" w:eastAsia="宋体" w:cs="宋体"/>
          <w:strike w:val="0"/>
          <w:dstrike w:val="0"/>
          <w:color w:val="auto"/>
          <w:kern w:val="0"/>
          <w:sz w:val="24"/>
          <w:szCs w:val="24"/>
          <w:lang w:val="en-US" w:eastAsia="zh-CN" w:bidi="ar"/>
        </w:rPr>
        <w:t>。</w:t>
      </w:r>
    </w:p>
    <w:p w14:paraId="51AE9754">
      <w:pPr>
        <w:keepNext w:val="0"/>
        <w:keepLines w:val="0"/>
        <w:widowControl/>
        <w:suppressLineNumbers w:val="0"/>
        <w:jc w:val="left"/>
        <w:rPr>
          <w:rFonts w:ascii="Times New Roman" w:hAnsi="Times New Roman" w:eastAsia="宋体"/>
          <w:strike w:val="0"/>
          <w:dstrike w:val="0"/>
          <w:color w:val="auto"/>
        </w:rPr>
      </w:pPr>
      <w:r>
        <w:rPr>
          <w:rFonts w:hint="eastAsia" w:ascii="Times New Roman" w:hAnsi="Times New Roman" w:eastAsia="宋体" w:cs="宋体"/>
          <w:strike w:val="0"/>
          <w:dstrike w:val="0"/>
          <w:color w:val="auto"/>
          <w:kern w:val="0"/>
          <w:sz w:val="24"/>
          <w:szCs w:val="24"/>
          <w:lang w:val="en-US" w:eastAsia="zh-CN" w:bidi="ar"/>
        </w:rPr>
        <w:t>由于预测时地下水影响的评价因子为耗氧量，为使污染因子</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与评价因子耗氧量在数值关系上对应统一，故在模型计算过程中，本次评价参照国内学者胡大琼（云南省水文水资源局普洱分局）《高锰酸盐指数与化学需氧量相关关系探讨》一文得出的耗氧量与</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线性回归方程</w:t>
      </w:r>
      <w:r>
        <w:rPr>
          <w:rFonts w:hint="default" w:ascii="Times New Roman" w:hAnsi="Times New Roman" w:eastAsia="宋体" w:cs="Times New Roman"/>
          <w:strike w:val="0"/>
          <w:dstrike w:val="0"/>
          <w:color w:val="auto"/>
          <w:kern w:val="0"/>
          <w:sz w:val="24"/>
          <w:szCs w:val="24"/>
          <w:lang w:val="en-US" w:eastAsia="zh-CN" w:bidi="ar"/>
        </w:rPr>
        <w:t>Y=4.76X+2.61</w:t>
      </w:r>
      <w:r>
        <w:rPr>
          <w:rFonts w:hint="eastAsia" w:ascii="Times New Roman" w:hAnsi="Times New Roman" w:eastAsia="宋体" w:cs="Times New Roman"/>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为耗氧量，</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为</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）进行换算</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本次评价</w:t>
      </w:r>
      <w:r>
        <w:rPr>
          <w:rFonts w:hint="default" w:ascii="Times New Roman" w:hAnsi="Times New Roman" w:eastAsia="宋体" w:cs="Times New Roman"/>
          <w:strike w:val="0"/>
          <w:dstrike w:val="0"/>
          <w:color w:val="auto"/>
          <w:kern w:val="0"/>
          <w:sz w:val="24"/>
          <w:szCs w:val="24"/>
          <w:lang w:val="en-US" w:eastAsia="zh-CN" w:bidi="ar"/>
        </w:rPr>
        <w:t>COD</w:t>
      </w:r>
      <w:r>
        <w:rPr>
          <w:rFonts w:hint="eastAsia" w:ascii="Times New Roman" w:hAnsi="Times New Roman" w:eastAsia="宋体" w:cs="宋体"/>
          <w:strike w:val="0"/>
          <w:dstrike w:val="0"/>
          <w:color w:val="auto"/>
          <w:kern w:val="0"/>
          <w:sz w:val="24"/>
          <w:szCs w:val="24"/>
          <w:lang w:val="en-US" w:eastAsia="zh-CN" w:bidi="ar"/>
        </w:rPr>
        <w:t>浓度取</w:t>
      </w:r>
      <w:r>
        <w:rPr>
          <w:rFonts w:hint="eastAsia" w:ascii="Times New Roman" w:hAnsi="Times New Roman" w:eastAsia="宋体" w:cs="Times New Roman"/>
          <w:strike w:val="0"/>
          <w:dstrike w:val="0"/>
          <w:color w:val="auto"/>
          <w:kern w:val="0"/>
          <w:sz w:val="24"/>
          <w:szCs w:val="24"/>
          <w:lang w:val="en-US" w:eastAsia="zh-CN" w:bidi="ar"/>
        </w:rPr>
        <w:t>3000</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宋体"/>
          <w:strike w:val="0"/>
          <w:dstrike w:val="0"/>
          <w:color w:val="auto"/>
          <w:kern w:val="0"/>
          <w:sz w:val="24"/>
          <w:szCs w:val="24"/>
          <w:lang w:val="en-US" w:eastAsia="zh-CN" w:bidi="ar"/>
        </w:rPr>
        <w:t>，则耗氧量浓度为</w:t>
      </w:r>
      <w:r>
        <w:rPr>
          <w:rFonts w:hint="eastAsia" w:ascii="Times New Roman" w:hAnsi="Times New Roman" w:eastAsia="宋体" w:cs="Times New Roman"/>
          <w:strike w:val="0"/>
          <w:dstrike w:val="0"/>
          <w:color w:val="auto"/>
          <w:kern w:val="0"/>
          <w:sz w:val="24"/>
          <w:szCs w:val="24"/>
          <w:lang w:val="en-US" w:eastAsia="zh-CN" w:bidi="ar"/>
        </w:rPr>
        <w:t>629.70</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Times New Roman"/>
          <w:strike w:val="0"/>
          <w:dstrike w:val="0"/>
          <w:color w:val="auto"/>
          <w:kern w:val="0"/>
          <w:sz w:val="24"/>
          <w:szCs w:val="24"/>
          <w:lang w:val="en-US" w:eastAsia="zh-CN" w:bidi="ar"/>
        </w:rPr>
        <w:t>，氨氮浓度取100</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宋体"/>
          <w:strike w:val="0"/>
          <w:dstrike w:val="0"/>
          <w:color w:val="auto"/>
          <w:kern w:val="0"/>
          <w:sz w:val="24"/>
          <w:szCs w:val="24"/>
          <w:lang w:val="en-US" w:eastAsia="zh-CN" w:bidi="ar"/>
        </w:rPr>
        <w:t>。</w:t>
      </w:r>
    </w:p>
    <w:p w14:paraId="2213FF56">
      <w:pPr>
        <w:keepNext w:val="0"/>
        <w:keepLines w:val="0"/>
        <w:widowControl/>
        <w:suppressLineNumbers w:val="0"/>
        <w:jc w:val="left"/>
        <w:rPr>
          <w:rFonts w:hint="eastAsia" w:ascii="Times New Roman" w:hAnsi="Times New Roman" w:eastAsia="宋体" w:cs="宋体"/>
          <w:strike w:val="0"/>
          <w:dstrike w:val="0"/>
          <w:color w:val="auto"/>
          <w:kern w:val="0"/>
          <w:sz w:val="24"/>
          <w:szCs w:val="24"/>
          <w:lang w:val="en-US" w:eastAsia="zh-CN" w:bidi="ar"/>
        </w:rPr>
      </w:pPr>
      <w:r>
        <w:rPr>
          <w:rFonts w:hint="eastAsia" w:ascii="Times New Roman" w:hAnsi="Times New Roman" w:eastAsia="宋体" w:cs="宋体"/>
          <w:strike w:val="0"/>
          <w:dstrike w:val="0"/>
          <w:color w:val="auto"/>
          <w:kern w:val="0"/>
          <w:sz w:val="24"/>
          <w:szCs w:val="24"/>
          <w:lang w:val="en-US" w:eastAsia="zh-CN" w:bidi="ar"/>
        </w:rPr>
        <w:t>源强计算：设定防渗过程中采取的渗漏自动检测发现及修复时间为</w:t>
      </w:r>
      <w:r>
        <w:rPr>
          <w:rFonts w:hint="default" w:ascii="Times New Roman" w:hAnsi="Times New Roman" w:eastAsia="宋体" w:cs="Times New Roman"/>
          <w:strike w:val="0"/>
          <w:dstrike w:val="0"/>
          <w:color w:val="auto"/>
          <w:kern w:val="0"/>
          <w:sz w:val="24"/>
          <w:szCs w:val="24"/>
          <w:lang w:val="en-US" w:eastAsia="zh-CN" w:bidi="ar"/>
        </w:rPr>
        <w:t>1</w:t>
      </w:r>
      <w:r>
        <w:rPr>
          <w:rFonts w:hint="eastAsia" w:ascii="Times New Roman" w:hAnsi="Times New Roman" w:eastAsia="宋体" w:cs="宋体"/>
          <w:strike w:val="0"/>
          <w:dstrike w:val="0"/>
          <w:color w:val="auto"/>
          <w:kern w:val="0"/>
          <w:sz w:val="24"/>
          <w:szCs w:val="24"/>
          <w:lang w:val="en-US" w:eastAsia="zh-CN" w:bidi="ar"/>
        </w:rPr>
        <w:t>天；泄漏量：设定防渗过程中采取的渗漏自动检测发现及修复时间为</w:t>
      </w:r>
      <w:r>
        <w:rPr>
          <w:rFonts w:hint="default" w:ascii="Times New Roman" w:hAnsi="Times New Roman" w:eastAsia="宋体" w:cs="Times New Roman"/>
          <w:strike w:val="0"/>
          <w:dstrike w:val="0"/>
          <w:color w:val="auto"/>
          <w:kern w:val="0"/>
          <w:sz w:val="24"/>
          <w:szCs w:val="24"/>
          <w:lang w:val="en-US" w:eastAsia="zh-CN" w:bidi="ar"/>
        </w:rPr>
        <w:t>1</w:t>
      </w:r>
      <w:r>
        <w:rPr>
          <w:rFonts w:hint="eastAsia" w:ascii="Times New Roman" w:hAnsi="Times New Roman" w:eastAsia="宋体" w:cs="宋体"/>
          <w:strike w:val="0"/>
          <w:dstrike w:val="0"/>
          <w:color w:val="auto"/>
          <w:kern w:val="0"/>
          <w:sz w:val="24"/>
          <w:szCs w:val="24"/>
          <w:lang w:val="en-US" w:eastAsia="zh-CN" w:bidi="ar"/>
        </w:rPr>
        <w:t>天；非正常工况下泄漏量按储存池的</w:t>
      </w:r>
      <w:r>
        <w:rPr>
          <w:rFonts w:hint="default" w:ascii="Times New Roman" w:hAnsi="Times New Roman" w:eastAsia="宋体" w:cs="Times New Roman"/>
          <w:strike w:val="0"/>
          <w:dstrike w:val="0"/>
          <w:color w:val="auto"/>
          <w:kern w:val="0"/>
          <w:sz w:val="24"/>
          <w:szCs w:val="24"/>
          <w:lang w:val="en-US" w:eastAsia="zh-CN" w:bidi="ar"/>
        </w:rPr>
        <w:t>0.1%</w:t>
      </w:r>
      <w:r>
        <w:rPr>
          <w:rFonts w:hint="eastAsia" w:ascii="Times New Roman" w:hAnsi="Times New Roman" w:eastAsia="宋体" w:cs="宋体"/>
          <w:strike w:val="0"/>
          <w:dstrike w:val="0"/>
          <w:color w:val="auto"/>
          <w:kern w:val="0"/>
          <w:sz w:val="24"/>
          <w:szCs w:val="24"/>
          <w:lang w:val="en-US" w:eastAsia="zh-CN" w:bidi="ar"/>
        </w:rPr>
        <w:t>计算，产生量为</w:t>
      </w:r>
      <w:r>
        <w:rPr>
          <w:rFonts w:hint="eastAsia" w:ascii="Times New Roman" w:hAnsi="Times New Roman" w:eastAsia="宋体" w:cs="Times New Roman"/>
          <w:strike w:val="0"/>
          <w:dstrike w:val="0"/>
          <w:color w:val="auto"/>
          <w:kern w:val="0"/>
          <w:sz w:val="24"/>
          <w:szCs w:val="24"/>
          <w:lang w:val="en-US" w:eastAsia="zh-CN" w:bidi="ar"/>
        </w:rPr>
        <w:t>1.5</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Times New Roman"/>
          <w:strike w:val="0"/>
          <w:dstrike w:val="0"/>
          <w:color w:val="auto"/>
          <w:kern w:val="0"/>
          <w:sz w:val="24"/>
          <w:szCs w:val="24"/>
          <w:vertAlign w:val="superscript"/>
          <w:lang w:val="en-US" w:eastAsia="zh-CN" w:bidi="ar"/>
        </w:rPr>
        <w:t>3</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源强核算结果见表5.2</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11</w:t>
      </w:r>
    </w:p>
    <w:p w14:paraId="238C9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表5.2-11非正常工况渗漏源强计算一览表</w:t>
      </w:r>
    </w:p>
    <w:tbl>
      <w:tblPr>
        <w:tblStyle w:val="4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801"/>
        <w:gridCol w:w="922"/>
        <w:gridCol w:w="1424"/>
        <w:gridCol w:w="1733"/>
        <w:gridCol w:w="1356"/>
        <w:gridCol w:w="1361"/>
      </w:tblGrid>
      <w:tr w14:paraId="39AA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vAlign w:val="center"/>
          </w:tcPr>
          <w:p w14:paraId="5F6F0B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情景设定</w:t>
            </w:r>
          </w:p>
        </w:tc>
        <w:tc>
          <w:tcPr>
            <w:tcW w:w="470" w:type="pct"/>
            <w:vAlign w:val="center"/>
          </w:tcPr>
          <w:p w14:paraId="2C7F21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泄露位置</w:t>
            </w:r>
          </w:p>
        </w:tc>
        <w:tc>
          <w:tcPr>
            <w:tcW w:w="541" w:type="pct"/>
            <w:vAlign w:val="center"/>
          </w:tcPr>
          <w:p w14:paraId="394C8B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特征污染物</w:t>
            </w:r>
          </w:p>
        </w:tc>
        <w:tc>
          <w:tcPr>
            <w:tcW w:w="836" w:type="pct"/>
            <w:vAlign w:val="center"/>
          </w:tcPr>
          <w:p w14:paraId="0A1A7A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渗漏量（m</w:t>
            </w:r>
            <w:r>
              <w:rPr>
                <w:rFonts w:hint="eastAsia" w:ascii="Times New Roman" w:hAnsi="Times New Roman" w:eastAsia="宋体"/>
                <w:strike w:val="0"/>
                <w:dstrike w:val="0"/>
                <w:color w:val="auto"/>
                <w:sz w:val="21"/>
                <w:highlight w:val="none"/>
                <w:vertAlign w:val="superscript"/>
                <w:lang w:val="en-US" w:eastAsia="zh-CN"/>
              </w:rPr>
              <w:t>3</w:t>
            </w:r>
            <w:r>
              <w:rPr>
                <w:rFonts w:hint="eastAsia" w:ascii="Times New Roman" w:hAnsi="Times New Roman" w:eastAsia="宋体"/>
                <w:strike w:val="0"/>
                <w:dstrike w:val="0"/>
                <w:color w:val="auto"/>
                <w:sz w:val="21"/>
                <w:highlight w:val="none"/>
                <w:vertAlign w:val="baseline"/>
                <w:lang w:val="en-US" w:eastAsia="zh-CN"/>
              </w:rPr>
              <w:t>/d）</w:t>
            </w:r>
          </w:p>
        </w:tc>
        <w:tc>
          <w:tcPr>
            <w:tcW w:w="1017" w:type="pct"/>
            <w:vAlign w:val="center"/>
          </w:tcPr>
          <w:p w14:paraId="182D23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污染物浓度（mg/L）</w:t>
            </w:r>
          </w:p>
        </w:tc>
        <w:tc>
          <w:tcPr>
            <w:tcW w:w="796" w:type="pct"/>
            <w:vAlign w:val="center"/>
          </w:tcPr>
          <w:p w14:paraId="4B096B9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污染源强（kg）</w:t>
            </w:r>
          </w:p>
        </w:tc>
        <w:tc>
          <w:tcPr>
            <w:tcW w:w="1358" w:type="dxa"/>
            <w:vAlign w:val="center"/>
          </w:tcPr>
          <w:p w14:paraId="795ED5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olor w:val="auto"/>
                <w:sz w:val="21"/>
              </w:rPr>
              <w:t>标准限值（mg/L）</w:t>
            </w:r>
          </w:p>
        </w:tc>
      </w:tr>
      <w:tr w14:paraId="10E9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vMerge w:val="restart"/>
            <w:vAlign w:val="center"/>
          </w:tcPr>
          <w:p w14:paraId="72B27F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非正常工况</w:t>
            </w:r>
          </w:p>
        </w:tc>
        <w:tc>
          <w:tcPr>
            <w:tcW w:w="470" w:type="pct"/>
            <w:vMerge w:val="restart"/>
            <w:vAlign w:val="center"/>
          </w:tcPr>
          <w:p w14:paraId="1711C8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黑膜池</w:t>
            </w:r>
          </w:p>
        </w:tc>
        <w:tc>
          <w:tcPr>
            <w:tcW w:w="541" w:type="pct"/>
            <w:vAlign w:val="center"/>
          </w:tcPr>
          <w:p w14:paraId="2C80E3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耗氧量</w:t>
            </w:r>
          </w:p>
        </w:tc>
        <w:tc>
          <w:tcPr>
            <w:tcW w:w="836" w:type="pct"/>
            <w:vMerge w:val="restart"/>
            <w:vAlign w:val="center"/>
          </w:tcPr>
          <w:p w14:paraId="4CB677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1.5</w:t>
            </w:r>
          </w:p>
        </w:tc>
        <w:tc>
          <w:tcPr>
            <w:tcW w:w="1017" w:type="pct"/>
            <w:vAlign w:val="center"/>
          </w:tcPr>
          <w:p w14:paraId="575B7F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629.70</w:t>
            </w:r>
          </w:p>
        </w:tc>
        <w:tc>
          <w:tcPr>
            <w:tcW w:w="796" w:type="pct"/>
            <w:vAlign w:val="center"/>
          </w:tcPr>
          <w:p w14:paraId="4E14B8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0.9446</w:t>
            </w:r>
          </w:p>
        </w:tc>
        <w:tc>
          <w:tcPr>
            <w:tcW w:w="1358" w:type="dxa"/>
            <w:vAlign w:val="center"/>
          </w:tcPr>
          <w:p w14:paraId="48584B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olor w:val="auto"/>
                <w:sz w:val="21"/>
              </w:rPr>
              <w:t>3</w:t>
            </w:r>
          </w:p>
        </w:tc>
      </w:tr>
      <w:tr w14:paraId="2A5A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41" w:type="pct"/>
            <w:vMerge w:val="continue"/>
            <w:vAlign w:val="center"/>
          </w:tcPr>
          <w:p w14:paraId="436DB2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highlight w:val="none"/>
                <w:vertAlign w:val="baseline"/>
              </w:rPr>
            </w:pPr>
          </w:p>
        </w:tc>
        <w:tc>
          <w:tcPr>
            <w:tcW w:w="470" w:type="pct"/>
            <w:vMerge w:val="continue"/>
            <w:vAlign w:val="center"/>
          </w:tcPr>
          <w:p w14:paraId="361532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highlight w:val="none"/>
                <w:vertAlign w:val="baseline"/>
              </w:rPr>
            </w:pPr>
          </w:p>
        </w:tc>
        <w:tc>
          <w:tcPr>
            <w:tcW w:w="541" w:type="pct"/>
            <w:vAlign w:val="center"/>
          </w:tcPr>
          <w:p w14:paraId="72AB1B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氨氮</w:t>
            </w:r>
          </w:p>
        </w:tc>
        <w:tc>
          <w:tcPr>
            <w:tcW w:w="836" w:type="pct"/>
            <w:vMerge w:val="continue"/>
            <w:vAlign w:val="center"/>
          </w:tcPr>
          <w:p w14:paraId="0363D3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sz w:val="21"/>
                <w:highlight w:val="none"/>
                <w:vertAlign w:val="baseline"/>
              </w:rPr>
            </w:pPr>
          </w:p>
        </w:tc>
        <w:tc>
          <w:tcPr>
            <w:tcW w:w="1017" w:type="pct"/>
            <w:vAlign w:val="center"/>
          </w:tcPr>
          <w:p w14:paraId="1E2A9F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100</w:t>
            </w:r>
          </w:p>
        </w:tc>
        <w:tc>
          <w:tcPr>
            <w:tcW w:w="796" w:type="pct"/>
            <w:vAlign w:val="center"/>
          </w:tcPr>
          <w:p w14:paraId="201861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strike w:val="0"/>
                <w:dstrike w:val="0"/>
                <w:color w:val="auto"/>
                <w:sz w:val="21"/>
                <w:highlight w:val="none"/>
                <w:vertAlign w:val="baseline"/>
                <w:lang w:val="en-US" w:eastAsia="zh-CN"/>
              </w:rPr>
              <w:t>0.1500</w:t>
            </w:r>
          </w:p>
        </w:tc>
        <w:tc>
          <w:tcPr>
            <w:tcW w:w="1358" w:type="dxa"/>
            <w:vAlign w:val="center"/>
          </w:tcPr>
          <w:p w14:paraId="18596D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vertAlign w:val="baseline"/>
                <w:lang w:val="en-US" w:eastAsia="zh-CN"/>
              </w:rPr>
            </w:pPr>
            <w:r>
              <w:rPr>
                <w:rFonts w:hint="eastAsia" w:ascii="Times New Roman" w:hAnsi="Times New Roman" w:eastAsia="宋体"/>
                <w:color w:val="auto"/>
                <w:sz w:val="21"/>
              </w:rPr>
              <w:t>0.5</w:t>
            </w:r>
          </w:p>
        </w:tc>
      </w:tr>
    </w:tbl>
    <w:p w14:paraId="30A5DF07">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③预测模型的概化</w:t>
      </w:r>
    </w:p>
    <w:p w14:paraId="5EC2E7DC">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非正常状况下，主要考虑事故的泄漏污水直接进入浅层地下水，污染物在项目场地含水层中的运移情况</w:t>
      </w:r>
      <w:r>
        <w:rPr>
          <w:rFonts w:hint="eastAsia" w:ascii="Times New Roman" w:hAnsi="Times New Roman" w:eastAsia="宋体"/>
          <w:strike w:val="0"/>
          <w:dstrike w:val="0"/>
          <w:color w:val="auto"/>
          <w:sz w:val="24"/>
          <w:lang w:val="en-US" w:eastAsia="zh-CN"/>
        </w:rPr>
        <w:t>。</w:t>
      </w:r>
      <w:r>
        <w:rPr>
          <w:rFonts w:hint="eastAsia" w:ascii="Times New Roman" w:hAnsi="Times New Roman" w:eastAsia="宋体"/>
          <w:strike w:val="0"/>
          <w:dstrike w:val="0"/>
          <w:color w:val="auto"/>
          <w:sz w:val="24"/>
          <w:lang w:val="en-US" w:eastAsia="zh-CN"/>
        </w:rPr>
        <w:t>模型可概化为一维稳定流动二维水动力弥散问题的瞬时注入示踪剂—平面瞬时点源的预测模型，其主要假设条件为：</w:t>
      </w:r>
    </w:p>
    <w:p w14:paraId="410497F1">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①评价区内含水层的基本参数（如渗透系数、有效孔隙度等）不变或变化很小；</w:t>
      </w:r>
    </w:p>
    <w:p w14:paraId="3CA9604A">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②污染物的排放对地下水流场没有明显的影响</w:t>
      </w:r>
      <w:r>
        <w:rPr>
          <w:rFonts w:hint="eastAsia" w:ascii="Times New Roman" w:hAnsi="Times New Roman" w:eastAsia="宋体"/>
          <w:strike w:val="0"/>
          <w:dstrike w:val="0"/>
          <w:color w:val="auto"/>
          <w:sz w:val="24"/>
          <w:lang w:val="en-US" w:eastAsia="zh-CN"/>
        </w:rPr>
        <w:t>。</w:t>
      </w:r>
    </w:p>
    <w:p w14:paraId="2E6E7C41">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④数学模型的建立与参数的确定</w:t>
      </w:r>
    </w:p>
    <w:p w14:paraId="6355FB65">
      <w:pPr>
        <w:keepNext w:val="0"/>
        <w:keepLines w:val="0"/>
        <w:widowControl/>
        <w:suppressLineNumbers w:val="0"/>
        <w:jc w:val="left"/>
        <w:rPr>
          <w:rFonts w:hint="eastAsia" w:ascii="Times New Roman" w:hAnsi="Times New Roman" w:eastAsia="宋体"/>
          <w:strike w:val="0"/>
          <w:dstrike w:val="0"/>
          <w:color w:val="auto"/>
          <w:sz w:val="24"/>
          <w:lang w:val="en-US" w:eastAsia="zh-CN"/>
        </w:rPr>
      </w:pPr>
      <w:r>
        <w:rPr>
          <w:rFonts w:hint="eastAsia" w:ascii="Times New Roman" w:hAnsi="Times New Roman" w:eastAsia="宋体"/>
          <w:strike w:val="0"/>
          <w:dstrike w:val="0"/>
          <w:color w:val="auto"/>
          <w:sz w:val="24"/>
          <w:lang w:val="en-US" w:eastAsia="zh-CN"/>
        </w:rPr>
        <w:t>污染物在含水层中的运移模型为《环境影响评价技术导则地下水环境》（HJ610－2016），一维稳定流动二维水动力弥散问题的瞬时注入示踪剂—平面瞬时点源的预测模型：</w:t>
      </w:r>
    </w:p>
    <w:p w14:paraId="51D0EB7A">
      <w:pPr>
        <w:keepNext w:val="0"/>
        <w:keepLines w:val="0"/>
        <w:widowControl/>
        <w:suppressLineNumbers w:val="0"/>
        <w:jc w:val="center"/>
        <w:rPr>
          <w:rFonts w:hint="eastAsia" w:ascii="Times New Roman" w:hAnsi="Times New Roman" w:eastAsia="宋体"/>
          <w:strike w:val="0"/>
          <w:dstrike w:val="0"/>
          <w:color w:val="auto"/>
          <w:sz w:val="24"/>
          <w:lang w:val="en-US" w:eastAsia="zh-CN"/>
        </w:rPr>
      </w:pPr>
      <w:r>
        <w:rPr>
          <w:rFonts w:ascii="Times New Roman" w:hAnsi="Times New Roman" w:eastAsia="宋体"/>
          <w:strike w:val="0"/>
          <w:dstrike w:val="0"/>
          <w:color w:val="auto"/>
        </w:rPr>
        <w:drawing>
          <wp:inline distT="0" distB="0" distL="114300" distR="114300">
            <wp:extent cx="2790825" cy="714375"/>
            <wp:effectExtent l="0" t="0" r="9525" b="9525"/>
            <wp:docPr id="3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pic:cNvPicPr>
                      <a:picLocks noChangeAspect="1"/>
                    </pic:cNvPicPr>
                  </pic:nvPicPr>
                  <pic:blipFill>
                    <a:blip r:embed="rId46"/>
                    <a:stretch>
                      <a:fillRect/>
                    </a:stretch>
                  </pic:blipFill>
                  <pic:spPr>
                    <a:xfrm>
                      <a:off x="0" y="0"/>
                      <a:ext cx="2790825" cy="714375"/>
                    </a:xfrm>
                    <a:prstGeom prst="rect">
                      <a:avLst/>
                    </a:prstGeom>
                    <a:noFill/>
                    <a:ln>
                      <a:noFill/>
                    </a:ln>
                  </pic:spPr>
                </pic:pic>
              </a:graphicData>
            </a:graphic>
          </wp:inline>
        </w:drawing>
      </w:r>
    </w:p>
    <w:p w14:paraId="1B069377">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式中：</w:t>
      </w:r>
    </w:p>
    <w:p w14:paraId="21FF4A94">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cs="宋体"/>
          <w:strike w:val="0"/>
          <w:dstrike w:val="0"/>
          <w:color w:val="auto"/>
          <w:spacing w:val="0"/>
          <w:position w:val="0"/>
          <w:sz w:val="24"/>
          <w:szCs w:val="24"/>
          <w:highlight w:val="none"/>
        </w:rPr>
      </w:pPr>
      <w:r>
        <w:rPr>
          <w:rFonts w:hint="default" w:ascii="Times New Roman" w:hAnsi="Times New Roman" w:eastAsia="宋体" w:cs="宋体"/>
          <w:strike w:val="0"/>
          <w:dstrike w:val="0"/>
          <w:color w:val="auto"/>
          <w:spacing w:val="0"/>
          <w:position w:val="0"/>
          <w:sz w:val="24"/>
          <w:szCs w:val="24"/>
          <w:highlight w:val="none"/>
          <w:lang w:val="en-US" w:eastAsia="zh-CN"/>
        </w:rPr>
        <w:t>x</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default" w:ascii="Times New Roman" w:hAnsi="Times New Roman" w:eastAsia="宋体" w:cs="宋体"/>
          <w:strike w:val="0"/>
          <w:dstrike w:val="0"/>
          <w:color w:val="auto"/>
          <w:spacing w:val="0"/>
          <w:position w:val="0"/>
          <w:sz w:val="24"/>
          <w:szCs w:val="24"/>
          <w:highlight w:val="none"/>
          <w:lang w:val="en-US" w:eastAsia="zh-CN"/>
        </w:rPr>
        <w:t>y</w:t>
      </w:r>
      <w:r>
        <w:rPr>
          <w:rFonts w:hint="eastAsia" w:ascii="Times New Roman" w:hAnsi="Times New Roman" w:eastAsia="宋体" w:cs="宋体"/>
          <w:strike w:val="0"/>
          <w:dstrike w:val="0"/>
          <w:color w:val="auto"/>
          <w:spacing w:val="0"/>
          <w:position w:val="0"/>
          <w:sz w:val="24"/>
          <w:szCs w:val="24"/>
          <w:highlight w:val="none"/>
          <w:lang w:val="en-US" w:eastAsia="zh-CN"/>
        </w:rPr>
        <w:t>——计算点处的位置坐标；</w:t>
      </w:r>
      <w:r>
        <w:rPr>
          <w:rFonts w:hint="default" w:ascii="Times New Roman" w:hAnsi="Times New Roman" w:eastAsia="宋体" w:cs="宋体"/>
          <w:strike w:val="0"/>
          <w:dstrike w:val="0"/>
          <w:color w:val="auto"/>
          <w:spacing w:val="0"/>
          <w:position w:val="0"/>
          <w:sz w:val="24"/>
          <w:szCs w:val="24"/>
          <w:highlight w:val="none"/>
          <w:lang w:val="en-US" w:eastAsia="zh-CN"/>
        </w:rPr>
        <w:t>t</w:t>
      </w:r>
      <w:r>
        <w:rPr>
          <w:rFonts w:hint="eastAsia" w:ascii="Times New Roman" w:hAnsi="Times New Roman" w:eastAsia="宋体" w:cs="宋体"/>
          <w:strike w:val="0"/>
          <w:dstrike w:val="0"/>
          <w:color w:val="auto"/>
          <w:spacing w:val="0"/>
          <w:position w:val="0"/>
          <w:sz w:val="24"/>
          <w:szCs w:val="24"/>
          <w:highlight w:val="none"/>
          <w:lang w:val="en-US" w:eastAsia="zh-CN"/>
        </w:rPr>
        <w:t>——时间，</w:t>
      </w:r>
      <w:r>
        <w:rPr>
          <w:rFonts w:hint="default" w:ascii="Times New Roman" w:hAnsi="Times New Roman" w:eastAsia="宋体" w:cs="宋体"/>
          <w:strike w:val="0"/>
          <w:dstrike w:val="0"/>
          <w:color w:val="auto"/>
          <w:spacing w:val="0"/>
          <w:position w:val="0"/>
          <w:sz w:val="24"/>
          <w:szCs w:val="24"/>
          <w:highlight w:val="none"/>
          <w:lang w:val="en-US" w:eastAsia="zh-CN"/>
        </w:rPr>
        <w:t>d</w:t>
      </w:r>
      <w:r>
        <w:rPr>
          <w:rFonts w:hint="eastAsia" w:ascii="Times New Roman" w:hAnsi="Times New Roman" w:eastAsia="宋体" w:cs="宋体"/>
          <w:strike w:val="0"/>
          <w:dstrike w:val="0"/>
          <w:color w:val="auto"/>
          <w:spacing w:val="0"/>
          <w:position w:val="0"/>
          <w:sz w:val="24"/>
          <w:szCs w:val="24"/>
          <w:highlight w:val="none"/>
          <w:lang w:val="en-US" w:eastAsia="zh-CN"/>
        </w:rPr>
        <w:t>；</w:t>
      </w:r>
    </w:p>
    <w:p w14:paraId="79F414DE">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C</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t</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t</w:t>
      </w:r>
      <w:r>
        <w:rPr>
          <w:rFonts w:hint="eastAsia" w:ascii="Times New Roman" w:hAnsi="Times New Roman" w:eastAsia="宋体" w:cs="宋体"/>
          <w:strike w:val="0"/>
          <w:dstrike w:val="0"/>
          <w:color w:val="auto"/>
          <w:kern w:val="0"/>
          <w:sz w:val="24"/>
          <w:szCs w:val="24"/>
          <w:lang w:val="en-US" w:eastAsia="zh-CN" w:bidi="ar"/>
        </w:rPr>
        <w:t>时刻点</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处的污染物浓度，</w:t>
      </w:r>
      <w:r>
        <w:rPr>
          <w:rFonts w:hint="default" w:ascii="Times New Roman" w:hAnsi="Times New Roman" w:eastAsia="宋体" w:cs="Times New Roman"/>
          <w:strike w:val="0"/>
          <w:dstrike w:val="0"/>
          <w:color w:val="auto"/>
          <w:kern w:val="0"/>
          <w:sz w:val="24"/>
          <w:szCs w:val="24"/>
          <w:lang w:val="en-US" w:eastAsia="zh-CN" w:bidi="ar"/>
        </w:rPr>
        <w:t>mg/L</w:t>
      </w:r>
      <w:r>
        <w:rPr>
          <w:rFonts w:hint="eastAsia" w:ascii="Times New Roman" w:hAnsi="Times New Roman" w:eastAsia="宋体" w:cs="宋体"/>
          <w:strike w:val="0"/>
          <w:dstrike w:val="0"/>
          <w:color w:val="auto"/>
          <w:kern w:val="0"/>
          <w:sz w:val="24"/>
          <w:szCs w:val="24"/>
          <w:lang w:val="en-US" w:eastAsia="zh-CN" w:bidi="ar"/>
        </w:rPr>
        <w:t>；</w:t>
      </w:r>
    </w:p>
    <w:p w14:paraId="02BA186E">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宋体"/>
          <w:strike w:val="0"/>
          <w:dstrike w:val="0"/>
          <w:color w:val="auto"/>
          <w:kern w:val="0"/>
          <w:sz w:val="24"/>
          <w:szCs w:val="24"/>
          <w:lang w:val="en-US" w:eastAsia="zh-CN" w:bidi="ar"/>
        </w:rPr>
        <w:t>——含水层厚度，</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宋体"/>
          <w:strike w:val="0"/>
          <w:dstrike w:val="0"/>
          <w:color w:val="auto"/>
          <w:kern w:val="0"/>
          <w:sz w:val="24"/>
          <w:szCs w:val="24"/>
          <w:lang w:val="en-US" w:eastAsia="zh-CN" w:bidi="ar"/>
        </w:rPr>
        <w:t>；本项目浅层地下水含水层厚度约</w:t>
      </w:r>
      <w:r>
        <w:rPr>
          <w:rFonts w:hint="default" w:ascii="Times New Roman" w:hAnsi="Times New Roman" w:eastAsia="宋体" w:cs="Times New Roman"/>
          <w:strike w:val="0"/>
          <w:dstrike w:val="0"/>
          <w:color w:val="auto"/>
          <w:kern w:val="0"/>
          <w:sz w:val="24"/>
          <w:szCs w:val="24"/>
          <w:lang w:val="en-US" w:eastAsia="zh-CN" w:bidi="ar"/>
        </w:rPr>
        <w:t>95m</w:t>
      </w:r>
      <w:r>
        <w:rPr>
          <w:rFonts w:hint="eastAsia" w:ascii="Times New Roman" w:hAnsi="Times New Roman" w:eastAsia="宋体" w:cs="宋体"/>
          <w:strike w:val="0"/>
          <w:dstrike w:val="0"/>
          <w:color w:val="auto"/>
          <w:kern w:val="0"/>
          <w:sz w:val="24"/>
          <w:szCs w:val="24"/>
          <w:lang w:val="en-US" w:eastAsia="zh-CN" w:bidi="ar"/>
        </w:rPr>
        <w:t>；</w:t>
      </w:r>
    </w:p>
    <w:p w14:paraId="0FE54946">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m</w:t>
      </w:r>
      <w:r>
        <w:rPr>
          <w:rFonts w:hint="default" w:ascii="Times New Roman" w:hAnsi="Times New Roman" w:eastAsia="宋体" w:cs="Times New Roman"/>
          <w:strike w:val="0"/>
          <w:dstrike w:val="0"/>
          <w:color w:val="auto"/>
          <w:kern w:val="0"/>
          <w:sz w:val="24"/>
          <w:szCs w:val="16"/>
          <w:vertAlign w:val="subscript"/>
          <w:lang w:val="en-US" w:eastAsia="zh-CN" w:bidi="ar"/>
        </w:rPr>
        <w:t>M</w:t>
      </w:r>
      <w:r>
        <w:rPr>
          <w:rFonts w:hint="eastAsia" w:ascii="Times New Roman" w:hAnsi="Times New Roman" w:eastAsia="宋体" w:cs="宋体"/>
          <w:strike w:val="0"/>
          <w:dstrike w:val="0"/>
          <w:color w:val="auto"/>
          <w:kern w:val="0"/>
          <w:sz w:val="24"/>
          <w:szCs w:val="24"/>
          <w:lang w:val="en-US" w:eastAsia="zh-CN" w:bidi="ar"/>
        </w:rPr>
        <w:t>——长度为</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宋体"/>
          <w:strike w:val="0"/>
          <w:dstrike w:val="0"/>
          <w:color w:val="auto"/>
          <w:kern w:val="0"/>
          <w:sz w:val="24"/>
          <w:szCs w:val="24"/>
          <w:lang w:val="en-US" w:eastAsia="zh-CN" w:bidi="ar"/>
        </w:rPr>
        <w:t>的线源瞬时注入示踪剂的质量；</w:t>
      </w:r>
    </w:p>
    <w:p w14:paraId="5F160A82">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n</w:t>
      </w:r>
      <w:r>
        <w:rPr>
          <w:rFonts w:hint="eastAsia" w:ascii="Times New Roman" w:hAnsi="Times New Roman" w:eastAsia="宋体" w:cs="宋体"/>
          <w:strike w:val="0"/>
          <w:dstrike w:val="0"/>
          <w:color w:val="auto"/>
          <w:kern w:val="0"/>
          <w:sz w:val="24"/>
          <w:szCs w:val="24"/>
          <w:lang w:val="en-US" w:eastAsia="zh-CN" w:bidi="ar"/>
        </w:rPr>
        <w:t>——有效孔隙度，量纲为一，含水层岩性主要为粉细砂，</w:t>
      </w:r>
      <w:r>
        <w:rPr>
          <w:rFonts w:hint="default" w:ascii="Times New Roman" w:hAnsi="Times New Roman" w:eastAsia="宋体" w:cs="Times New Roman"/>
          <w:strike w:val="0"/>
          <w:dstrike w:val="0"/>
          <w:color w:val="auto"/>
          <w:kern w:val="0"/>
          <w:sz w:val="24"/>
          <w:szCs w:val="24"/>
          <w:lang w:val="en-US" w:eastAsia="zh-CN" w:bidi="ar"/>
        </w:rPr>
        <w:t>n=0.21</w:t>
      </w:r>
      <w:r>
        <w:rPr>
          <w:rFonts w:hint="eastAsia" w:ascii="Times New Roman" w:hAnsi="Times New Roman" w:eastAsia="宋体" w:cs="宋体"/>
          <w:strike w:val="0"/>
          <w:dstrike w:val="0"/>
          <w:color w:val="auto"/>
          <w:kern w:val="0"/>
          <w:sz w:val="24"/>
          <w:szCs w:val="24"/>
          <w:lang w:val="en-US" w:eastAsia="zh-CN" w:bidi="ar"/>
        </w:rPr>
        <w:t>；</w:t>
      </w:r>
    </w:p>
    <w:p w14:paraId="0671FA04">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u</w:t>
      </w:r>
      <w:r>
        <w:rPr>
          <w:rFonts w:hint="eastAsia" w:ascii="Times New Roman" w:hAnsi="Times New Roman" w:eastAsia="宋体" w:cs="宋体"/>
          <w:strike w:val="0"/>
          <w:dstrike w:val="0"/>
          <w:color w:val="auto"/>
          <w:kern w:val="0"/>
          <w:sz w:val="24"/>
          <w:szCs w:val="24"/>
          <w:lang w:val="en-US" w:eastAsia="zh-CN" w:bidi="ar"/>
        </w:rPr>
        <w:t>——地下水流速度，</w:t>
      </w:r>
      <w:r>
        <w:rPr>
          <w:rFonts w:hint="default" w:ascii="Times New Roman" w:hAnsi="Times New Roman" w:eastAsia="宋体" w:cs="Times New Roman"/>
          <w:strike w:val="0"/>
          <w:dstrike w:val="0"/>
          <w:color w:val="auto"/>
          <w:kern w:val="0"/>
          <w:sz w:val="24"/>
          <w:szCs w:val="24"/>
          <w:lang w:val="en-US" w:eastAsia="zh-CN" w:bidi="ar"/>
        </w:rPr>
        <w:t>m/d</w:t>
      </w:r>
      <w:r>
        <w:rPr>
          <w:rFonts w:hint="eastAsia" w:ascii="Times New Roman" w:hAnsi="Times New Roman" w:eastAsia="宋体" w:cs="宋体"/>
          <w:strike w:val="0"/>
          <w:dstrike w:val="0"/>
          <w:color w:val="auto"/>
          <w:kern w:val="0"/>
          <w:sz w:val="24"/>
          <w:szCs w:val="24"/>
          <w:lang w:val="en-US" w:eastAsia="zh-CN" w:bidi="ar"/>
        </w:rPr>
        <w:t>。</w:t>
      </w:r>
      <w:r>
        <w:rPr>
          <w:rFonts w:hint="eastAsia" w:ascii="Times New Roman" w:hAnsi="Times New Roman" w:eastAsia="宋体" w:cs="宋体"/>
          <w:strike w:val="0"/>
          <w:dstrike w:val="0"/>
          <w:color w:val="auto"/>
          <w:kern w:val="0"/>
          <w:sz w:val="24"/>
          <w:szCs w:val="24"/>
          <w:lang w:val="en-US" w:eastAsia="zh-CN" w:bidi="ar"/>
        </w:rPr>
        <w:t>根据项目场地地层岩性，参照地下水导则附录</w:t>
      </w:r>
      <w:r>
        <w:rPr>
          <w:rFonts w:hint="default" w:ascii="Times New Roman" w:hAnsi="Times New Roman" w:eastAsia="宋体" w:cs="Times New Roman"/>
          <w:strike w:val="0"/>
          <w:dstrike w:val="0"/>
          <w:color w:val="auto"/>
          <w:kern w:val="0"/>
          <w:sz w:val="24"/>
          <w:szCs w:val="24"/>
          <w:lang w:val="en-US" w:eastAsia="zh-CN" w:bidi="ar"/>
        </w:rPr>
        <w:t>B</w:t>
      </w:r>
      <w:r>
        <w:rPr>
          <w:rFonts w:hint="eastAsia" w:ascii="Times New Roman" w:hAnsi="Times New Roman" w:eastAsia="宋体" w:cs="宋体"/>
          <w:strike w:val="0"/>
          <w:dstrike w:val="0"/>
          <w:color w:val="auto"/>
          <w:kern w:val="0"/>
          <w:sz w:val="24"/>
          <w:szCs w:val="24"/>
          <w:lang w:val="en-US" w:eastAsia="zh-CN" w:bidi="ar"/>
        </w:rPr>
        <w:t>，潜水含水层平均渗透系数</w:t>
      </w:r>
      <w:r>
        <w:rPr>
          <w:rFonts w:hint="default" w:ascii="Times New Roman" w:hAnsi="Times New Roman" w:eastAsia="宋体" w:cs="Times New Roman"/>
          <w:strike w:val="0"/>
          <w:dstrike w:val="0"/>
          <w:color w:val="auto"/>
          <w:kern w:val="0"/>
          <w:sz w:val="24"/>
          <w:szCs w:val="24"/>
          <w:lang w:val="en-US" w:eastAsia="zh-CN" w:bidi="ar"/>
        </w:rPr>
        <w:t>K</w:t>
      </w:r>
      <w:r>
        <w:rPr>
          <w:rFonts w:hint="eastAsia" w:ascii="Times New Roman" w:hAnsi="Times New Roman" w:eastAsia="宋体" w:cs="宋体"/>
          <w:strike w:val="0"/>
          <w:dstrike w:val="0"/>
          <w:color w:val="auto"/>
          <w:kern w:val="0"/>
          <w:sz w:val="24"/>
          <w:szCs w:val="24"/>
          <w:lang w:val="en-US" w:eastAsia="zh-CN" w:bidi="ar"/>
        </w:rPr>
        <w:t>取值为</w:t>
      </w:r>
      <w:r>
        <w:rPr>
          <w:rFonts w:hint="default" w:ascii="Times New Roman" w:hAnsi="Times New Roman" w:eastAsia="宋体" w:cs="Times New Roman"/>
          <w:strike w:val="0"/>
          <w:dstrike w:val="0"/>
          <w:color w:val="auto"/>
          <w:kern w:val="0"/>
          <w:sz w:val="24"/>
          <w:szCs w:val="24"/>
          <w:lang w:val="en-US" w:eastAsia="zh-CN" w:bidi="ar"/>
        </w:rPr>
        <w:t>5m/d</w:t>
      </w:r>
      <w:r>
        <w:rPr>
          <w:rFonts w:hint="eastAsia" w:ascii="Times New Roman" w:hAnsi="Times New Roman" w:eastAsia="宋体" w:cs="宋体"/>
          <w:strike w:val="0"/>
          <w:dstrike w:val="0"/>
          <w:color w:val="auto"/>
          <w:kern w:val="0"/>
          <w:sz w:val="24"/>
          <w:szCs w:val="24"/>
          <w:lang w:val="en-US" w:eastAsia="zh-CN" w:bidi="ar"/>
        </w:rPr>
        <w:t>，水力坡度</w:t>
      </w:r>
      <w:r>
        <w:rPr>
          <w:rFonts w:hint="default" w:ascii="Times New Roman" w:hAnsi="Times New Roman" w:eastAsia="宋体" w:cs="Times New Roman"/>
          <w:strike w:val="0"/>
          <w:dstrike w:val="0"/>
          <w:color w:val="auto"/>
          <w:kern w:val="0"/>
          <w:sz w:val="24"/>
          <w:szCs w:val="24"/>
          <w:lang w:val="en-US" w:eastAsia="zh-CN" w:bidi="ar"/>
        </w:rPr>
        <w:t>I</w:t>
      </w:r>
      <w:r>
        <w:rPr>
          <w:rFonts w:hint="eastAsia" w:ascii="Times New Roman" w:hAnsi="Times New Roman" w:eastAsia="宋体" w:cs="宋体"/>
          <w:strike w:val="0"/>
          <w:dstrike w:val="0"/>
          <w:color w:val="auto"/>
          <w:kern w:val="0"/>
          <w:sz w:val="24"/>
          <w:szCs w:val="24"/>
          <w:lang w:val="en-US" w:eastAsia="zh-CN" w:bidi="ar"/>
        </w:rPr>
        <w:t>为</w:t>
      </w:r>
      <w:r>
        <w:rPr>
          <w:rFonts w:hint="default" w:ascii="Times New Roman" w:hAnsi="Times New Roman" w:eastAsia="宋体" w:cs="Times New Roman"/>
          <w:strike w:val="0"/>
          <w:dstrike w:val="0"/>
          <w:color w:val="auto"/>
          <w:kern w:val="0"/>
          <w:sz w:val="24"/>
          <w:szCs w:val="24"/>
          <w:lang w:val="en-US" w:eastAsia="zh-CN" w:bidi="ar"/>
        </w:rPr>
        <w:t>2.78‰</w:t>
      </w:r>
      <w:r>
        <w:rPr>
          <w:rFonts w:hint="eastAsia" w:ascii="Times New Roman" w:hAnsi="Times New Roman" w:eastAsia="宋体" w:cs="宋体"/>
          <w:strike w:val="0"/>
          <w:dstrike w:val="0"/>
          <w:color w:val="auto"/>
          <w:kern w:val="0"/>
          <w:sz w:val="24"/>
          <w:szCs w:val="24"/>
          <w:lang w:val="en-US" w:eastAsia="zh-CN" w:bidi="ar"/>
        </w:rPr>
        <w:t>，因此地下水的渗透流速</w:t>
      </w:r>
      <w:r>
        <w:rPr>
          <w:rFonts w:hint="default" w:ascii="Times New Roman" w:hAnsi="Times New Roman" w:eastAsia="宋体" w:cs="Times New Roman"/>
          <w:strike w:val="0"/>
          <w:dstrike w:val="0"/>
          <w:color w:val="auto"/>
          <w:kern w:val="0"/>
          <w:sz w:val="24"/>
          <w:szCs w:val="24"/>
          <w:lang w:val="en-US" w:eastAsia="zh-CN" w:bidi="ar"/>
        </w:rPr>
        <w:t>u=K×I/n=0.066m/d</w:t>
      </w:r>
      <w:r>
        <w:rPr>
          <w:rFonts w:hint="eastAsia" w:ascii="Times New Roman" w:hAnsi="Times New Roman" w:eastAsia="宋体" w:cs="宋体"/>
          <w:strike w:val="0"/>
          <w:dstrike w:val="0"/>
          <w:color w:val="auto"/>
          <w:kern w:val="0"/>
          <w:sz w:val="24"/>
          <w:szCs w:val="24"/>
          <w:lang w:val="en-US" w:eastAsia="zh-CN" w:bidi="ar"/>
        </w:rPr>
        <w:t>；</w:t>
      </w:r>
    </w:p>
    <w:p w14:paraId="0D666F68">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L</w:t>
      </w:r>
      <w:r>
        <w:rPr>
          <w:rFonts w:hint="eastAsia" w:ascii="Times New Roman" w:hAnsi="Times New Roman" w:eastAsia="宋体" w:cs="宋体"/>
          <w:strike w:val="0"/>
          <w:dstrike w:val="0"/>
          <w:color w:val="auto"/>
          <w:kern w:val="0"/>
          <w:sz w:val="24"/>
          <w:szCs w:val="24"/>
          <w:lang w:val="en-US" w:eastAsia="zh-CN" w:bidi="ar"/>
        </w:rPr>
        <w:t>——纵向</w:t>
      </w:r>
      <w:r>
        <w:rPr>
          <w:rFonts w:hint="default" w:ascii="Times New Roman" w:hAnsi="Times New Roman" w:eastAsia="宋体" w:cs="Times New Roman"/>
          <w:strike w:val="0"/>
          <w:dstrike w:val="0"/>
          <w:color w:val="auto"/>
          <w:kern w:val="0"/>
          <w:sz w:val="24"/>
          <w:szCs w:val="24"/>
          <w:lang w:val="en-US" w:eastAsia="zh-CN" w:bidi="ar"/>
        </w:rPr>
        <w:t>x</w:t>
      </w:r>
      <w:r>
        <w:rPr>
          <w:rFonts w:hint="eastAsia" w:ascii="Times New Roman" w:hAnsi="Times New Roman" w:eastAsia="宋体" w:cs="宋体"/>
          <w:strike w:val="0"/>
          <w:dstrike w:val="0"/>
          <w:color w:val="auto"/>
          <w:kern w:val="0"/>
          <w:sz w:val="24"/>
          <w:szCs w:val="24"/>
          <w:lang w:val="en-US" w:eastAsia="zh-CN" w:bidi="ar"/>
        </w:rPr>
        <w:t>方向的弥散系数，</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，根据资料，纵向弥散度</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=10m</w:t>
      </w:r>
      <w:r>
        <w:rPr>
          <w:rFonts w:hint="eastAsia" w:ascii="Times New Roman" w:hAnsi="Times New Roman" w:eastAsia="宋体" w:cs="宋体"/>
          <w:strike w:val="0"/>
          <w:dstrike w:val="0"/>
          <w:color w:val="auto"/>
          <w:kern w:val="0"/>
          <w:sz w:val="24"/>
          <w:szCs w:val="24"/>
          <w:lang w:val="en-US" w:eastAsia="zh-CN" w:bidi="ar"/>
        </w:rPr>
        <w:t>，纵向弥散系数</w:t>
      </w: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×u=0.66m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w:t>
      </w:r>
    </w:p>
    <w:p w14:paraId="4A762A57">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T</w:t>
      </w:r>
      <w:r>
        <w:rPr>
          <w:rFonts w:hint="eastAsia" w:ascii="Times New Roman" w:hAnsi="Times New Roman" w:eastAsia="宋体" w:cs="宋体"/>
          <w:strike w:val="0"/>
          <w:dstrike w:val="0"/>
          <w:color w:val="auto"/>
          <w:kern w:val="0"/>
          <w:sz w:val="24"/>
          <w:szCs w:val="24"/>
          <w:lang w:val="en-US" w:eastAsia="zh-CN" w:bidi="ar"/>
        </w:rPr>
        <w:t>——横向</w:t>
      </w:r>
      <w:r>
        <w:rPr>
          <w:rFonts w:hint="default" w:ascii="Times New Roman" w:hAnsi="Times New Roman" w:eastAsia="宋体" w:cs="Times New Roman"/>
          <w:strike w:val="0"/>
          <w:dstrike w:val="0"/>
          <w:color w:val="auto"/>
          <w:kern w:val="0"/>
          <w:sz w:val="24"/>
          <w:szCs w:val="24"/>
          <w:lang w:val="en-US" w:eastAsia="zh-CN" w:bidi="ar"/>
        </w:rPr>
        <w:t>y</w:t>
      </w:r>
      <w:r>
        <w:rPr>
          <w:rFonts w:hint="eastAsia" w:ascii="Times New Roman" w:hAnsi="Times New Roman" w:eastAsia="宋体" w:cs="宋体"/>
          <w:strike w:val="0"/>
          <w:dstrike w:val="0"/>
          <w:color w:val="auto"/>
          <w:kern w:val="0"/>
          <w:sz w:val="24"/>
          <w:szCs w:val="24"/>
          <w:lang w:val="en-US" w:eastAsia="zh-CN" w:bidi="ar"/>
        </w:rPr>
        <w:t>方向的弥散系数，</w:t>
      </w:r>
      <w:r>
        <w:rPr>
          <w:rFonts w:hint="default" w:ascii="Times New Roman" w:hAnsi="Times New Roman" w:eastAsia="宋体" w:cs="Times New Roman"/>
          <w:strike w:val="0"/>
          <w:dstrike w:val="0"/>
          <w:color w:val="auto"/>
          <w:kern w:val="0"/>
          <w:sz w:val="24"/>
          <w:szCs w:val="24"/>
          <w:lang w:val="en-US" w:eastAsia="zh-CN" w:bidi="ar"/>
        </w:rPr>
        <w:t>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，横向弥散度</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T</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L</w:t>
      </w:r>
      <w:r>
        <w:rPr>
          <w:rFonts w:hint="default" w:ascii="Times New Roman" w:hAnsi="Times New Roman" w:eastAsia="宋体" w:cs="Times New Roman"/>
          <w:strike w:val="0"/>
          <w:dstrike w:val="0"/>
          <w:color w:val="auto"/>
          <w:kern w:val="0"/>
          <w:sz w:val="24"/>
          <w:szCs w:val="24"/>
          <w:lang w:val="en-US" w:eastAsia="zh-CN" w:bidi="ar"/>
        </w:rPr>
        <w:t>×0.1</w:t>
      </w:r>
      <w:r>
        <w:rPr>
          <w:rFonts w:hint="eastAsia" w:ascii="Times New Roman" w:hAnsi="Times New Roman" w:eastAsia="宋体" w:cs="宋体"/>
          <w:strike w:val="0"/>
          <w:dstrike w:val="0"/>
          <w:color w:val="auto"/>
          <w:kern w:val="0"/>
          <w:sz w:val="24"/>
          <w:szCs w:val="24"/>
          <w:lang w:val="en-US" w:eastAsia="zh-CN" w:bidi="ar"/>
        </w:rPr>
        <w:t>，横向弥散系数</w:t>
      </w:r>
      <w:r>
        <w:rPr>
          <w:rFonts w:hint="default" w:ascii="Times New Roman" w:hAnsi="Times New Roman" w:eastAsia="宋体" w:cs="Times New Roman"/>
          <w:strike w:val="0"/>
          <w:dstrike w:val="0"/>
          <w:color w:val="auto"/>
          <w:kern w:val="0"/>
          <w:sz w:val="24"/>
          <w:szCs w:val="24"/>
          <w:lang w:val="en-US" w:eastAsia="zh-CN" w:bidi="ar"/>
        </w:rPr>
        <w:t>D</w:t>
      </w:r>
      <w:r>
        <w:rPr>
          <w:rFonts w:hint="default" w:ascii="Times New Roman" w:hAnsi="Times New Roman" w:eastAsia="宋体" w:cs="Times New Roman"/>
          <w:strike w:val="0"/>
          <w:dstrike w:val="0"/>
          <w:color w:val="auto"/>
          <w:kern w:val="0"/>
          <w:sz w:val="24"/>
          <w:szCs w:val="16"/>
          <w:lang w:val="en-US" w:eastAsia="zh-CN" w:bidi="ar"/>
        </w:rPr>
        <w:t>T</w:t>
      </w:r>
      <w:r>
        <w:rPr>
          <w:rFonts w:hint="default" w:ascii="Times New Roman" w:hAnsi="Times New Roman" w:eastAsia="宋体" w:cs="Times New Roman"/>
          <w:strike w:val="0"/>
          <w:dstrike w:val="0"/>
          <w:color w:val="auto"/>
          <w:kern w:val="0"/>
          <w:sz w:val="24"/>
          <w:szCs w:val="24"/>
          <w:lang w:val="en-US" w:eastAsia="zh-CN" w:bidi="ar"/>
        </w:rPr>
        <w:t>=α</w:t>
      </w:r>
      <w:r>
        <w:rPr>
          <w:rFonts w:hint="default" w:ascii="Times New Roman" w:hAnsi="Times New Roman" w:eastAsia="宋体" w:cs="Times New Roman"/>
          <w:strike w:val="0"/>
          <w:dstrike w:val="0"/>
          <w:color w:val="auto"/>
          <w:kern w:val="0"/>
          <w:sz w:val="24"/>
          <w:szCs w:val="16"/>
          <w:lang w:val="en-US" w:eastAsia="zh-CN" w:bidi="ar"/>
        </w:rPr>
        <w:t>T</w:t>
      </w:r>
      <w:r>
        <w:rPr>
          <w:rFonts w:hint="default" w:ascii="Times New Roman" w:hAnsi="Times New Roman" w:eastAsia="宋体" w:cs="Times New Roman"/>
          <w:strike w:val="0"/>
          <w:dstrike w:val="0"/>
          <w:color w:val="auto"/>
          <w:kern w:val="0"/>
          <w:sz w:val="24"/>
          <w:szCs w:val="24"/>
          <w:lang w:val="en-US" w:eastAsia="zh-CN" w:bidi="ar"/>
        </w:rPr>
        <w:t>×u=0.066m</w:t>
      </w:r>
      <w:r>
        <w:rPr>
          <w:rFonts w:hint="eastAsia" w:ascii="Times New Roman" w:hAnsi="Times New Roman" w:eastAsia="宋体" w:cs="Times New Roman"/>
          <w:strike w:val="0"/>
          <w:dstrike w:val="0"/>
          <w:color w:val="auto"/>
          <w:kern w:val="0"/>
          <w:sz w:val="24"/>
          <w:szCs w:val="24"/>
          <w:vertAlign w:val="superscript"/>
          <w:lang w:val="en-US" w:eastAsia="zh-CN" w:bidi="ar"/>
        </w:rPr>
        <w:t>2</w:t>
      </w:r>
      <w:r>
        <w:rPr>
          <w:rFonts w:hint="default" w:ascii="Times New Roman" w:hAnsi="Times New Roman" w:eastAsia="宋体" w:cs="Times New Roman"/>
          <w:strike w:val="0"/>
          <w:dstrike w:val="0"/>
          <w:color w:val="auto"/>
          <w:kern w:val="0"/>
          <w:sz w:val="24"/>
          <w:szCs w:val="24"/>
          <w:lang w:val="en-US" w:eastAsia="zh-CN" w:bidi="ar"/>
        </w:rPr>
        <w:t>/d</w:t>
      </w:r>
      <w:r>
        <w:rPr>
          <w:rFonts w:hint="eastAsia" w:ascii="Times New Roman" w:hAnsi="Times New Roman" w:eastAsia="宋体" w:cs="宋体"/>
          <w:strike w:val="0"/>
          <w:dstrike w:val="0"/>
          <w:color w:val="auto"/>
          <w:kern w:val="0"/>
          <w:sz w:val="24"/>
          <w:szCs w:val="24"/>
          <w:lang w:val="en-US" w:eastAsia="zh-CN" w:bidi="ar"/>
        </w:rPr>
        <w:t>；</w:t>
      </w:r>
    </w:p>
    <w:p w14:paraId="514C1564">
      <w:pPr>
        <w:keepNext w:val="0"/>
        <w:keepLines w:val="0"/>
        <w:widowControl/>
        <w:suppressLineNumbers w:val="0"/>
        <w:jc w:val="left"/>
        <w:rPr>
          <w:rFonts w:ascii="Times New Roman" w:hAnsi="Times New Roman" w:eastAsia="宋体"/>
          <w:strike w:val="0"/>
          <w:dstrike w:val="0"/>
          <w:color w:val="auto"/>
          <w:sz w:val="24"/>
        </w:rPr>
      </w:pPr>
      <w:r>
        <w:rPr>
          <w:rFonts w:hint="default" w:ascii="Times New Roman" w:hAnsi="Times New Roman" w:eastAsia="宋体" w:cs="Times New Roman"/>
          <w:strike w:val="0"/>
          <w:dstrike w:val="0"/>
          <w:color w:val="auto"/>
          <w:kern w:val="0"/>
          <w:sz w:val="24"/>
          <w:szCs w:val="24"/>
          <w:lang w:val="en-US" w:eastAsia="zh-CN" w:bidi="ar"/>
        </w:rPr>
        <w:t>Π</w:t>
      </w:r>
      <w:r>
        <w:rPr>
          <w:rFonts w:hint="eastAsia" w:ascii="Times New Roman" w:hAnsi="Times New Roman" w:eastAsia="宋体" w:cs="宋体"/>
          <w:strike w:val="0"/>
          <w:dstrike w:val="0"/>
          <w:color w:val="auto"/>
          <w:kern w:val="0"/>
          <w:sz w:val="24"/>
          <w:szCs w:val="24"/>
          <w:lang w:val="en-US" w:eastAsia="zh-CN" w:bidi="ar"/>
        </w:rPr>
        <w:t>——圆周率</w:t>
      </w:r>
      <w:r>
        <w:rPr>
          <w:rFonts w:hint="eastAsia" w:ascii="Times New Roman" w:hAnsi="Times New Roman" w:eastAsia="宋体" w:cs="宋体"/>
          <w:strike w:val="0"/>
          <w:dstrike w:val="0"/>
          <w:color w:val="auto"/>
          <w:kern w:val="0"/>
          <w:sz w:val="24"/>
          <w:szCs w:val="24"/>
          <w:lang w:val="en-US" w:eastAsia="zh-CN" w:bidi="ar"/>
        </w:rPr>
        <w:t>。</w:t>
      </w:r>
    </w:p>
    <w:p w14:paraId="7AEDC7C6">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⑤预测结果与分析</w:t>
      </w:r>
    </w:p>
    <w:p w14:paraId="09DC67E0">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非正常状况下污染物在含水层中运移，在水动力弥散作用下，瞬时注入的污染物示踪剂将产生呈椭圆形的污染晕，污染晕中污染物的浓度由中心向四周逐渐降低</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随着水动力弥散作用的进行，污染晕将不断沿水流方向运移，污染晕的范围也会发生变化</w:t>
      </w:r>
      <w:r>
        <w:rPr>
          <w:rFonts w:hint="eastAsia" w:ascii="Times New Roman" w:hAnsi="Times New Roman" w:eastAsia="宋体" w:cs="宋体"/>
          <w:strike w:val="0"/>
          <w:dstrike w:val="0"/>
          <w:color w:val="auto"/>
          <w:spacing w:val="0"/>
          <w:position w:val="0"/>
          <w:sz w:val="24"/>
          <w:szCs w:val="24"/>
          <w:highlight w:val="none"/>
          <w:lang w:val="en-US" w:eastAsia="zh-CN"/>
        </w:rPr>
        <w:t>。</w:t>
      </w:r>
    </w:p>
    <w:p w14:paraId="6C3FD300">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在本次预测中，预测了耗氧量、氨氮在不同时间段的运移情况，主要分析了预测因子的</w:t>
      </w:r>
      <w:r>
        <w:rPr>
          <w:rFonts w:hint="eastAsia" w:ascii="Times New Roman" w:hAnsi="Times New Roman" w:eastAsia="宋体" w:cs="宋体"/>
          <w:strike w:val="0"/>
          <w:dstrike w:val="0"/>
          <w:color w:val="auto"/>
          <w:spacing w:val="0"/>
          <w:position w:val="0"/>
          <w:sz w:val="24"/>
          <w:szCs w:val="24"/>
          <w:highlight w:val="none"/>
          <w:lang w:val="en-US" w:eastAsia="zh-CN"/>
        </w:rPr>
        <w:t>在厂界的</w:t>
      </w:r>
      <w:r>
        <w:rPr>
          <w:rFonts w:hint="eastAsia" w:ascii="Times New Roman" w:hAnsi="Times New Roman" w:eastAsia="宋体" w:cs="宋体"/>
          <w:strike w:val="0"/>
          <w:dstrike w:val="0"/>
          <w:color w:val="auto"/>
          <w:spacing w:val="0"/>
          <w:position w:val="0"/>
          <w:sz w:val="24"/>
          <w:szCs w:val="24"/>
          <w:highlight w:val="none"/>
          <w:lang w:val="en-US" w:eastAsia="zh-CN"/>
        </w:rPr>
        <w:t>污染晕的最大浓度</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预测结果见</w:t>
      </w:r>
      <w:r>
        <w:rPr>
          <w:rFonts w:hint="eastAsia" w:ascii="Times New Roman" w:hAnsi="Times New Roman" w:eastAsia="宋体" w:cs="宋体"/>
          <w:strike w:val="0"/>
          <w:dstrike w:val="0"/>
          <w:color w:val="auto"/>
          <w:spacing w:val="0"/>
          <w:position w:val="0"/>
          <w:sz w:val="24"/>
          <w:szCs w:val="24"/>
          <w:highlight w:val="none"/>
          <w:lang w:val="en-US" w:eastAsia="zh-CN"/>
        </w:rPr>
        <w:t>下图。</w:t>
      </w:r>
    </w:p>
    <w:p w14:paraId="1F73904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ascii="Times New Roman" w:hAnsi="Times New Roman" w:eastAsia="宋体"/>
          <w:color w:val="auto"/>
        </w:rPr>
      </w:pPr>
      <w:r>
        <w:rPr>
          <w:rFonts w:ascii="Times New Roman" w:hAnsi="Times New Roman" w:eastAsia="宋体"/>
          <w:color w:val="auto"/>
        </w:rPr>
        <w:drawing>
          <wp:inline distT="0" distB="0" distL="114300" distR="114300">
            <wp:extent cx="5271770" cy="3234055"/>
            <wp:effectExtent l="0" t="0" r="5080" b="4445"/>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47"/>
                    <a:stretch>
                      <a:fillRect/>
                    </a:stretch>
                  </pic:blipFill>
                  <pic:spPr>
                    <a:xfrm>
                      <a:off x="0" y="0"/>
                      <a:ext cx="5271770" cy="3234055"/>
                    </a:xfrm>
                    <a:prstGeom prst="rect">
                      <a:avLst/>
                    </a:prstGeom>
                    <a:noFill/>
                    <a:ln>
                      <a:noFill/>
                    </a:ln>
                  </pic:spPr>
                </pic:pic>
              </a:graphicData>
            </a:graphic>
          </wp:inline>
        </w:drawing>
      </w:r>
    </w:p>
    <w:p w14:paraId="7DCDF8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图5.2-1耗氧量厂界浓度预测</w:t>
      </w:r>
    </w:p>
    <w:p w14:paraId="1B0C54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rPr>
      </w:pPr>
      <w:r>
        <w:rPr>
          <w:rFonts w:ascii="Times New Roman" w:hAnsi="Times New Roman" w:eastAsia="宋体"/>
          <w:color w:val="auto"/>
        </w:rPr>
        <w:drawing>
          <wp:inline distT="0" distB="0" distL="114300" distR="114300">
            <wp:extent cx="5270500" cy="3289300"/>
            <wp:effectExtent l="0" t="0" r="6350" b="6350"/>
            <wp:docPr id="1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3"/>
                    <pic:cNvPicPr>
                      <a:picLocks noChangeAspect="1"/>
                    </pic:cNvPicPr>
                  </pic:nvPicPr>
                  <pic:blipFill>
                    <a:blip r:embed="rId48"/>
                    <a:stretch>
                      <a:fillRect/>
                    </a:stretch>
                  </pic:blipFill>
                  <pic:spPr>
                    <a:xfrm>
                      <a:off x="0" y="0"/>
                      <a:ext cx="5270500" cy="3289300"/>
                    </a:xfrm>
                    <a:prstGeom prst="rect">
                      <a:avLst/>
                    </a:prstGeom>
                    <a:noFill/>
                    <a:ln>
                      <a:noFill/>
                    </a:ln>
                  </pic:spPr>
                </pic:pic>
              </a:graphicData>
            </a:graphic>
          </wp:inline>
        </w:drawing>
      </w:r>
    </w:p>
    <w:p w14:paraId="4B30CA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图5.2-2氨氮厂界浓度预测</w:t>
      </w:r>
    </w:p>
    <w:p w14:paraId="264B6334">
      <w:pPr>
        <w:ind w:firstLine="480"/>
        <w:rPr>
          <w:rFonts w:hint="eastAsia" w:ascii="Times New Roman" w:hAnsi="Times New Roman" w:eastAsia="宋体" w:cs="宋体"/>
          <w:color w:val="auto"/>
          <w:szCs w:val="24"/>
          <w:lang w:eastAsia="zh-CN"/>
        </w:rPr>
      </w:pPr>
      <w:r>
        <w:rPr>
          <w:rFonts w:hint="eastAsia" w:ascii="Times New Roman" w:hAnsi="Times New Roman" w:eastAsia="宋体" w:cs="宋体"/>
          <w:color w:val="auto"/>
          <w:szCs w:val="24"/>
        </w:rPr>
        <w:t>由预测结果可知，耗氧量</w:t>
      </w:r>
      <w:r>
        <w:rPr>
          <w:rFonts w:hint="eastAsia" w:ascii="Times New Roman" w:hAnsi="Times New Roman" w:eastAsia="宋体" w:cs="宋体"/>
          <w:color w:val="auto"/>
          <w:szCs w:val="24"/>
          <w:lang w:val="en-US" w:eastAsia="zh-CN"/>
        </w:rPr>
        <w:t>和氨氮厂界</w:t>
      </w:r>
      <w:r>
        <w:rPr>
          <w:rFonts w:hint="eastAsia" w:ascii="Times New Roman" w:hAnsi="Times New Roman" w:eastAsia="宋体" w:cs="宋体"/>
          <w:color w:val="auto"/>
          <w:szCs w:val="24"/>
        </w:rPr>
        <w:t>污染晕中心点最高浓度</w:t>
      </w:r>
      <w:r>
        <w:rPr>
          <w:rFonts w:hint="eastAsia" w:ascii="Times New Roman" w:hAnsi="Times New Roman" w:eastAsia="宋体" w:cs="宋体"/>
          <w:color w:val="auto"/>
          <w:szCs w:val="24"/>
          <w:lang w:val="en-US" w:eastAsia="zh-CN"/>
        </w:rPr>
        <w:t>出现时间为110天，分别为</w:t>
      </w:r>
      <w:r>
        <w:rPr>
          <w:rFonts w:hint="eastAsia" w:ascii="Times New Roman" w:hAnsi="Times New Roman" w:eastAsia="宋体" w:cs="宋体"/>
          <w:color w:val="auto"/>
          <w:szCs w:val="24"/>
        </w:rPr>
        <w:t>0.0</w:t>
      </w:r>
      <w:r>
        <w:rPr>
          <w:rFonts w:hint="eastAsia" w:ascii="Times New Roman" w:hAnsi="Times New Roman" w:eastAsia="宋体" w:cs="宋体"/>
          <w:color w:val="auto"/>
          <w:szCs w:val="24"/>
          <w:lang w:val="en-US" w:eastAsia="zh-CN"/>
        </w:rPr>
        <w:t>712</w:t>
      </w:r>
      <w:r>
        <w:rPr>
          <w:rFonts w:hint="eastAsia" w:ascii="Times New Roman" w:hAnsi="Times New Roman" w:eastAsia="宋体" w:cs="宋体"/>
          <w:color w:val="auto"/>
          <w:szCs w:val="24"/>
        </w:rPr>
        <w:t>mg/L</w:t>
      </w:r>
      <w:r>
        <w:rPr>
          <w:rFonts w:hint="eastAsia" w:ascii="Times New Roman" w:hAnsi="Times New Roman" w:eastAsia="宋体" w:cs="宋体"/>
          <w:color w:val="auto"/>
          <w:szCs w:val="24"/>
          <w:lang w:val="en-US" w:eastAsia="zh-CN"/>
        </w:rPr>
        <w:t>和0.0107</w:t>
      </w:r>
      <w:r>
        <w:rPr>
          <w:rFonts w:hint="eastAsia" w:ascii="Times New Roman" w:hAnsi="Times New Roman" w:eastAsia="宋体" w:cs="宋体"/>
          <w:color w:val="auto"/>
          <w:szCs w:val="24"/>
        </w:rPr>
        <w:t>mg/L，污染晕中心点最高浓度</w:t>
      </w:r>
      <w:r>
        <w:rPr>
          <w:rFonts w:hint="eastAsia" w:ascii="Times New Roman" w:hAnsi="Times New Roman" w:eastAsia="宋体" w:cs="宋体"/>
          <w:color w:val="auto"/>
          <w:szCs w:val="24"/>
          <w:lang w:val="en-US" w:eastAsia="zh-CN"/>
        </w:rPr>
        <w:t>均</w:t>
      </w:r>
      <w:r>
        <w:rPr>
          <w:rFonts w:hint="eastAsia" w:ascii="Times New Roman" w:hAnsi="Times New Roman" w:eastAsia="宋体" w:cs="宋体"/>
          <w:color w:val="auto"/>
          <w:szCs w:val="24"/>
        </w:rPr>
        <w:t>低于标准值</w:t>
      </w:r>
      <w:r>
        <w:rPr>
          <w:rFonts w:hint="eastAsia" w:ascii="Times New Roman" w:hAnsi="Times New Roman" w:eastAsia="宋体" w:cs="宋体"/>
          <w:color w:val="auto"/>
          <w:szCs w:val="24"/>
          <w:lang w:eastAsia="zh-CN"/>
        </w:rPr>
        <w:t>。</w:t>
      </w:r>
    </w:p>
    <w:p w14:paraId="0BE86A9C">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val="en-US" w:eastAsia="zh-CN"/>
        </w:rPr>
      </w:pPr>
      <w:r>
        <w:rPr>
          <w:rFonts w:hint="eastAsia" w:ascii="Times New Roman" w:hAnsi="Times New Roman" w:eastAsia="宋体" w:cs="宋体"/>
          <w:strike w:val="0"/>
          <w:dstrike w:val="0"/>
          <w:color w:val="auto"/>
          <w:spacing w:val="0"/>
          <w:position w:val="0"/>
          <w:sz w:val="24"/>
          <w:szCs w:val="24"/>
          <w:highlight w:val="none"/>
          <w:lang w:val="en-US" w:eastAsia="zh-CN"/>
        </w:rPr>
        <w:t>综上所述，非正常状况下，如果项目不进行防渗处理措施，污染物进入地下水后会对场界内地下水环境造成污染，但污染物对地下水污染最远运移距离未超出</w:t>
      </w:r>
      <w:r>
        <w:rPr>
          <w:rFonts w:hint="eastAsia" w:ascii="Times New Roman" w:hAnsi="Times New Roman" w:eastAsia="宋体" w:cs="宋体"/>
          <w:strike w:val="0"/>
          <w:dstrike w:val="0"/>
          <w:color w:val="auto"/>
          <w:spacing w:val="0"/>
          <w:position w:val="0"/>
          <w:sz w:val="24"/>
          <w:szCs w:val="24"/>
          <w:highlight w:val="none"/>
          <w:lang w:val="en-US" w:eastAsia="zh-CN"/>
        </w:rPr>
        <w:t>厂</w:t>
      </w:r>
      <w:r>
        <w:rPr>
          <w:rFonts w:hint="eastAsia" w:ascii="Times New Roman" w:hAnsi="Times New Roman" w:eastAsia="宋体" w:cs="宋体"/>
          <w:strike w:val="0"/>
          <w:dstrike w:val="0"/>
          <w:color w:val="auto"/>
          <w:spacing w:val="0"/>
          <w:position w:val="0"/>
          <w:sz w:val="24"/>
          <w:szCs w:val="24"/>
          <w:highlight w:val="none"/>
          <w:lang w:val="en-US" w:eastAsia="zh-CN"/>
        </w:rPr>
        <w:t>界</w:t>
      </w:r>
      <w:r>
        <w:rPr>
          <w:rFonts w:hint="eastAsia" w:ascii="Times New Roman" w:hAnsi="Times New Roman" w:eastAsia="宋体" w:cs="宋体"/>
          <w:strike w:val="0"/>
          <w:dstrike w:val="0"/>
          <w:color w:val="auto"/>
          <w:spacing w:val="0"/>
          <w:position w:val="0"/>
          <w:sz w:val="24"/>
          <w:szCs w:val="24"/>
          <w:highlight w:val="none"/>
          <w:lang w:val="en-US"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因此，需要建设单位加强设施的维护和管理，防止管道、阀门的跑冒滴漏和非正常状况情况发生，按《环境影响评价技术导则地下水环境》（HJ610－2016）中防渗技术要求进行场区地面防渗处理</w:t>
      </w:r>
      <w:r>
        <w:rPr>
          <w:rFonts w:hint="eastAsia" w:ascii="Times New Roman" w:hAnsi="Times New Roman" w:eastAsia="宋体" w:cs="宋体"/>
          <w:strike w:val="0"/>
          <w:dstrike w:val="0"/>
          <w:color w:val="auto"/>
          <w:spacing w:val="0"/>
          <w:position w:val="0"/>
          <w:sz w:val="24"/>
          <w:szCs w:val="24"/>
          <w:highlight w:val="none"/>
          <w:lang w:val="en-US" w:eastAsia="zh-CN"/>
        </w:rPr>
        <w:t>。</w:t>
      </w:r>
    </w:p>
    <w:p w14:paraId="7E403F5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宋体"/>
          <w:strike w:val="0"/>
          <w:dstrike w:val="0"/>
          <w:color w:val="auto"/>
          <w:spacing w:val="0"/>
          <w:position w:val="0"/>
          <w:sz w:val="24"/>
          <w:szCs w:val="24"/>
          <w:highlight w:val="none"/>
          <w:lang w:val="en-US" w:eastAsia="zh-CN"/>
        </w:rPr>
        <w:t>⑥</w:t>
      </w:r>
      <w:r>
        <w:rPr>
          <w:rFonts w:ascii="Times New Roman" w:hAnsi="Times New Roman" w:eastAsia="宋体" w:cs="宋体"/>
          <w:strike w:val="0"/>
          <w:dstrike w:val="0"/>
          <w:color w:val="auto"/>
          <w:spacing w:val="0"/>
          <w:position w:val="0"/>
          <w:sz w:val="24"/>
          <w:szCs w:val="24"/>
          <w:highlight w:val="none"/>
        </w:rPr>
        <w:t>预防措施</w:t>
      </w:r>
    </w:p>
    <w:p w14:paraId="1CA9AD8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A</w:t>
      </w:r>
      <w:r>
        <w:rPr>
          <w:rFonts w:ascii="Times New Roman" w:hAnsi="Times New Roman" w:eastAsia="宋体" w:cs="宋体"/>
          <w:strike w:val="0"/>
          <w:dstrike w:val="0"/>
          <w:color w:val="auto"/>
          <w:spacing w:val="0"/>
          <w:position w:val="0"/>
          <w:sz w:val="24"/>
          <w:szCs w:val="24"/>
          <w:highlight w:val="none"/>
        </w:rPr>
        <w:t>、污染源控制措施</w:t>
      </w:r>
    </w:p>
    <w:p w14:paraId="4A3EA91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本项目严格按照国家相关规范要求，对工艺、管道、设备、污水储存采取相应的措施，以防止和降低污染物的跑、冒、滴、漏，将污染物泄漏的环境风险事故降低到最低程度；加强管理，</w:t>
      </w:r>
      <w:r>
        <w:rPr>
          <w:rFonts w:hint="eastAsia" w:ascii="Times New Roman" w:hAnsi="Times New Roman" w:eastAsia="宋体" w:cs="宋体"/>
          <w:strike w:val="0"/>
          <w:dstrike w:val="0"/>
          <w:color w:val="auto"/>
          <w:spacing w:val="0"/>
          <w:position w:val="0"/>
          <w:sz w:val="24"/>
          <w:szCs w:val="24"/>
          <w:highlight w:val="none"/>
          <w:lang w:eastAsia="zh-CN"/>
        </w:rPr>
        <w:t>骆驼圈舍</w:t>
      </w:r>
      <w:r>
        <w:rPr>
          <w:rFonts w:ascii="Times New Roman" w:hAnsi="Times New Roman" w:eastAsia="宋体" w:cs="宋体"/>
          <w:strike w:val="0"/>
          <w:dstrike w:val="0"/>
          <w:color w:val="auto"/>
          <w:spacing w:val="0"/>
          <w:position w:val="0"/>
          <w:sz w:val="24"/>
          <w:szCs w:val="24"/>
          <w:highlight w:val="none"/>
        </w:rPr>
        <w:t>产生的粪便做到日产日清，特别是雨天来临之前要及时清理干净；</w:t>
      </w:r>
      <w:r>
        <w:rPr>
          <w:rFonts w:hint="eastAsia" w:ascii="Times New Roman" w:hAnsi="Times New Roman" w:eastAsia="宋体" w:cs="宋体"/>
          <w:strike w:val="0"/>
          <w:dstrike w:val="0"/>
          <w:color w:val="auto"/>
          <w:spacing w:val="0"/>
          <w:position w:val="0"/>
          <w:sz w:val="24"/>
          <w:szCs w:val="24"/>
          <w:highlight w:val="none"/>
          <w:lang w:eastAsia="zh-CN"/>
        </w:rPr>
        <w:t>本项目生活污水和生产废水经黑膜池发酵处理后用于项目区周边林带施肥。</w:t>
      </w:r>
    </w:p>
    <w:p w14:paraId="703B8D8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宋体"/>
          <w:strike w:val="0"/>
          <w:dstrike w:val="0"/>
          <w:color w:val="auto"/>
          <w:spacing w:val="0"/>
          <w:position w:val="0"/>
          <w:sz w:val="24"/>
          <w:szCs w:val="24"/>
          <w:highlight w:val="none"/>
        </w:rPr>
        <w:t>根据《畜禽养殖业污染防治技术规范》</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HJ/T81-2001</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中相关规定：</w:t>
      </w:r>
    </w:p>
    <w:p w14:paraId="55008FD2">
      <w:pPr>
        <w:keepNext w:val="0"/>
        <w:keepLines w:val="0"/>
        <w:pageBreakBefore w:val="0"/>
        <w:widowControl w:val="0"/>
        <w:kinsoku/>
        <w:wordWrap/>
        <w:overflowPunct/>
        <w:topLinePunct w:val="0"/>
        <w:autoSpaceDE/>
        <w:autoSpaceDN/>
        <w:bidi w:val="0"/>
        <w:adjustRightInd/>
        <w:snapToGrid/>
        <w:spacing w:line="360" w:lineRule="auto"/>
        <w:ind w:left="0" w:right="0" w:firstLine="476"/>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Times New Roman"/>
          <w:strike w:val="0"/>
          <w:dstrike w:val="0"/>
          <w:color w:val="auto"/>
          <w:spacing w:val="0"/>
          <w:position w:val="0"/>
          <w:sz w:val="24"/>
          <w:szCs w:val="24"/>
          <w:highlight w:val="none"/>
        </w:rPr>
        <w:t>a</w:t>
      </w:r>
      <w:r>
        <w:rPr>
          <w:rFonts w:ascii="Times New Roman" w:hAnsi="Times New Roman" w:eastAsia="宋体" w:cs="宋体"/>
          <w:strike w:val="0"/>
          <w:dstrike w:val="0"/>
          <w:color w:val="auto"/>
          <w:spacing w:val="0"/>
          <w:position w:val="0"/>
          <w:sz w:val="24"/>
          <w:szCs w:val="24"/>
          <w:highlight w:val="none"/>
        </w:rPr>
        <w:t>、养殖场的排水系统应实行雨水和污水收集输送系统分离，在场区内外设置的污水收集输送系统，不得采取明沟布设</w:t>
      </w:r>
      <w:r>
        <w:rPr>
          <w:rFonts w:hint="eastAsia" w:ascii="Times New Roman" w:hAnsi="Times New Roman" w:eastAsia="宋体" w:cs="宋体"/>
          <w:strike w:val="0"/>
          <w:dstrike w:val="0"/>
          <w:color w:val="auto"/>
          <w:spacing w:val="0"/>
          <w:position w:val="0"/>
          <w:sz w:val="24"/>
          <w:szCs w:val="24"/>
          <w:highlight w:val="none"/>
          <w:lang w:eastAsia="zh-CN"/>
        </w:rPr>
        <w:t>。</w:t>
      </w:r>
    </w:p>
    <w:p w14:paraId="3FB1CBE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Times New Roman"/>
          <w:strike w:val="0"/>
          <w:dstrike w:val="0"/>
          <w:color w:val="auto"/>
          <w:spacing w:val="0"/>
          <w:position w:val="0"/>
          <w:sz w:val="24"/>
          <w:szCs w:val="24"/>
          <w:highlight w:val="none"/>
        </w:rPr>
        <w:t>b</w:t>
      </w:r>
      <w:r>
        <w:rPr>
          <w:rFonts w:ascii="Times New Roman" w:hAnsi="Times New Roman" w:eastAsia="宋体" w:cs="宋体"/>
          <w:strike w:val="0"/>
          <w:dstrike w:val="0"/>
          <w:color w:val="auto"/>
          <w:spacing w:val="0"/>
          <w:position w:val="0"/>
          <w:sz w:val="24"/>
          <w:szCs w:val="24"/>
          <w:highlight w:val="none"/>
        </w:rPr>
        <w:t>、贮存设施应采取有效的防渗处理工艺，防止畜禽粪便污染地下水</w:t>
      </w:r>
      <w:r>
        <w:rPr>
          <w:rFonts w:hint="eastAsia" w:ascii="Times New Roman" w:hAnsi="Times New Roman" w:eastAsia="宋体" w:cs="宋体"/>
          <w:strike w:val="0"/>
          <w:dstrike w:val="0"/>
          <w:color w:val="auto"/>
          <w:spacing w:val="0"/>
          <w:position w:val="0"/>
          <w:sz w:val="24"/>
          <w:szCs w:val="24"/>
          <w:highlight w:val="none"/>
          <w:lang w:eastAsia="zh-CN"/>
        </w:rPr>
        <w:t>。</w:t>
      </w:r>
    </w:p>
    <w:p w14:paraId="08C2B99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B</w:t>
      </w:r>
      <w:r>
        <w:rPr>
          <w:rFonts w:ascii="Times New Roman" w:hAnsi="Times New Roman" w:eastAsia="宋体" w:cs="宋体"/>
          <w:strike w:val="0"/>
          <w:dstrike w:val="0"/>
          <w:color w:val="auto"/>
          <w:spacing w:val="0"/>
          <w:position w:val="0"/>
          <w:sz w:val="24"/>
          <w:szCs w:val="24"/>
          <w:highlight w:val="none"/>
        </w:rPr>
        <w:t>、防渗措施</w:t>
      </w:r>
    </w:p>
    <w:p w14:paraId="54ED727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根据《环境影响评价技术导则地下水环境》</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HJ610-2016</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要求，将地下水污染防渗分区分为三个级别：重点防渗区、一般防渗区、简单防渗区，防渗分区判定如下</w:t>
      </w:r>
      <w:r>
        <w:rPr>
          <w:rFonts w:hint="eastAsia" w:ascii="Times New Roman" w:hAnsi="Times New Roman" w:eastAsia="宋体" w:cs="宋体"/>
          <w:strike w:val="0"/>
          <w:dstrike w:val="0"/>
          <w:color w:val="auto"/>
          <w:spacing w:val="0"/>
          <w:position w:val="0"/>
          <w:sz w:val="24"/>
          <w:szCs w:val="24"/>
          <w:highlight w:val="none"/>
          <w:lang w:eastAsia="zh-CN"/>
        </w:rPr>
        <w:t>。</w:t>
      </w:r>
    </w:p>
    <w:p w14:paraId="3D42FE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表5.2-13污染控制难易程度分级参照表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001"/>
        <w:gridCol w:w="6309"/>
      </w:tblGrid>
      <w:tr w14:paraId="598C3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204" w:type="pct"/>
            <w:vAlign w:val="center"/>
          </w:tcPr>
          <w:p w14:paraId="00C0D42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污染控制难易程度</w:t>
            </w:r>
          </w:p>
        </w:tc>
        <w:tc>
          <w:tcPr>
            <w:tcW w:w="3795" w:type="pct"/>
            <w:vAlign w:val="center"/>
          </w:tcPr>
          <w:p w14:paraId="2F76D8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污染物类型</w:t>
            </w:r>
          </w:p>
        </w:tc>
      </w:tr>
      <w:tr w14:paraId="45091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204" w:type="pct"/>
            <w:vAlign w:val="center"/>
          </w:tcPr>
          <w:p w14:paraId="173657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难</w:t>
            </w:r>
          </w:p>
        </w:tc>
        <w:tc>
          <w:tcPr>
            <w:tcW w:w="3795" w:type="pct"/>
            <w:vAlign w:val="center"/>
          </w:tcPr>
          <w:p w14:paraId="50A9B7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对地下水环境有污染的物料或污染物泄漏后，不能及时发现和处理</w:t>
            </w:r>
          </w:p>
        </w:tc>
      </w:tr>
      <w:tr w14:paraId="721AE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204" w:type="pct"/>
            <w:vAlign w:val="center"/>
          </w:tcPr>
          <w:p w14:paraId="531BCC7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p>
        </w:tc>
        <w:tc>
          <w:tcPr>
            <w:tcW w:w="3795" w:type="pct"/>
            <w:vAlign w:val="center"/>
          </w:tcPr>
          <w:p w14:paraId="102C4DA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对地下水环境有污染的物料或污染物泄漏后，可及时发现和处理</w:t>
            </w:r>
          </w:p>
        </w:tc>
      </w:tr>
    </w:tbl>
    <w:p w14:paraId="1853D6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表5.2-14天然包气带防污性能分级参照表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41"/>
        <w:gridCol w:w="7669"/>
      </w:tblGrid>
      <w:tr w14:paraId="3F8F3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64C593B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分级</w:t>
            </w:r>
          </w:p>
        </w:tc>
        <w:tc>
          <w:tcPr>
            <w:tcW w:w="4613" w:type="pct"/>
            <w:vAlign w:val="center"/>
          </w:tcPr>
          <w:p w14:paraId="2D69F7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包气带岩土的渗透性能</w:t>
            </w:r>
          </w:p>
        </w:tc>
      </w:tr>
      <w:tr w14:paraId="146D3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5531F0E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强</w:t>
            </w:r>
          </w:p>
        </w:tc>
        <w:tc>
          <w:tcPr>
            <w:tcW w:w="4613" w:type="pct"/>
            <w:vAlign w:val="center"/>
          </w:tcPr>
          <w:p w14:paraId="157F51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层单层厚度</w:t>
            </w:r>
            <w:r>
              <w:rPr>
                <w:rFonts w:ascii="Times New Roman" w:hAnsi="Times New Roman" w:eastAsia="宋体" w:cs="Times New Roman"/>
                <w:strike w:val="0"/>
                <w:dstrike w:val="0"/>
                <w:color w:val="auto"/>
                <w:spacing w:val="0"/>
                <w:position w:val="0"/>
                <w:sz w:val="21"/>
                <w:szCs w:val="21"/>
                <w:highlight w:val="none"/>
              </w:rPr>
              <w:t>Mb≥1.0m</w:t>
            </w:r>
            <w:r>
              <w:rPr>
                <w:rFonts w:ascii="Times New Roman" w:hAnsi="Times New Roman" w:eastAsia="宋体" w:cs="宋体"/>
                <w:strike w:val="0"/>
                <w:dstrike w:val="0"/>
                <w:color w:val="auto"/>
                <w:spacing w:val="0"/>
                <w:position w:val="0"/>
                <w:sz w:val="21"/>
                <w:szCs w:val="21"/>
                <w:highlight w:val="none"/>
              </w:rPr>
              <w:t>，渗透系数</w:t>
            </w:r>
            <w:r>
              <w:rPr>
                <w:rFonts w:ascii="Times New Roman" w:hAnsi="Times New Roman" w:eastAsia="宋体" w:cs="Times New Roman"/>
                <w:strike w:val="0"/>
                <w:dstrike w:val="0"/>
                <w:color w:val="auto"/>
                <w:spacing w:val="0"/>
                <w:position w:val="0"/>
                <w:sz w:val="21"/>
                <w:szCs w:val="21"/>
                <w:highlight w:val="none"/>
              </w:rPr>
              <w:t>K≤1X10</w:t>
            </w:r>
            <w:r>
              <w:rPr>
                <w:rFonts w:ascii="Times New Roman" w:hAnsi="Times New Roman" w:eastAsia="宋体" w:cs="Times New Roman"/>
                <w:strike w:val="0"/>
                <w:dstrike w:val="0"/>
                <w:color w:val="auto"/>
                <w:spacing w:val="0"/>
                <w:position w:val="0"/>
                <w:sz w:val="21"/>
                <w:szCs w:val="14"/>
                <w:highlight w:val="none"/>
                <w:vertAlign w:val="superscript"/>
              </w:rPr>
              <w:t>-6</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，且分布连续、稳定</w:t>
            </w:r>
          </w:p>
        </w:tc>
      </w:tr>
      <w:tr w14:paraId="70012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7221FB4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p>
        </w:tc>
        <w:tc>
          <w:tcPr>
            <w:tcW w:w="4613" w:type="pct"/>
            <w:vAlign w:val="center"/>
          </w:tcPr>
          <w:p w14:paraId="676C9D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层单层厚度</w:t>
            </w:r>
            <w:r>
              <w:rPr>
                <w:rFonts w:ascii="Times New Roman" w:hAnsi="Times New Roman" w:eastAsia="宋体" w:cs="Times New Roman"/>
                <w:strike w:val="0"/>
                <w:dstrike w:val="0"/>
                <w:color w:val="auto"/>
                <w:spacing w:val="0"/>
                <w:position w:val="0"/>
                <w:sz w:val="21"/>
                <w:szCs w:val="21"/>
                <w:highlight w:val="none"/>
              </w:rPr>
              <w:t>0.5m≤Mb</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1.0m</w:t>
            </w:r>
            <w:r>
              <w:rPr>
                <w:rFonts w:ascii="Times New Roman" w:hAnsi="Times New Roman" w:eastAsia="宋体" w:cs="宋体"/>
                <w:strike w:val="0"/>
                <w:dstrike w:val="0"/>
                <w:color w:val="auto"/>
                <w:spacing w:val="0"/>
                <w:position w:val="0"/>
                <w:sz w:val="21"/>
                <w:szCs w:val="21"/>
                <w:highlight w:val="none"/>
              </w:rPr>
              <w:t>，渗透系数</w:t>
            </w:r>
            <w:r>
              <w:rPr>
                <w:rFonts w:ascii="Times New Roman" w:hAnsi="Times New Roman" w:eastAsia="宋体" w:cs="Times New Roman"/>
                <w:strike w:val="0"/>
                <w:dstrike w:val="0"/>
                <w:color w:val="auto"/>
                <w:spacing w:val="0"/>
                <w:position w:val="0"/>
                <w:sz w:val="21"/>
                <w:szCs w:val="21"/>
                <w:highlight w:val="none"/>
              </w:rPr>
              <w:t>K≤1×10</w:t>
            </w:r>
            <w:r>
              <w:rPr>
                <w:rFonts w:ascii="Times New Roman" w:hAnsi="Times New Roman" w:eastAsia="宋体" w:cs="Times New Roman"/>
                <w:strike w:val="0"/>
                <w:dstrike w:val="0"/>
                <w:color w:val="auto"/>
                <w:spacing w:val="0"/>
                <w:position w:val="0"/>
                <w:sz w:val="21"/>
                <w:szCs w:val="14"/>
                <w:highlight w:val="none"/>
                <w:vertAlign w:val="superscript"/>
              </w:rPr>
              <w:t>-6</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，且分布连续、稳定岩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层单层厚度</w:t>
            </w:r>
            <w:r>
              <w:rPr>
                <w:rFonts w:ascii="Times New Roman" w:hAnsi="Times New Roman" w:eastAsia="宋体" w:cs="Times New Roman"/>
                <w:strike w:val="0"/>
                <w:dstrike w:val="0"/>
                <w:color w:val="auto"/>
                <w:spacing w:val="0"/>
                <w:position w:val="0"/>
                <w:sz w:val="21"/>
                <w:szCs w:val="21"/>
                <w:highlight w:val="none"/>
              </w:rPr>
              <w:t>Mb≥1.0m</w:t>
            </w:r>
            <w:r>
              <w:rPr>
                <w:rFonts w:ascii="Times New Roman" w:hAnsi="Times New Roman" w:eastAsia="宋体" w:cs="宋体"/>
                <w:strike w:val="0"/>
                <w:dstrike w:val="0"/>
                <w:color w:val="auto"/>
                <w:spacing w:val="0"/>
                <w:position w:val="0"/>
                <w:sz w:val="21"/>
                <w:szCs w:val="21"/>
                <w:highlight w:val="none"/>
              </w:rPr>
              <w:t>，渗透系数</w:t>
            </w:r>
            <w:r>
              <w:rPr>
                <w:rFonts w:ascii="Times New Roman" w:hAnsi="Times New Roman" w:eastAsia="宋体" w:cs="Times New Roman"/>
                <w:strike w:val="0"/>
                <w:dstrike w:val="0"/>
                <w:color w:val="auto"/>
                <w:spacing w:val="0"/>
                <w:position w:val="0"/>
                <w:sz w:val="21"/>
                <w:szCs w:val="21"/>
                <w:highlight w:val="none"/>
              </w:rPr>
              <w:t>1×10</w:t>
            </w:r>
            <w:r>
              <w:rPr>
                <w:rFonts w:ascii="Times New Roman" w:hAnsi="Times New Roman" w:eastAsia="宋体" w:cs="Times New Roman"/>
                <w:strike w:val="0"/>
                <w:dstrike w:val="0"/>
                <w:color w:val="auto"/>
                <w:spacing w:val="0"/>
                <w:position w:val="0"/>
                <w:sz w:val="21"/>
                <w:szCs w:val="14"/>
                <w:highlight w:val="none"/>
                <w:vertAlign w:val="superscript"/>
              </w:rPr>
              <w:t>-6</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K≤1×10</w:t>
            </w:r>
            <w:r>
              <w:rPr>
                <w:rFonts w:ascii="Times New Roman" w:hAnsi="Times New Roman" w:eastAsia="宋体" w:cs="Times New Roman"/>
                <w:strike w:val="0"/>
                <w:dstrike w:val="0"/>
                <w:color w:val="auto"/>
                <w:spacing w:val="0"/>
                <w:position w:val="0"/>
                <w:sz w:val="21"/>
                <w:szCs w:val="14"/>
                <w:highlight w:val="none"/>
                <w:vertAlign w:val="superscript"/>
              </w:rPr>
              <w:t>-4</w:t>
            </w:r>
            <w:r>
              <w:rPr>
                <w:rFonts w:ascii="Times New Roman" w:hAnsi="Times New Roman" w:eastAsia="宋体" w:cs="Times New Roman"/>
                <w:strike w:val="0"/>
                <w:dstrike w:val="0"/>
                <w:color w:val="auto"/>
                <w:spacing w:val="0"/>
                <w:position w:val="0"/>
                <w:sz w:val="21"/>
                <w:szCs w:val="21"/>
                <w:highlight w:val="none"/>
              </w:rPr>
              <w:t>cm/s</w:t>
            </w:r>
            <w:r>
              <w:rPr>
                <w:rFonts w:ascii="Times New Roman" w:hAnsi="Times New Roman" w:eastAsia="宋体" w:cs="宋体"/>
                <w:strike w:val="0"/>
                <w:dstrike w:val="0"/>
                <w:color w:val="auto"/>
                <w:spacing w:val="0"/>
                <w:position w:val="0"/>
                <w:sz w:val="21"/>
                <w:szCs w:val="21"/>
                <w:highlight w:val="none"/>
              </w:rPr>
              <w:t>，且分布连续、稳定</w:t>
            </w:r>
          </w:p>
        </w:tc>
      </w:tr>
      <w:tr w14:paraId="274A4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86" w:type="pct"/>
            <w:vAlign w:val="center"/>
          </w:tcPr>
          <w:p w14:paraId="5DF8C96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弱</w:t>
            </w:r>
          </w:p>
        </w:tc>
        <w:tc>
          <w:tcPr>
            <w:tcW w:w="4613" w:type="pct"/>
            <w:vAlign w:val="center"/>
          </w:tcPr>
          <w:p w14:paraId="19D2E1E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岩</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土</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层不满足上述</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强</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和</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条件</w:t>
            </w:r>
          </w:p>
        </w:tc>
      </w:tr>
    </w:tbl>
    <w:p w14:paraId="623E08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表5.2-15地下水污染防渗分区参照表</w:t>
      </w:r>
    </w:p>
    <w:tbl>
      <w:tblPr>
        <w:tblStyle w:val="183"/>
        <w:tblW w:w="50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86"/>
        <w:gridCol w:w="1412"/>
        <w:gridCol w:w="1287"/>
        <w:gridCol w:w="1668"/>
        <w:gridCol w:w="2600"/>
      </w:tblGrid>
      <w:tr w14:paraId="5C82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Align w:val="center"/>
          </w:tcPr>
          <w:p w14:paraId="753161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防渗分区</w:t>
            </w:r>
          </w:p>
        </w:tc>
        <w:tc>
          <w:tcPr>
            <w:tcW w:w="845" w:type="pct"/>
            <w:vAlign w:val="center"/>
          </w:tcPr>
          <w:p w14:paraId="0B43702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天然包气带防污性能</w:t>
            </w:r>
          </w:p>
        </w:tc>
        <w:tc>
          <w:tcPr>
            <w:tcW w:w="770" w:type="pct"/>
            <w:vAlign w:val="center"/>
          </w:tcPr>
          <w:p w14:paraId="7E5AFE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污染控制难易程度</w:t>
            </w:r>
          </w:p>
        </w:tc>
        <w:tc>
          <w:tcPr>
            <w:tcW w:w="998" w:type="pct"/>
            <w:vAlign w:val="center"/>
          </w:tcPr>
          <w:p w14:paraId="2392774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污染物类型</w:t>
            </w:r>
          </w:p>
        </w:tc>
        <w:tc>
          <w:tcPr>
            <w:tcW w:w="1556" w:type="pct"/>
            <w:vAlign w:val="center"/>
          </w:tcPr>
          <w:p w14:paraId="091582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防渗技术要求</w:t>
            </w:r>
          </w:p>
        </w:tc>
      </w:tr>
      <w:tr w14:paraId="7CA7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restart"/>
            <w:vAlign w:val="center"/>
          </w:tcPr>
          <w:p w14:paraId="2DD8F9A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重点防渗区</w:t>
            </w:r>
          </w:p>
        </w:tc>
        <w:tc>
          <w:tcPr>
            <w:tcW w:w="845" w:type="pct"/>
            <w:vAlign w:val="center"/>
          </w:tcPr>
          <w:p w14:paraId="0FBBAE9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弱</w:t>
            </w:r>
          </w:p>
        </w:tc>
        <w:tc>
          <w:tcPr>
            <w:tcW w:w="770" w:type="pct"/>
            <w:vAlign w:val="center"/>
          </w:tcPr>
          <w:p w14:paraId="23DDF7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易-</w:t>
            </w:r>
            <w:r>
              <w:rPr>
                <w:rFonts w:ascii="Times New Roman" w:hAnsi="Times New Roman" w:eastAsia="宋体" w:cs="宋体"/>
                <w:strike w:val="0"/>
                <w:dstrike w:val="0"/>
                <w:color w:val="auto"/>
                <w:spacing w:val="0"/>
                <w:position w:val="0"/>
                <w:sz w:val="21"/>
                <w:szCs w:val="21"/>
                <w:highlight w:val="none"/>
              </w:rPr>
              <w:t>难</w:t>
            </w:r>
          </w:p>
        </w:tc>
        <w:tc>
          <w:tcPr>
            <w:tcW w:w="998" w:type="pct"/>
            <w:vMerge w:val="restart"/>
            <w:vAlign w:val="center"/>
          </w:tcPr>
          <w:p w14:paraId="0D4A5A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重金属、持久性有机物污染物</w:t>
            </w:r>
          </w:p>
        </w:tc>
        <w:tc>
          <w:tcPr>
            <w:tcW w:w="1556" w:type="pct"/>
            <w:vMerge w:val="restart"/>
            <w:vAlign w:val="center"/>
          </w:tcPr>
          <w:p w14:paraId="403172C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strike w:val="0"/>
                <w:dstrike w:val="0"/>
                <w:color w:val="auto"/>
                <w:sz w:val="21"/>
                <w:highlight w:val="none"/>
              </w:rPr>
              <w:t>等效黏土防渗层Mb≥6.0m，K≤1.0×10</w:t>
            </w:r>
            <w:r>
              <w:rPr>
                <w:rFonts w:hint="eastAsia" w:ascii="Times New Roman" w:hAnsi="Times New Roman" w:eastAsia="宋体"/>
                <w:strike w:val="0"/>
                <w:dstrike w:val="0"/>
                <w:color w:val="auto"/>
                <w:sz w:val="21"/>
                <w:highlight w:val="none"/>
                <w:vertAlign w:val="superscript"/>
              </w:rPr>
              <w:t>-7</w:t>
            </w:r>
            <w:r>
              <w:rPr>
                <w:rFonts w:hint="eastAsia" w:ascii="Times New Roman" w:hAnsi="Times New Roman" w:eastAsia="宋体"/>
                <w:strike w:val="0"/>
                <w:dstrike w:val="0"/>
                <w:color w:val="auto"/>
                <w:sz w:val="21"/>
                <w:highlight w:val="none"/>
              </w:rPr>
              <w:t>cm/s；或参照GB 18598 执行</w:t>
            </w:r>
          </w:p>
        </w:tc>
      </w:tr>
      <w:tr w14:paraId="19F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continue"/>
            <w:vAlign w:val="center"/>
          </w:tcPr>
          <w:p w14:paraId="2D5511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45" w:type="pct"/>
            <w:vAlign w:val="center"/>
          </w:tcPr>
          <w:p w14:paraId="07A2FF5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强</w:t>
            </w:r>
          </w:p>
        </w:tc>
        <w:tc>
          <w:tcPr>
            <w:tcW w:w="770" w:type="pct"/>
            <w:vAlign w:val="center"/>
          </w:tcPr>
          <w:p w14:paraId="0085EEC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难</w:t>
            </w:r>
          </w:p>
        </w:tc>
        <w:tc>
          <w:tcPr>
            <w:tcW w:w="998" w:type="pct"/>
            <w:vMerge w:val="continue"/>
            <w:vAlign w:val="center"/>
          </w:tcPr>
          <w:p w14:paraId="357557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556" w:type="pct"/>
            <w:vMerge w:val="continue"/>
            <w:vAlign w:val="center"/>
          </w:tcPr>
          <w:p w14:paraId="72E57BB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14B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restart"/>
            <w:vAlign w:val="center"/>
          </w:tcPr>
          <w:p w14:paraId="127D7E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一般防渗区</w:t>
            </w:r>
          </w:p>
        </w:tc>
        <w:tc>
          <w:tcPr>
            <w:tcW w:w="845" w:type="pct"/>
            <w:vAlign w:val="center"/>
          </w:tcPr>
          <w:p w14:paraId="1E585A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弱</w:t>
            </w:r>
          </w:p>
        </w:tc>
        <w:tc>
          <w:tcPr>
            <w:tcW w:w="770" w:type="pct"/>
            <w:vAlign w:val="center"/>
          </w:tcPr>
          <w:p w14:paraId="60C1576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难</w:t>
            </w:r>
          </w:p>
        </w:tc>
        <w:tc>
          <w:tcPr>
            <w:tcW w:w="998" w:type="pct"/>
            <w:vMerge w:val="restart"/>
            <w:vAlign w:val="center"/>
          </w:tcPr>
          <w:p w14:paraId="0585EDA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其他类型</w:t>
            </w:r>
          </w:p>
        </w:tc>
        <w:tc>
          <w:tcPr>
            <w:tcW w:w="1556" w:type="pct"/>
            <w:vMerge w:val="restart"/>
            <w:vAlign w:val="center"/>
          </w:tcPr>
          <w:p w14:paraId="44B916A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rPr>
              <w:t>等效黏土防渗层Mb≥1.5m，K≤1.0×10</w:t>
            </w:r>
            <w:r>
              <w:rPr>
                <w:rFonts w:hint="eastAsia" w:ascii="Times New Roman" w:hAnsi="Times New Roman" w:eastAsia="宋体" w:cs="宋体"/>
                <w:strike w:val="0"/>
                <w:dstrike w:val="0"/>
                <w:color w:val="auto"/>
                <w:spacing w:val="0"/>
                <w:position w:val="0"/>
                <w:sz w:val="21"/>
                <w:szCs w:val="21"/>
                <w:highlight w:val="none"/>
                <w:vertAlign w:val="superscript"/>
              </w:rPr>
              <w:t>-7</w:t>
            </w:r>
            <w:r>
              <w:rPr>
                <w:rFonts w:hint="eastAsia" w:ascii="Times New Roman" w:hAnsi="Times New Roman" w:eastAsia="宋体" w:cs="宋体"/>
                <w:strike w:val="0"/>
                <w:dstrike w:val="0"/>
                <w:color w:val="auto"/>
                <w:spacing w:val="0"/>
                <w:position w:val="0"/>
                <w:sz w:val="21"/>
                <w:szCs w:val="21"/>
                <w:highlight w:val="none"/>
              </w:rPr>
              <w:t xml:space="preserve">cm/s；或参照GB 16889 执行 </w:t>
            </w:r>
          </w:p>
        </w:tc>
      </w:tr>
      <w:tr w14:paraId="4D67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Merge w:val="continue"/>
            <w:vAlign w:val="center"/>
          </w:tcPr>
          <w:p w14:paraId="46064B8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45" w:type="pct"/>
            <w:vAlign w:val="center"/>
          </w:tcPr>
          <w:p w14:paraId="151AE81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强</w:t>
            </w:r>
          </w:p>
        </w:tc>
        <w:tc>
          <w:tcPr>
            <w:tcW w:w="770" w:type="pct"/>
            <w:vAlign w:val="center"/>
          </w:tcPr>
          <w:p w14:paraId="4C12AA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难</w:t>
            </w:r>
          </w:p>
        </w:tc>
        <w:tc>
          <w:tcPr>
            <w:tcW w:w="998" w:type="pct"/>
            <w:vMerge w:val="continue"/>
            <w:vAlign w:val="center"/>
          </w:tcPr>
          <w:p w14:paraId="23BE5BA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556" w:type="pct"/>
            <w:vMerge w:val="continue"/>
            <w:vAlign w:val="center"/>
          </w:tcPr>
          <w:p w14:paraId="403829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6B8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30" w:type="pct"/>
            <w:vMerge w:val="continue"/>
            <w:vAlign w:val="center"/>
          </w:tcPr>
          <w:p w14:paraId="5626D1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45" w:type="pct"/>
            <w:vAlign w:val="center"/>
          </w:tcPr>
          <w:p w14:paraId="2C4060E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中</w:t>
            </w:r>
            <w:r>
              <w:rPr>
                <w:rFonts w:hint="eastAsia" w:ascii="Times New Roman" w:hAnsi="Times New Roman" w:eastAsia="宋体" w:cs="宋体"/>
                <w:strike w:val="0"/>
                <w:dstrike w:val="0"/>
                <w:color w:val="auto"/>
                <w:spacing w:val="0"/>
                <w:position w:val="0"/>
                <w:sz w:val="21"/>
                <w:szCs w:val="21"/>
                <w:highlight w:val="none"/>
                <w:lang w:val="en-US" w:eastAsia="zh-CN"/>
              </w:rPr>
              <w:t>-强</w:t>
            </w:r>
          </w:p>
        </w:tc>
        <w:tc>
          <w:tcPr>
            <w:tcW w:w="770" w:type="pct"/>
            <w:vAlign w:val="center"/>
          </w:tcPr>
          <w:p w14:paraId="42D314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p>
        </w:tc>
        <w:tc>
          <w:tcPr>
            <w:tcW w:w="998" w:type="pct"/>
            <w:vAlign w:val="center"/>
          </w:tcPr>
          <w:p w14:paraId="326B1F3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重金属、持久性有机物污染物</w:t>
            </w:r>
          </w:p>
        </w:tc>
        <w:tc>
          <w:tcPr>
            <w:tcW w:w="1556" w:type="pct"/>
            <w:vMerge w:val="continue"/>
            <w:vAlign w:val="center"/>
          </w:tcPr>
          <w:p w14:paraId="15419B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642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30" w:type="pct"/>
            <w:vAlign w:val="center"/>
          </w:tcPr>
          <w:p w14:paraId="6144B4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简单防渗区</w:t>
            </w:r>
          </w:p>
        </w:tc>
        <w:tc>
          <w:tcPr>
            <w:tcW w:w="845" w:type="pct"/>
            <w:vAlign w:val="center"/>
          </w:tcPr>
          <w:p w14:paraId="02B2A76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强</w:t>
            </w:r>
          </w:p>
        </w:tc>
        <w:tc>
          <w:tcPr>
            <w:tcW w:w="770" w:type="pct"/>
            <w:vAlign w:val="center"/>
          </w:tcPr>
          <w:p w14:paraId="767DABB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易</w:t>
            </w:r>
          </w:p>
        </w:tc>
        <w:tc>
          <w:tcPr>
            <w:tcW w:w="998" w:type="pct"/>
            <w:vAlign w:val="center"/>
          </w:tcPr>
          <w:p w14:paraId="4D311F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其他类型</w:t>
            </w:r>
          </w:p>
        </w:tc>
        <w:tc>
          <w:tcPr>
            <w:tcW w:w="1556" w:type="pct"/>
            <w:vAlign w:val="center"/>
          </w:tcPr>
          <w:p w14:paraId="43EC05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一般地面硬化</w:t>
            </w:r>
          </w:p>
        </w:tc>
      </w:tr>
    </w:tbl>
    <w:p w14:paraId="3513D62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结合项目特点，项目拟建工程防渗工程分为一般防渗区和简单防渗区、重点防渗区，分区防渗要求见表</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w:t>
      </w:r>
      <w:r>
        <w:rPr>
          <w:rFonts w:hint="eastAsia" w:ascii="Times New Roman" w:hAnsi="Times New Roman" w:eastAsia="宋体" w:cs="Times New Roman"/>
          <w:strike w:val="0"/>
          <w:dstrike w:val="0"/>
          <w:color w:val="auto"/>
          <w:spacing w:val="0"/>
          <w:position w:val="0"/>
          <w:sz w:val="24"/>
          <w:szCs w:val="24"/>
          <w:highlight w:val="none"/>
          <w:lang w:val="en-US" w:eastAsia="zh-CN"/>
        </w:rPr>
        <w:t>6</w:t>
      </w:r>
      <w:r>
        <w:rPr>
          <w:rFonts w:ascii="Times New Roman" w:hAnsi="Times New Roman" w:eastAsia="宋体" w:cs="宋体"/>
          <w:strike w:val="0"/>
          <w:dstrike w:val="0"/>
          <w:color w:val="auto"/>
          <w:spacing w:val="0"/>
          <w:position w:val="0"/>
          <w:sz w:val="24"/>
          <w:szCs w:val="24"/>
          <w:highlight w:val="none"/>
        </w:rPr>
        <w:t>，分区防渗图见</w:t>
      </w:r>
      <w:r>
        <w:rPr>
          <w:rFonts w:hint="eastAsia" w:ascii="Times New Roman" w:hAnsi="Times New Roman" w:eastAsia="宋体" w:cs="宋体"/>
          <w:strike w:val="0"/>
          <w:dstrike w:val="0"/>
          <w:color w:val="auto"/>
          <w:spacing w:val="0"/>
          <w:position w:val="0"/>
          <w:sz w:val="24"/>
          <w:szCs w:val="24"/>
          <w:highlight w:val="none"/>
          <w:lang w:val="en-US" w:eastAsia="zh-CN"/>
        </w:rPr>
        <w:t>附</w:t>
      </w:r>
      <w:r>
        <w:rPr>
          <w:rFonts w:ascii="Times New Roman" w:hAnsi="Times New Roman" w:eastAsia="宋体" w:cs="宋体"/>
          <w:strike w:val="0"/>
          <w:dstrike w:val="0"/>
          <w:color w:val="auto"/>
          <w:spacing w:val="0"/>
          <w:position w:val="0"/>
          <w:sz w:val="24"/>
          <w:szCs w:val="24"/>
          <w:highlight w:val="none"/>
        </w:rPr>
        <w:t>图</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w:t>
      </w:r>
      <w:r>
        <w:rPr>
          <w:rFonts w:hint="eastAsia" w:ascii="Times New Roman" w:hAnsi="Times New Roman" w:eastAsia="宋体" w:cs="宋体"/>
          <w:strike w:val="0"/>
          <w:dstrike w:val="0"/>
          <w:color w:val="auto"/>
          <w:spacing w:val="0"/>
          <w:position w:val="0"/>
          <w:sz w:val="24"/>
          <w:szCs w:val="24"/>
          <w:highlight w:val="none"/>
          <w:lang w:eastAsia="zh-CN"/>
        </w:rPr>
        <w:t>。</w:t>
      </w:r>
    </w:p>
    <w:p w14:paraId="3C9AAF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表5.2-16拟建项目分区防渗要求表</w:t>
      </w:r>
    </w:p>
    <w:tbl>
      <w:tblPr>
        <w:tblStyle w:val="183"/>
        <w:tblW w:w="504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60"/>
        <w:gridCol w:w="2072"/>
        <w:gridCol w:w="4453"/>
      </w:tblGrid>
      <w:tr w14:paraId="1404D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439370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主要环节</w:t>
            </w:r>
          </w:p>
        </w:tc>
        <w:tc>
          <w:tcPr>
            <w:tcW w:w="1235" w:type="pct"/>
            <w:tcBorders>
              <w:tl2br w:val="nil"/>
              <w:tr2bl w:val="nil"/>
            </w:tcBorders>
            <w:vAlign w:val="center"/>
          </w:tcPr>
          <w:p w14:paraId="5E26005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防渗级别</w:t>
            </w:r>
          </w:p>
        </w:tc>
        <w:tc>
          <w:tcPr>
            <w:tcW w:w="2655" w:type="pct"/>
            <w:tcBorders>
              <w:tl2br w:val="nil"/>
              <w:tr2bl w:val="nil"/>
            </w:tcBorders>
            <w:vAlign w:val="center"/>
          </w:tcPr>
          <w:p w14:paraId="11E5E3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防渗要求</w:t>
            </w:r>
          </w:p>
        </w:tc>
      </w:tr>
      <w:tr w14:paraId="59ACC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4F129B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医疗废物暂存间</w:t>
            </w:r>
          </w:p>
        </w:tc>
        <w:tc>
          <w:tcPr>
            <w:tcW w:w="1235" w:type="pct"/>
            <w:vMerge w:val="restart"/>
            <w:tcBorders>
              <w:tl2br w:val="nil"/>
              <w:tr2bl w:val="nil"/>
            </w:tcBorders>
            <w:vAlign w:val="center"/>
          </w:tcPr>
          <w:p w14:paraId="60C800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重点防渗区</w:t>
            </w:r>
          </w:p>
        </w:tc>
        <w:tc>
          <w:tcPr>
            <w:tcW w:w="2655" w:type="pct"/>
            <w:vMerge w:val="restart"/>
            <w:tcBorders>
              <w:tl2br w:val="nil"/>
              <w:tr2bl w:val="nil"/>
            </w:tcBorders>
            <w:vAlign w:val="center"/>
          </w:tcPr>
          <w:p w14:paraId="11BD2F0A">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strike w:val="0"/>
                <w:dstrike w:val="0"/>
                <w:color w:val="auto"/>
                <w:sz w:val="21"/>
                <w:highlight w:val="none"/>
              </w:rPr>
              <w:t>等效黏土防渗层Mb≥6.0m，K≤1.0×10</w:t>
            </w:r>
            <w:r>
              <w:rPr>
                <w:rFonts w:hint="eastAsia" w:ascii="Times New Roman" w:hAnsi="Times New Roman" w:eastAsia="宋体"/>
                <w:strike w:val="0"/>
                <w:dstrike w:val="0"/>
                <w:color w:val="auto"/>
                <w:sz w:val="21"/>
                <w:highlight w:val="none"/>
                <w:vertAlign w:val="superscript"/>
              </w:rPr>
              <w:t>-7</w:t>
            </w:r>
            <w:r>
              <w:rPr>
                <w:rFonts w:hint="eastAsia" w:ascii="Times New Roman" w:hAnsi="Times New Roman" w:eastAsia="宋体"/>
                <w:strike w:val="0"/>
                <w:dstrike w:val="0"/>
                <w:color w:val="auto"/>
                <w:sz w:val="21"/>
                <w:highlight w:val="none"/>
              </w:rPr>
              <w:t>cm/s；或参照GB 18598 执行</w:t>
            </w:r>
          </w:p>
        </w:tc>
      </w:tr>
      <w:tr w14:paraId="2D8F8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1CF04BC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w:t>
            </w:r>
          </w:p>
        </w:tc>
        <w:tc>
          <w:tcPr>
            <w:tcW w:w="1235" w:type="pct"/>
            <w:vMerge w:val="continue"/>
            <w:tcBorders>
              <w:tl2br w:val="nil"/>
              <w:tr2bl w:val="nil"/>
            </w:tcBorders>
            <w:vAlign w:val="center"/>
          </w:tcPr>
          <w:p w14:paraId="40392CA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2655" w:type="pct"/>
            <w:vMerge w:val="continue"/>
            <w:tcBorders>
              <w:tl2br w:val="nil"/>
              <w:tr2bl w:val="nil"/>
            </w:tcBorders>
            <w:vAlign w:val="center"/>
          </w:tcPr>
          <w:p w14:paraId="74FD8C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1EF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21BB21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堆肥场</w:t>
            </w:r>
          </w:p>
        </w:tc>
        <w:tc>
          <w:tcPr>
            <w:tcW w:w="1235" w:type="pct"/>
            <w:vMerge w:val="continue"/>
            <w:tcBorders>
              <w:tl2br w:val="nil"/>
              <w:tr2bl w:val="nil"/>
            </w:tcBorders>
            <w:vAlign w:val="center"/>
          </w:tcPr>
          <w:p w14:paraId="5650063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2655" w:type="pct"/>
            <w:vMerge w:val="continue"/>
            <w:tcBorders>
              <w:tl2br w:val="nil"/>
              <w:tr2bl w:val="nil"/>
            </w:tcBorders>
            <w:vAlign w:val="center"/>
          </w:tcPr>
          <w:p w14:paraId="54183A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E939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6DBAC2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骆驼</w:t>
            </w:r>
            <w:r>
              <w:rPr>
                <w:rFonts w:ascii="Times New Roman" w:hAnsi="Times New Roman" w:eastAsia="宋体" w:cs="宋体"/>
                <w:strike w:val="0"/>
                <w:dstrike w:val="0"/>
                <w:color w:val="auto"/>
                <w:spacing w:val="0"/>
                <w:position w:val="0"/>
                <w:sz w:val="21"/>
                <w:szCs w:val="21"/>
                <w:highlight w:val="none"/>
              </w:rPr>
              <w:t>圈舍</w:t>
            </w:r>
          </w:p>
        </w:tc>
        <w:tc>
          <w:tcPr>
            <w:tcW w:w="1235" w:type="pct"/>
            <w:vMerge w:val="restart"/>
            <w:tcBorders>
              <w:tl2br w:val="nil"/>
              <w:tr2bl w:val="nil"/>
            </w:tcBorders>
            <w:vAlign w:val="center"/>
          </w:tcPr>
          <w:p w14:paraId="1D44372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一般防渗区</w:t>
            </w:r>
          </w:p>
        </w:tc>
        <w:tc>
          <w:tcPr>
            <w:tcW w:w="2655" w:type="pct"/>
            <w:vMerge w:val="restart"/>
            <w:tcBorders>
              <w:tl2br w:val="nil"/>
              <w:tr2bl w:val="nil"/>
            </w:tcBorders>
            <w:vAlign w:val="center"/>
          </w:tcPr>
          <w:p w14:paraId="770F01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rPr>
              <w:t>等效黏土防渗层Mb≥1.5m，K≤1.0×10</w:t>
            </w:r>
            <w:r>
              <w:rPr>
                <w:rFonts w:hint="eastAsia" w:ascii="Times New Roman" w:hAnsi="Times New Roman" w:eastAsia="宋体" w:cs="宋体"/>
                <w:strike w:val="0"/>
                <w:dstrike w:val="0"/>
                <w:color w:val="auto"/>
                <w:spacing w:val="0"/>
                <w:position w:val="0"/>
                <w:sz w:val="21"/>
                <w:szCs w:val="21"/>
                <w:highlight w:val="none"/>
                <w:vertAlign w:val="superscript"/>
              </w:rPr>
              <w:t>-7</w:t>
            </w:r>
            <w:r>
              <w:rPr>
                <w:rFonts w:hint="eastAsia" w:ascii="Times New Roman" w:hAnsi="Times New Roman" w:eastAsia="宋体" w:cs="宋体"/>
                <w:strike w:val="0"/>
                <w:dstrike w:val="0"/>
                <w:color w:val="auto"/>
                <w:spacing w:val="0"/>
                <w:position w:val="0"/>
                <w:sz w:val="21"/>
                <w:szCs w:val="21"/>
                <w:highlight w:val="none"/>
              </w:rPr>
              <w:t xml:space="preserve">cm/s；或参照GB 16889 执行 </w:t>
            </w:r>
          </w:p>
        </w:tc>
      </w:tr>
      <w:tr w14:paraId="60F646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22EB2F5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挤奶大厅</w:t>
            </w:r>
          </w:p>
        </w:tc>
        <w:tc>
          <w:tcPr>
            <w:tcW w:w="1235" w:type="pct"/>
            <w:vMerge w:val="continue"/>
            <w:tcBorders>
              <w:tl2br w:val="nil"/>
              <w:tr2bl w:val="nil"/>
            </w:tcBorders>
            <w:vAlign w:val="center"/>
          </w:tcPr>
          <w:p w14:paraId="5B270CA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2655" w:type="pct"/>
            <w:vMerge w:val="continue"/>
            <w:tcBorders>
              <w:tl2br w:val="nil"/>
              <w:tr2bl w:val="nil"/>
            </w:tcBorders>
            <w:vAlign w:val="center"/>
          </w:tcPr>
          <w:p w14:paraId="50A9AB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04338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109" w:type="pct"/>
            <w:tcBorders>
              <w:tl2br w:val="nil"/>
              <w:tr2bl w:val="nil"/>
            </w:tcBorders>
            <w:vAlign w:val="center"/>
          </w:tcPr>
          <w:p w14:paraId="668435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草料房</w:t>
            </w:r>
          </w:p>
        </w:tc>
        <w:tc>
          <w:tcPr>
            <w:tcW w:w="1235" w:type="pct"/>
            <w:tcBorders>
              <w:tl2br w:val="nil"/>
              <w:tr2bl w:val="nil"/>
            </w:tcBorders>
            <w:vAlign w:val="center"/>
          </w:tcPr>
          <w:p w14:paraId="18453B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简单防渗区</w:t>
            </w:r>
          </w:p>
        </w:tc>
        <w:tc>
          <w:tcPr>
            <w:tcW w:w="2655" w:type="pct"/>
            <w:tcBorders>
              <w:tl2br w:val="nil"/>
              <w:tr2bl w:val="nil"/>
            </w:tcBorders>
            <w:vAlign w:val="center"/>
          </w:tcPr>
          <w:p w14:paraId="42615A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一般地面硬化</w:t>
            </w:r>
          </w:p>
        </w:tc>
      </w:tr>
    </w:tbl>
    <w:p w14:paraId="6CEFB7F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w:t>
      </w:r>
      <w:r>
        <w:rPr>
          <w:rFonts w:ascii="Times New Roman" w:hAnsi="Times New Roman" w:eastAsia="宋体" w:cs="宋体"/>
          <w:strike w:val="0"/>
          <w:dstrike w:val="0"/>
          <w:color w:val="auto"/>
          <w:spacing w:val="0"/>
          <w:position w:val="0"/>
          <w:sz w:val="24"/>
          <w:szCs w:val="24"/>
          <w:highlight w:val="none"/>
        </w:rPr>
        <w:t>、重点防渗区防渗措施</w:t>
      </w:r>
    </w:p>
    <w:p w14:paraId="0C01B5FD">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项目医疗废物暂存间</w:t>
      </w:r>
      <w:r>
        <w:rPr>
          <w:rFonts w:hint="eastAsia" w:ascii="Times New Roman" w:hAnsi="Times New Roman" w:eastAsia="宋体" w:cs="宋体"/>
          <w:strike w:val="0"/>
          <w:dstrike w:val="0"/>
          <w:color w:val="auto"/>
          <w:spacing w:val="0"/>
          <w:position w:val="0"/>
          <w:sz w:val="24"/>
          <w:szCs w:val="24"/>
          <w:highlight w:val="none"/>
          <w:lang w:val="en-US" w:eastAsia="zh-CN"/>
        </w:rPr>
        <w:t>、堆肥场、黑膜池</w:t>
      </w:r>
      <w:r>
        <w:rPr>
          <w:rFonts w:ascii="Times New Roman" w:hAnsi="Times New Roman" w:eastAsia="宋体" w:cs="宋体"/>
          <w:strike w:val="0"/>
          <w:dstrike w:val="0"/>
          <w:color w:val="auto"/>
          <w:spacing w:val="0"/>
          <w:position w:val="0"/>
          <w:sz w:val="24"/>
          <w:szCs w:val="24"/>
          <w:highlight w:val="none"/>
        </w:rPr>
        <w:t>在施工图设计及施工阶段对基础层进行防渗处理，采用符合要求的天然基础层或人工合成衬里材料</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HDPE</w:t>
      </w:r>
      <w:r>
        <w:rPr>
          <w:rFonts w:ascii="Times New Roman" w:hAnsi="Times New Roman" w:eastAsia="宋体" w:cs="宋体"/>
          <w:strike w:val="0"/>
          <w:dstrike w:val="0"/>
          <w:color w:val="auto"/>
          <w:spacing w:val="0"/>
          <w:position w:val="0"/>
          <w:sz w:val="24"/>
          <w:szCs w:val="24"/>
          <w:highlight w:val="none"/>
        </w:rPr>
        <w:t>膜</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，具体要求依据《危险废物填埋污染控制标准》</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GB18598-</w:t>
      </w:r>
      <w:r>
        <w:rPr>
          <w:rFonts w:hint="eastAsia" w:ascii="Times New Roman" w:hAnsi="Times New Roman" w:eastAsia="宋体" w:cs="Times New Roman"/>
          <w:strike w:val="0"/>
          <w:dstrike w:val="0"/>
          <w:color w:val="auto"/>
          <w:spacing w:val="0"/>
          <w:position w:val="0"/>
          <w:sz w:val="24"/>
          <w:szCs w:val="24"/>
          <w:highlight w:val="none"/>
          <w:lang w:val="en-US" w:eastAsia="zh-CN"/>
        </w:rPr>
        <w:t>2019</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进行实施</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防渗层防渗性能不能低于</w:t>
      </w:r>
      <w:r>
        <w:rPr>
          <w:rFonts w:ascii="Times New Roman" w:hAnsi="Times New Roman" w:eastAsia="宋体" w:cs="Times New Roman"/>
          <w:strike w:val="0"/>
          <w:dstrike w:val="0"/>
          <w:color w:val="auto"/>
          <w:spacing w:val="0"/>
          <w:position w:val="0"/>
          <w:sz w:val="24"/>
          <w:szCs w:val="24"/>
          <w:highlight w:val="none"/>
        </w:rPr>
        <w:t>6m</w:t>
      </w:r>
      <w:r>
        <w:rPr>
          <w:rFonts w:ascii="Times New Roman" w:hAnsi="Times New Roman" w:eastAsia="宋体" w:cs="宋体"/>
          <w:strike w:val="0"/>
          <w:dstrike w:val="0"/>
          <w:color w:val="auto"/>
          <w:spacing w:val="0"/>
          <w:position w:val="0"/>
          <w:sz w:val="24"/>
          <w:szCs w:val="24"/>
          <w:highlight w:val="none"/>
        </w:rPr>
        <w:t>厚，渗透系数</w:t>
      </w:r>
      <w:r>
        <w:rPr>
          <w:rFonts w:ascii="Times New Roman" w:hAnsi="Times New Roman" w:eastAsia="宋体" w:cs="Times New Roman"/>
          <w:strike w:val="0"/>
          <w:dstrike w:val="0"/>
          <w:color w:val="auto"/>
          <w:spacing w:val="0"/>
          <w:position w:val="0"/>
          <w:sz w:val="24"/>
          <w:szCs w:val="24"/>
          <w:highlight w:val="none"/>
        </w:rPr>
        <w:t>≤10</w:t>
      </w:r>
      <w:r>
        <w:rPr>
          <w:rFonts w:ascii="Times New Roman" w:hAnsi="Times New Roman" w:eastAsia="宋体" w:cs="Times New Roman"/>
          <w:strike w:val="0"/>
          <w:dstrike w:val="0"/>
          <w:color w:val="auto"/>
          <w:spacing w:val="0"/>
          <w:position w:val="0"/>
          <w:sz w:val="24"/>
          <w:szCs w:val="15"/>
          <w:highlight w:val="none"/>
          <w:vertAlign w:val="superscript"/>
        </w:rPr>
        <w:t>-7</w:t>
      </w:r>
      <w:r>
        <w:rPr>
          <w:rFonts w:ascii="Times New Roman" w:hAnsi="Times New Roman" w:eastAsia="宋体" w:cs="Times New Roman"/>
          <w:strike w:val="0"/>
          <w:dstrike w:val="0"/>
          <w:color w:val="auto"/>
          <w:spacing w:val="0"/>
          <w:position w:val="0"/>
          <w:sz w:val="24"/>
          <w:szCs w:val="24"/>
          <w:highlight w:val="none"/>
        </w:rPr>
        <w:t>cm/s</w:t>
      </w:r>
      <w:r>
        <w:rPr>
          <w:rFonts w:ascii="Times New Roman" w:hAnsi="Times New Roman" w:eastAsia="宋体" w:cs="宋体"/>
          <w:strike w:val="0"/>
          <w:dstrike w:val="0"/>
          <w:color w:val="auto"/>
          <w:spacing w:val="0"/>
          <w:position w:val="0"/>
          <w:sz w:val="24"/>
          <w:szCs w:val="24"/>
          <w:highlight w:val="none"/>
        </w:rPr>
        <w:t>的防渗性能，防止泄漏污染地下水</w:t>
      </w:r>
      <w:r>
        <w:rPr>
          <w:rFonts w:hint="eastAsia" w:ascii="Times New Roman" w:hAnsi="Times New Roman" w:eastAsia="宋体" w:cs="宋体"/>
          <w:strike w:val="0"/>
          <w:dstrike w:val="0"/>
          <w:color w:val="auto"/>
          <w:spacing w:val="0"/>
          <w:position w:val="0"/>
          <w:sz w:val="24"/>
          <w:szCs w:val="24"/>
          <w:highlight w:val="none"/>
          <w:lang w:eastAsia="zh-CN"/>
        </w:rPr>
        <w:t>。</w:t>
      </w:r>
    </w:p>
    <w:p w14:paraId="27354A1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II</w:t>
      </w:r>
      <w:r>
        <w:rPr>
          <w:rFonts w:ascii="Times New Roman" w:hAnsi="Times New Roman" w:eastAsia="宋体" w:cs="宋体"/>
          <w:strike w:val="0"/>
          <w:dstrike w:val="0"/>
          <w:color w:val="auto"/>
          <w:spacing w:val="0"/>
          <w:position w:val="0"/>
          <w:sz w:val="24"/>
          <w:szCs w:val="24"/>
          <w:highlight w:val="none"/>
        </w:rPr>
        <w:t>、一般防渗区</w:t>
      </w:r>
    </w:p>
    <w:p w14:paraId="0CB29938">
      <w:pPr>
        <w:keepNext w:val="0"/>
        <w:keepLines w:val="0"/>
        <w:pageBreakBefore w:val="0"/>
        <w:widowControl w:val="0"/>
        <w:kinsoku/>
        <w:wordWrap/>
        <w:overflowPunct/>
        <w:topLinePunct w:val="0"/>
        <w:autoSpaceDE/>
        <w:autoSpaceDN/>
        <w:bidi w:val="0"/>
        <w:adjustRightInd/>
        <w:snapToGrid/>
        <w:spacing w:line="360" w:lineRule="auto"/>
        <w:ind w:left="0" w:right="0" w:firstLine="491"/>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w:t>
      </w:r>
      <w:r>
        <w:rPr>
          <w:rFonts w:hint="eastAsia" w:ascii="Times New Roman" w:hAnsi="Times New Roman" w:eastAsia="宋体" w:cs="宋体"/>
          <w:strike w:val="0"/>
          <w:dstrike w:val="0"/>
          <w:color w:val="auto"/>
          <w:spacing w:val="0"/>
          <w:position w:val="0"/>
          <w:sz w:val="24"/>
          <w:szCs w:val="24"/>
          <w:highlight w:val="none"/>
          <w:lang w:val="en-US" w:eastAsia="zh-CN"/>
        </w:rPr>
        <w:t>骆驼圈舍、挤奶大厅</w:t>
      </w:r>
      <w:r>
        <w:rPr>
          <w:rFonts w:ascii="Times New Roman" w:hAnsi="Times New Roman" w:eastAsia="宋体" w:cs="宋体"/>
          <w:strike w:val="0"/>
          <w:dstrike w:val="0"/>
          <w:color w:val="auto"/>
          <w:spacing w:val="0"/>
          <w:position w:val="0"/>
          <w:sz w:val="24"/>
          <w:szCs w:val="24"/>
          <w:highlight w:val="none"/>
        </w:rPr>
        <w:t>在施工图设计及施工阶段对基础层进行防渗处理，具体要求依据《</w:t>
      </w:r>
      <w:r>
        <w:rPr>
          <w:rFonts w:hint="eastAsia" w:ascii="Times New Roman" w:hAnsi="Times New Roman" w:eastAsia="宋体" w:cs="宋体"/>
          <w:strike w:val="0"/>
          <w:dstrike w:val="0"/>
          <w:color w:val="auto"/>
          <w:spacing w:val="0"/>
          <w:position w:val="0"/>
          <w:sz w:val="24"/>
          <w:szCs w:val="24"/>
          <w:highlight w:val="none"/>
        </w:rPr>
        <w:t>生活垃圾填埋场污染控制标准</w:t>
      </w:r>
      <w:r>
        <w:rPr>
          <w:rFonts w:ascii="Times New Roman" w:hAnsi="Times New Roman" w:eastAsia="宋体" w:cs="宋体"/>
          <w:strike w:val="0"/>
          <w:dstrike w:val="0"/>
          <w:color w:val="auto"/>
          <w:spacing w:val="0"/>
          <w:position w:val="0"/>
          <w:sz w:val="24"/>
          <w:szCs w:val="24"/>
          <w:highlight w:val="none"/>
        </w:rPr>
        <w:t>》</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w:t>
      </w:r>
      <w:r>
        <w:rPr>
          <w:rFonts w:hint="eastAsia" w:ascii="Times New Roman" w:hAnsi="Times New Roman" w:eastAsia="宋体" w:cs="Times New Roman"/>
          <w:strike w:val="0"/>
          <w:dstrike w:val="0"/>
          <w:color w:val="auto"/>
          <w:spacing w:val="0"/>
          <w:position w:val="0"/>
          <w:sz w:val="24"/>
          <w:szCs w:val="24"/>
          <w:highlight w:val="none"/>
          <w:lang w:val="en-US" w:eastAsia="zh-CN"/>
        </w:rPr>
        <w:t>16889</w:t>
      </w:r>
      <w:r>
        <w:rPr>
          <w:rFonts w:ascii="Times New Roman" w:hAnsi="Times New Roman" w:eastAsia="宋体" w:cs="Times New Roman"/>
          <w:strike w:val="0"/>
          <w:dstrike w:val="0"/>
          <w:color w:val="auto"/>
          <w:spacing w:val="0"/>
          <w:position w:val="0"/>
          <w:sz w:val="24"/>
          <w:szCs w:val="24"/>
          <w:highlight w:val="none"/>
        </w:rPr>
        <w:t>-202</w:t>
      </w:r>
      <w:r>
        <w:rPr>
          <w:rFonts w:hint="eastAsia" w:ascii="Times New Roman" w:hAnsi="Times New Roman" w:eastAsia="宋体" w:cs="Times New Roman"/>
          <w:strike w:val="0"/>
          <w:dstrike w:val="0"/>
          <w:color w:val="auto"/>
          <w:spacing w:val="0"/>
          <w:position w:val="0"/>
          <w:sz w:val="24"/>
          <w:szCs w:val="24"/>
          <w:highlight w:val="none"/>
          <w:lang w:val="en-US" w:eastAsia="zh-CN"/>
        </w:rPr>
        <w:t>4</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进行实施</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构筑物除需做基础防渗处理外，应根据生产过程中接触到的物料腐蚀性情况根据要求采取相应的防腐蚀处理措施</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采取防渗措施后的基础层等效黏土防渗层</w:t>
      </w:r>
      <w:r>
        <w:rPr>
          <w:rFonts w:ascii="Times New Roman" w:hAnsi="Times New Roman" w:eastAsia="宋体" w:cs="Times New Roman"/>
          <w:strike w:val="0"/>
          <w:dstrike w:val="0"/>
          <w:color w:val="auto"/>
          <w:spacing w:val="0"/>
          <w:position w:val="0"/>
          <w:sz w:val="24"/>
          <w:szCs w:val="24"/>
          <w:highlight w:val="none"/>
        </w:rPr>
        <w:t>Mb≥1.5m</w:t>
      </w:r>
      <w:r>
        <w:rPr>
          <w:rFonts w:ascii="Times New Roman" w:hAnsi="Times New Roman" w:eastAsia="宋体" w:cs="宋体"/>
          <w:strike w:val="0"/>
          <w:dstrike w:val="0"/>
          <w:color w:val="auto"/>
          <w:spacing w:val="0"/>
          <w:position w:val="0"/>
          <w:sz w:val="24"/>
          <w:szCs w:val="24"/>
          <w:highlight w:val="none"/>
        </w:rPr>
        <w:t>，</w:t>
      </w:r>
      <w:r>
        <w:rPr>
          <w:rFonts w:ascii="Times New Roman" w:hAnsi="Times New Roman" w:eastAsia="宋体" w:cs="Times New Roman"/>
          <w:strike w:val="0"/>
          <w:dstrike w:val="0"/>
          <w:color w:val="auto"/>
          <w:spacing w:val="0"/>
          <w:position w:val="0"/>
          <w:sz w:val="24"/>
          <w:szCs w:val="24"/>
          <w:highlight w:val="none"/>
        </w:rPr>
        <w:t>k≤10</w:t>
      </w:r>
      <w:r>
        <w:rPr>
          <w:rFonts w:ascii="Times New Roman" w:hAnsi="Times New Roman" w:eastAsia="宋体" w:cs="Times New Roman"/>
          <w:strike w:val="0"/>
          <w:dstrike w:val="0"/>
          <w:color w:val="auto"/>
          <w:spacing w:val="0"/>
          <w:position w:val="0"/>
          <w:sz w:val="24"/>
          <w:szCs w:val="15"/>
          <w:highlight w:val="none"/>
          <w:vertAlign w:val="superscript"/>
        </w:rPr>
        <w:t>-7</w:t>
      </w:r>
      <w:r>
        <w:rPr>
          <w:rFonts w:ascii="Times New Roman" w:hAnsi="Times New Roman" w:eastAsia="宋体" w:cs="Times New Roman"/>
          <w:strike w:val="0"/>
          <w:dstrike w:val="0"/>
          <w:color w:val="auto"/>
          <w:spacing w:val="0"/>
          <w:position w:val="0"/>
          <w:sz w:val="24"/>
          <w:szCs w:val="24"/>
          <w:highlight w:val="none"/>
        </w:rPr>
        <w:t>cm/s</w:t>
      </w:r>
      <w:r>
        <w:rPr>
          <w:rFonts w:hint="eastAsia" w:ascii="Times New Roman" w:hAnsi="Times New Roman" w:eastAsia="宋体" w:cs="宋体"/>
          <w:strike w:val="0"/>
          <w:dstrike w:val="0"/>
          <w:color w:val="auto"/>
          <w:spacing w:val="0"/>
          <w:position w:val="0"/>
          <w:sz w:val="24"/>
          <w:szCs w:val="24"/>
          <w:highlight w:val="none"/>
          <w:lang w:eastAsia="zh-CN"/>
        </w:rPr>
        <w:t>。</w:t>
      </w:r>
    </w:p>
    <w:p w14:paraId="22B6C58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III</w:t>
      </w:r>
      <w:r>
        <w:rPr>
          <w:rFonts w:ascii="Times New Roman" w:hAnsi="Times New Roman" w:eastAsia="宋体" w:cs="宋体"/>
          <w:strike w:val="0"/>
          <w:dstrike w:val="0"/>
          <w:color w:val="auto"/>
          <w:spacing w:val="0"/>
          <w:position w:val="0"/>
          <w:sz w:val="24"/>
          <w:szCs w:val="24"/>
          <w:highlight w:val="none"/>
        </w:rPr>
        <w:t>、简单防渗区</w:t>
      </w:r>
    </w:p>
    <w:p w14:paraId="2D9F0EAE">
      <w:pPr>
        <w:keepNext w:val="0"/>
        <w:keepLines w:val="0"/>
        <w:pageBreakBefore w:val="0"/>
        <w:widowControl w:val="0"/>
        <w:kinsoku/>
        <w:wordWrap/>
        <w:overflowPunct/>
        <w:topLinePunct w:val="0"/>
        <w:autoSpaceDE/>
        <w:autoSpaceDN/>
        <w:bidi w:val="0"/>
        <w:adjustRightInd/>
        <w:snapToGrid/>
        <w:spacing w:line="360" w:lineRule="auto"/>
        <w:ind w:left="0" w:right="0" w:firstLine="485"/>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简单防渗区采用水泥硬化防渗</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厂区其他地面除绿化用地外均采取灰土铺底，再在上层铺</w:t>
      </w:r>
      <w:r>
        <w:rPr>
          <w:rFonts w:ascii="Times New Roman" w:hAnsi="Times New Roman" w:eastAsia="宋体" w:cs="Times New Roman"/>
          <w:strike w:val="0"/>
          <w:dstrike w:val="0"/>
          <w:color w:val="auto"/>
          <w:spacing w:val="0"/>
          <w:position w:val="0"/>
          <w:sz w:val="24"/>
          <w:szCs w:val="24"/>
          <w:highlight w:val="none"/>
        </w:rPr>
        <w:t>10</w:t>
      </w:r>
      <w:r>
        <w:rPr>
          <w:rFonts w:ascii="Times New Roman" w:hAnsi="Times New Roman" w:eastAsia="宋体" w:cs="宋体"/>
          <w:strike w:val="0"/>
          <w:dstrike w:val="0"/>
          <w:color w:val="auto"/>
          <w:spacing w:val="0"/>
          <w:position w:val="0"/>
          <w:sz w:val="24"/>
          <w:szCs w:val="24"/>
          <w:highlight w:val="none"/>
        </w:rPr>
        <w:t>~</w:t>
      </w:r>
      <w:r>
        <w:rPr>
          <w:rFonts w:ascii="Times New Roman" w:hAnsi="Times New Roman" w:eastAsia="宋体" w:cs="Times New Roman"/>
          <w:strike w:val="0"/>
          <w:dstrike w:val="0"/>
          <w:color w:val="auto"/>
          <w:spacing w:val="0"/>
          <w:position w:val="0"/>
          <w:sz w:val="24"/>
          <w:szCs w:val="24"/>
          <w:highlight w:val="none"/>
        </w:rPr>
        <w:t>15cm</w:t>
      </w:r>
      <w:r>
        <w:rPr>
          <w:rFonts w:ascii="Times New Roman" w:hAnsi="Times New Roman" w:eastAsia="宋体" w:cs="宋体"/>
          <w:strike w:val="0"/>
          <w:dstrike w:val="0"/>
          <w:color w:val="auto"/>
          <w:spacing w:val="0"/>
          <w:position w:val="0"/>
          <w:sz w:val="24"/>
          <w:szCs w:val="24"/>
          <w:highlight w:val="none"/>
        </w:rPr>
        <w:t>的混凝土进行硬化</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具体见分区防渗示意图</w:t>
      </w:r>
      <w:r>
        <w:rPr>
          <w:rFonts w:hint="eastAsia" w:ascii="Times New Roman" w:hAnsi="Times New Roman" w:eastAsia="宋体" w:cs="Times New Roman"/>
          <w:strike w:val="0"/>
          <w:dstrike w:val="0"/>
          <w:color w:val="auto"/>
          <w:spacing w:val="0"/>
          <w:position w:val="0"/>
          <w:sz w:val="24"/>
          <w:szCs w:val="24"/>
          <w:highlight w:val="none"/>
          <w:lang w:val="en-US" w:eastAsia="zh-CN"/>
        </w:rPr>
        <w:t>5</w:t>
      </w:r>
      <w:r>
        <w:rPr>
          <w:rFonts w:ascii="Times New Roman" w:hAnsi="Times New Roman" w:eastAsia="宋体" w:cs="Times New Roman"/>
          <w:strike w:val="0"/>
          <w:dstrike w:val="0"/>
          <w:color w:val="auto"/>
          <w:spacing w:val="0"/>
          <w:position w:val="0"/>
          <w:sz w:val="24"/>
          <w:szCs w:val="24"/>
          <w:highlight w:val="none"/>
        </w:rPr>
        <w:t>.2-1</w:t>
      </w:r>
      <w:r>
        <w:rPr>
          <w:rFonts w:hint="eastAsia" w:ascii="Times New Roman" w:hAnsi="Times New Roman" w:eastAsia="宋体" w:cs="宋体"/>
          <w:strike w:val="0"/>
          <w:dstrike w:val="0"/>
          <w:color w:val="auto"/>
          <w:spacing w:val="0"/>
          <w:position w:val="0"/>
          <w:sz w:val="24"/>
          <w:szCs w:val="24"/>
          <w:highlight w:val="none"/>
          <w:lang w:eastAsia="zh-CN"/>
        </w:rPr>
        <w:t>。</w:t>
      </w:r>
    </w:p>
    <w:p w14:paraId="30887FB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IV</w:t>
      </w:r>
      <w:r>
        <w:rPr>
          <w:rFonts w:ascii="Times New Roman" w:hAnsi="Times New Roman" w:eastAsia="宋体" w:cs="宋体"/>
          <w:strike w:val="0"/>
          <w:dstrike w:val="0"/>
          <w:color w:val="auto"/>
          <w:spacing w:val="0"/>
          <w:position w:val="0"/>
          <w:sz w:val="24"/>
          <w:szCs w:val="24"/>
          <w:highlight w:val="none"/>
        </w:rPr>
        <w:t>、废水管道防渗措施</w:t>
      </w:r>
    </w:p>
    <w:p w14:paraId="6C004842">
      <w:pPr>
        <w:keepNext w:val="0"/>
        <w:keepLines w:val="0"/>
        <w:pageBreakBefore w:val="0"/>
        <w:widowControl w:val="0"/>
        <w:kinsoku/>
        <w:wordWrap/>
        <w:overflowPunct/>
        <w:topLinePunct w:val="0"/>
        <w:autoSpaceDE/>
        <w:autoSpaceDN/>
        <w:bidi w:val="0"/>
        <w:adjustRightInd/>
        <w:snapToGrid/>
        <w:spacing w:line="360" w:lineRule="auto"/>
        <w:ind w:left="0" w:right="0" w:firstLine="482"/>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污水管线接口应采取严格的密封措施，防止污水泄漏污染地下水</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在铺设管线过程中，挖土和回填土按环境保护要求放置，防止扬尘和降水污染环境，施工完成后要绿化和定期巡护，为了保护下游区域地下水环境，在工程设计、施工和运行的同时，必须严格控制拟建</w:t>
      </w:r>
      <w:r>
        <w:rPr>
          <w:rFonts w:hint="eastAsia" w:ascii="Times New Roman" w:hAnsi="Times New Roman" w:eastAsia="宋体" w:cs="宋体"/>
          <w:strike w:val="0"/>
          <w:dstrike w:val="0"/>
          <w:color w:val="auto"/>
          <w:spacing w:val="0"/>
          <w:position w:val="0"/>
          <w:sz w:val="24"/>
          <w:szCs w:val="24"/>
          <w:highlight w:val="none"/>
          <w:lang w:eastAsia="zh-CN"/>
        </w:rPr>
        <w:t>场区污水</w:t>
      </w:r>
      <w:r>
        <w:rPr>
          <w:rFonts w:ascii="Times New Roman" w:hAnsi="Times New Roman" w:eastAsia="宋体" w:cs="宋体"/>
          <w:strike w:val="0"/>
          <w:dstrike w:val="0"/>
          <w:color w:val="auto"/>
          <w:spacing w:val="0"/>
          <w:position w:val="0"/>
          <w:sz w:val="24"/>
          <w:szCs w:val="24"/>
          <w:highlight w:val="none"/>
        </w:rPr>
        <w:t>的无组织泄漏，严把质量关，杜绝因材制、制管、防腐涂层、焊接缺陷及与运行失误而造成管线泄漏，生产运行过程中，必须强化监控手段，定期检查，对厂区及其附近环境敏感地区的水井定期进行检测，保护评价区地下水环境</w:t>
      </w:r>
      <w:r>
        <w:rPr>
          <w:rFonts w:hint="eastAsia" w:ascii="Times New Roman" w:hAnsi="Times New Roman" w:eastAsia="宋体" w:cs="宋体"/>
          <w:strike w:val="0"/>
          <w:dstrike w:val="0"/>
          <w:color w:val="auto"/>
          <w:spacing w:val="0"/>
          <w:position w:val="0"/>
          <w:sz w:val="24"/>
          <w:szCs w:val="24"/>
          <w:highlight w:val="none"/>
          <w:lang w:eastAsia="zh-CN"/>
        </w:rPr>
        <w:t>。</w:t>
      </w:r>
    </w:p>
    <w:p w14:paraId="13809DC3">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s="宋体"/>
          <w:strike w:val="0"/>
          <w:dstrike w:val="0"/>
          <w:color w:val="auto"/>
          <w:spacing w:val="0"/>
          <w:position w:val="0"/>
          <w:sz w:val="24"/>
          <w:szCs w:val="24"/>
          <w:highlight w:val="none"/>
        </w:rPr>
      </w:pPr>
      <w:r>
        <w:rPr>
          <w:rFonts w:ascii="Times New Roman" w:hAnsi="Times New Roman" w:eastAsia="宋体" w:cs="Times New Roman"/>
          <w:strike w:val="0"/>
          <w:dstrike w:val="0"/>
          <w:color w:val="auto"/>
          <w:spacing w:val="0"/>
          <w:position w:val="0"/>
          <w:sz w:val="24"/>
          <w:szCs w:val="24"/>
          <w:highlight w:val="none"/>
        </w:rPr>
        <w:t>V</w:t>
      </w:r>
      <w:r>
        <w:rPr>
          <w:rFonts w:ascii="Times New Roman" w:hAnsi="Times New Roman" w:eastAsia="宋体" w:cs="宋体"/>
          <w:strike w:val="0"/>
          <w:dstrike w:val="0"/>
          <w:color w:val="auto"/>
          <w:spacing w:val="0"/>
          <w:position w:val="0"/>
          <w:sz w:val="24"/>
          <w:szCs w:val="24"/>
          <w:highlight w:val="none"/>
        </w:rPr>
        <w:t>、管理措施</w:t>
      </w:r>
    </w:p>
    <w:p w14:paraId="5FCC2D5D">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hint="eastAsia" w:ascii="Times New Roman" w:hAnsi="Times New Roman" w:eastAsia="宋体" w:cs="宋体"/>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项目运行后，配备专兼职技术人员，加强地下水环境管理及巡查，定期对</w:t>
      </w:r>
      <w:r>
        <w:rPr>
          <w:rFonts w:hint="eastAsia" w:ascii="Times New Roman" w:hAnsi="Times New Roman" w:eastAsia="宋体" w:cs="宋体"/>
          <w:strike w:val="0"/>
          <w:dstrike w:val="0"/>
          <w:color w:val="auto"/>
          <w:spacing w:val="0"/>
          <w:position w:val="0"/>
          <w:sz w:val="24"/>
          <w:szCs w:val="24"/>
          <w:highlight w:val="none"/>
          <w:lang w:val="en-US" w:eastAsia="zh-CN"/>
        </w:rPr>
        <w:t>黑膜池</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医疗废物暂存间</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lang w:val="en-US" w:eastAsia="zh-CN"/>
        </w:rPr>
        <w:t>堆肥场</w:t>
      </w:r>
      <w:r>
        <w:rPr>
          <w:rFonts w:ascii="Times New Roman" w:hAnsi="Times New Roman" w:eastAsia="宋体" w:cs="宋体"/>
          <w:strike w:val="0"/>
          <w:dstrike w:val="0"/>
          <w:color w:val="auto"/>
          <w:spacing w:val="0"/>
          <w:position w:val="0"/>
          <w:sz w:val="24"/>
          <w:szCs w:val="24"/>
          <w:highlight w:val="none"/>
        </w:rPr>
        <w:t>等环节进行检漏工作，确保各防渗漏措施运行的长期性、稳定性和可靠性</w:t>
      </w:r>
      <w:r>
        <w:rPr>
          <w:rFonts w:hint="eastAsia" w:ascii="Times New Roman" w:hAnsi="Times New Roman" w:eastAsia="宋体" w:cs="宋体"/>
          <w:strike w:val="0"/>
          <w:dstrike w:val="0"/>
          <w:color w:val="auto"/>
          <w:spacing w:val="0"/>
          <w:position w:val="0"/>
          <w:sz w:val="24"/>
          <w:szCs w:val="24"/>
          <w:highlight w:val="none"/>
          <w:lang w:eastAsia="zh-CN"/>
        </w:rPr>
        <w:t>。</w:t>
      </w:r>
    </w:p>
    <w:p w14:paraId="01A8AB5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position w:val="0"/>
          <w:sz w:val="24"/>
          <w:szCs w:val="24"/>
          <w:highlight w:val="none"/>
        </w:rPr>
      </w:pPr>
      <w:r>
        <w:rPr>
          <w:rFonts w:hint="eastAsia" w:ascii="Times New Roman" w:hAnsi="Times New Roman" w:eastAsia="宋体" w:cs="Times New Roman"/>
          <w:strike w:val="0"/>
          <w:dstrike w:val="0"/>
          <w:color w:val="auto"/>
          <w:spacing w:val="0"/>
          <w:position w:val="0"/>
          <w:sz w:val="24"/>
          <w:szCs w:val="24"/>
          <w:highlight w:val="none"/>
          <w:lang w:val="en-US" w:eastAsia="zh-CN"/>
        </w:rPr>
        <w:t>6、</w:t>
      </w:r>
      <w:r>
        <w:rPr>
          <w:rFonts w:ascii="Times New Roman" w:hAnsi="Times New Roman" w:eastAsia="宋体" w:cs="宋体"/>
          <w:strike w:val="0"/>
          <w:dstrike w:val="0"/>
          <w:color w:val="auto"/>
          <w:spacing w:val="0"/>
          <w:position w:val="0"/>
          <w:sz w:val="24"/>
          <w:szCs w:val="24"/>
          <w:highlight w:val="none"/>
        </w:rPr>
        <w:t>小结</w:t>
      </w:r>
    </w:p>
    <w:p w14:paraId="61CFCEDD">
      <w:pPr>
        <w:pStyle w:val="161"/>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bCs/>
          <w:strike w:val="0"/>
          <w:dstrike w:val="0"/>
          <w:color w:val="auto"/>
          <w:spacing w:val="0"/>
          <w:position w:val="0"/>
          <w:sz w:val="24"/>
          <w:szCs w:val="24"/>
          <w:highlight w:val="none"/>
          <w:lang w:eastAsia="zh-CN"/>
        </w:rPr>
      </w:pPr>
      <w:r>
        <w:rPr>
          <w:rFonts w:ascii="Times New Roman" w:hAnsi="Times New Roman" w:eastAsia="宋体" w:cs="宋体"/>
          <w:strike w:val="0"/>
          <w:dstrike w:val="0"/>
          <w:color w:val="auto"/>
          <w:spacing w:val="0"/>
          <w:position w:val="0"/>
          <w:sz w:val="24"/>
          <w:szCs w:val="24"/>
          <w:highlight w:val="none"/>
        </w:rPr>
        <w:t>综上所述，通过认真落实并且严格执行本次环评提出的上述废</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污</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水防治措施后，本项目运营期间产生废</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污</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水对项目区及周边区域水环境产生影响较小</w:t>
      </w:r>
      <w:bookmarkEnd w:id="234"/>
      <w:r>
        <w:rPr>
          <w:rFonts w:hint="eastAsia" w:ascii="Times New Roman" w:hAnsi="Times New Roman" w:eastAsia="宋体" w:cs="宋体"/>
          <w:strike w:val="0"/>
          <w:dstrike w:val="0"/>
          <w:color w:val="auto"/>
          <w:spacing w:val="0"/>
          <w:position w:val="0"/>
          <w:sz w:val="24"/>
          <w:szCs w:val="24"/>
          <w:highlight w:val="none"/>
          <w:lang w:eastAsia="zh-CN"/>
        </w:rPr>
        <w:t>。</w:t>
      </w:r>
    </w:p>
    <w:p w14:paraId="48B03065">
      <w:pPr>
        <w:pStyle w:val="4"/>
        <w:rPr>
          <w:rFonts w:ascii="Times New Roman" w:hAnsi="Times New Roman" w:eastAsia="宋体"/>
          <w:strike w:val="0"/>
          <w:dstrike w:val="0"/>
          <w:color w:val="auto"/>
          <w:highlight w:val="none"/>
        </w:rPr>
      </w:pPr>
      <w:bookmarkStart w:id="235" w:name="_Toc31830"/>
      <w:bookmarkStart w:id="236" w:name="_Toc106663502"/>
      <w:r>
        <w:rPr>
          <w:rFonts w:hint="eastAsia" w:ascii="Times New Roman" w:hAnsi="Times New Roman" w:eastAsia="宋体"/>
          <w:strike w:val="0"/>
          <w:dstrike w:val="0"/>
          <w:color w:val="auto"/>
          <w:highlight w:val="none"/>
        </w:rPr>
        <w:t>5.2.3声环境影响分析</w:t>
      </w:r>
      <w:bookmarkEnd w:id="235"/>
      <w:bookmarkEnd w:id="236"/>
    </w:p>
    <w:p w14:paraId="3A9B58C0">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1、噪声源</w:t>
      </w:r>
    </w:p>
    <w:p w14:paraId="79A3B41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rPr>
        <w:t>施工期间主要噪声源为施工机械产生的噪声，</w:t>
      </w:r>
      <w:r>
        <w:rPr>
          <w:rFonts w:ascii="Times New Roman" w:hAnsi="Times New Roman" w:eastAsia="宋体"/>
          <w:strike w:val="0"/>
          <w:dstrike w:val="0"/>
          <w:color w:val="auto"/>
          <w:highlight w:val="none"/>
        </w:rPr>
        <w:t>建成后主要噪声源为</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通风机及</w:t>
      </w:r>
      <w:r>
        <w:rPr>
          <w:rFonts w:hint="eastAsia" w:ascii="Times New Roman" w:hAnsi="Times New Roman" w:eastAsia="宋体"/>
          <w:strike w:val="0"/>
          <w:dstrike w:val="0"/>
          <w:color w:val="auto"/>
          <w:highlight w:val="none"/>
          <w:lang w:val="en-US" w:eastAsia="zh-CN"/>
        </w:rPr>
        <w:t>骆驼叫</w:t>
      </w:r>
      <w:r>
        <w:rPr>
          <w:rFonts w:hint="eastAsia" w:ascii="Times New Roman" w:hAnsi="Times New Roman" w:eastAsia="宋体"/>
          <w:strike w:val="0"/>
          <w:dstrike w:val="0"/>
          <w:color w:val="auto"/>
          <w:highlight w:val="none"/>
        </w:rPr>
        <w:t>声产生的噪声</w:t>
      </w:r>
      <w:r>
        <w:rPr>
          <w:rFonts w:ascii="Times New Roman" w:hAnsi="Times New Roman" w:eastAsia="宋体"/>
          <w:strike w:val="0"/>
          <w:dstrike w:val="0"/>
          <w:color w:val="auto"/>
          <w:highlight w:val="none"/>
        </w:rPr>
        <w:t>等，详见下表5.2-</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lang w:eastAsia="zh-CN"/>
        </w:rPr>
        <w:t>。</w:t>
      </w:r>
    </w:p>
    <w:p w14:paraId="197B6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表5.2-17主要噪声源</w:t>
      </w:r>
    </w:p>
    <w:tbl>
      <w:tblPr>
        <w:tblStyle w:val="39"/>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741"/>
        <w:gridCol w:w="999"/>
        <w:gridCol w:w="1021"/>
        <w:gridCol w:w="725"/>
        <w:gridCol w:w="873"/>
        <w:gridCol w:w="3162"/>
        <w:gridCol w:w="1001"/>
      </w:tblGrid>
      <w:tr w14:paraId="656472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84" w:hRule="atLeast"/>
          <w:jc w:val="center"/>
        </w:trPr>
        <w:tc>
          <w:tcPr>
            <w:tcW w:w="435" w:type="pct"/>
            <w:vMerge w:val="restart"/>
            <w:tcBorders>
              <w:tl2br w:val="nil"/>
              <w:tr2bl w:val="nil"/>
            </w:tcBorders>
            <w:shd w:val="clear" w:color="auto" w:fill="auto"/>
            <w:vAlign w:val="center"/>
          </w:tcPr>
          <w:p w14:paraId="3FCBEAC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bookmarkStart w:id="237" w:name="_Hlk107742220"/>
            <w:r>
              <w:rPr>
                <w:rFonts w:hint="eastAsia" w:ascii="Times New Roman" w:hAnsi="Times New Roman" w:eastAsia="宋体"/>
                <w:b w:val="0"/>
                <w:bCs w:val="0"/>
                <w:strike w:val="0"/>
                <w:dstrike w:val="0"/>
                <w:color w:val="auto"/>
                <w:szCs w:val="21"/>
                <w:highlight w:val="none"/>
              </w:rPr>
              <w:t>序号</w:t>
            </w:r>
          </w:p>
        </w:tc>
        <w:tc>
          <w:tcPr>
            <w:tcW w:w="586" w:type="pct"/>
            <w:vMerge w:val="restart"/>
            <w:tcBorders>
              <w:tl2br w:val="nil"/>
              <w:tr2bl w:val="nil"/>
            </w:tcBorders>
            <w:shd w:val="clear" w:color="auto" w:fill="auto"/>
            <w:vAlign w:val="center"/>
          </w:tcPr>
          <w:p w14:paraId="022A7C64">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时段</w:t>
            </w:r>
          </w:p>
        </w:tc>
        <w:tc>
          <w:tcPr>
            <w:tcW w:w="599" w:type="pct"/>
            <w:vMerge w:val="restart"/>
            <w:tcBorders>
              <w:tl2br w:val="nil"/>
              <w:tr2bl w:val="nil"/>
            </w:tcBorders>
            <w:shd w:val="clear" w:color="auto" w:fill="auto"/>
            <w:vAlign w:val="center"/>
          </w:tcPr>
          <w:p w14:paraId="33BB93D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来源</w:t>
            </w:r>
          </w:p>
        </w:tc>
        <w:tc>
          <w:tcPr>
            <w:tcW w:w="425" w:type="pct"/>
            <w:vMerge w:val="restart"/>
            <w:tcBorders>
              <w:tl2br w:val="nil"/>
              <w:tr2bl w:val="nil"/>
            </w:tcBorders>
            <w:shd w:val="clear" w:color="auto" w:fill="auto"/>
            <w:vAlign w:val="center"/>
          </w:tcPr>
          <w:p w14:paraId="2CFD620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产生方式</w:t>
            </w:r>
          </w:p>
        </w:tc>
        <w:tc>
          <w:tcPr>
            <w:tcW w:w="2954" w:type="pct"/>
            <w:gridSpan w:val="3"/>
            <w:tcBorders>
              <w:tl2br w:val="nil"/>
              <w:tr2bl w:val="nil"/>
            </w:tcBorders>
            <w:shd w:val="clear" w:color="auto" w:fill="auto"/>
            <w:vAlign w:val="center"/>
          </w:tcPr>
          <w:p w14:paraId="36D1062F">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lang w:eastAsia="zh-CN"/>
              </w:rPr>
            </w:pPr>
            <w:r>
              <w:rPr>
                <w:rFonts w:hint="eastAsia" w:ascii="Times New Roman" w:hAnsi="Times New Roman" w:eastAsia="宋体"/>
                <w:b w:val="0"/>
                <w:bCs w:val="0"/>
                <w:strike w:val="0"/>
                <w:dstrike w:val="0"/>
                <w:color w:val="auto"/>
                <w:szCs w:val="21"/>
                <w:highlight w:val="none"/>
              </w:rPr>
              <w:t>噪声源强</w:t>
            </w:r>
            <w:r>
              <w:rPr>
                <w:rFonts w:ascii="Times New Roman" w:hAnsi="Times New Roman" w:eastAsia="宋体"/>
                <w:b w:val="0"/>
                <w:bCs w:val="0"/>
                <w:strike w:val="0"/>
                <w:dstrike w:val="0"/>
                <w:color w:val="auto"/>
                <w:szCs w:val="21"/>
                <w:highlight w:val="none"/>
              </w:rPr>
              <w:t>dB</w:t>
            </w:r>
            <w:r>
              <w:rPr>
                <w:rFonts w:hint="eastAsia" w:ascii="Times New Roman" w:hAnsi="Times New Roman" w:eastAsia="宋体"/>
                <w:b w:val="0"/>
                <w:bCs w:val="0"/>
                <w:strike w:val="0"/>
                <w:dstrike w:val="0"/>
                <w:color w:val="auto"/>
                <w:szCs w:val="21"/>
                <w:highlight w:val="none"/>
                <w:lang w:eastAsia="zh-CN"/>
              </w:rPr>
              <w:t>（</w:t>
            </w:r>
            <w:r>
              <w:rPr>
                <w:rFonts w:ascii="Times New Roman" w:hAnsi="Times New Roman" w:eastAsia="宋体"/>
                <w:b w:val="0"/>
                <w:bCs w:val="0"/>
                <w:strike w:val="0"/>
                <w:dstrike w:val="0"/>
                <w:color w:val="auto"/>
                <w:szCs w:val="21"/>
                <w:highlight w:val="none"/>
              </w:rPr>
              <w:t>A</w:t>
            </w:r>
            <w:r>
              <w:rPr>
                <w:rFonts w:hint="eastAsia" w:ascii="Times New Roman" w:hAnsi="Times New Roman" w:eastAsia="宋体"/>
                <w:b w:val="0"/>
                <w:bCs w:val="0"/>
                <w:strike w:val="0"/>
                <w:dstrike w:val="0"/>
                <w:color w:val="auto"/>
                <w:szCs w:val="21"/>
                <w:highlight w:val="none"/>
                <w:lang w:eastAsia="zh-CN"/>
              </w:rPr>
              <w:t>）</w:t>
            </w:r>
          </w:p>
        </w:tc>
      </w:tr>
      <w:tr w14:paraId="10B19D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435" w:type="pct"/>
            <w:vMerge w:val="continue"/>
            <w:tcBorders>
              <w:tl2br w:val="nil"/>
              <w:tr2bl w:val="nil"/>
            </w:tcBorders>
            <w:shd w:val="clear" w:color="auto" w:fill="auto"/>
            <w:vAlign w:val="center"/>
          </w:tcPr>
          <w:p w14:paraId="758C4E8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686941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vMerge w:val="continue"/>
            <w:tcBorders>
              <w:tl2br w:val="nil"/>
              <w:tr2bl w:val="nil"/>
            </w:tcBorders>
            <w:shd w:val="clear" w:color="auto" w:fill="auto"/>
            <w:vAlign w:val="center"/>
          </w:tcPr>
          <w:p w14:paraId="0E17321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425" w:type="pct"/>
            <w:vMerge w:val="continue"/>
            <w:tcBorders>
              <w:tl2br w:val="nil"/>
              <w:tr2bl w:val="nil"/>
            </w:tcBorders>
            <w:shd w:val="clear" w:color="auto" w:fill="auto"/>
            <w:vAlign w:val="center"/>
          </w:tcPr>
          <w:p w14:paraId="5507716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12" w:type="pct"/>
            <w:tcBorders>
              <w:tl2br w:val="nil"/>
              <w:tr2bl w:val="nil"/>
            </w:tcBorders>
            <w:shd w:val="clear" w:color="auto" w:fill="auto"/>
            <w:vAlign w:val="center"/>
          </w:tcPr>
          <w:p w14:paraId="1C4EF72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治理前</w:t>
            </w:r>
          </w:p>
        </w:tc>
        <w:tc>
          <w:tcPr>
            <w:tcW w:w="1855" w:type="pct"/>
            <w:tcBorders>
              <w:tl2br w:val="nil"/>
              <w:tr2bl w:val="nil"/>
            </w:tcBorders>
            <w:shd w:val="clear" w:color="auto" w:fill="auto"/>
            <w:vAlign w:val="center"/>
          </w:tcPr>
          <w:p w14:paraId="07C01C6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治理措施</w:t>
            </w:r>
          </w:p>
        </w:tc>
        <w:tc>
          <w:tcPr>
            <w:tcW w:w="586" w:type="pct"/>
            <w:tcBorders>
              <w:tl2br w:val="nil"/>
              <w:tr2bl w:val="nil"/>
            </w:tcBorders>
            <w:shd w:val="clear" w:color="auto" w:fill="auto"/>
            <w:vAlign w:val="center"/>
          </w:tcPr>
          <w:p w14:paraId="3E65293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治理后</w:t>
            </w:r>
          </w:p>
        </w:tc>
      </w:tr>
      <w:tr w14:paraId="0071DE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435" w:type="pct"/>
            <w:tcBorders>
              <w:tl2br w:val="nil"/>
              <w:tr2bl w:val="nil"/>
            </w:tcBorders>
            <w:shd w:val="clear" w:color="auto" w:fill="auto"/>
            <w:vAlign w:val="center"/>
          </w:tcPr>
          <w:p w14:paraId="3380198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w:t>
            </w:r>
          </w:p>
        </w:tc>
        <w:tc>
          <w:tcPr>
            <w:tcW w:w="586" w:type="pct"/>
            <w:tcBorders>
              <w:tl2br w:val="nil"/>
              <w:tr2bl w:val="nil"/>
            </w:tcBorders>
            <w:shd w:val="clear" w:color="auto" w:fill="auto"/>
            <w:vAlign w:val="center"/>
          </w:tcPr>
          <w:p w14:paraId="5DB36CC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施工期</w:t>
            </w:r>
          </w:p>
        </w:tc>
        <w:tc>
          <w:tcPr>
            <w:tcW w:w="599" w:type="pct"/>
            <w:tcBorders>
              <w:tl2br w:val="nil"/>
              <w:tr2bl w:val="nil"/>
            </w:tcBorders>
            <w:shd w:val="clear" w:color="auto" w:fill="auto"/>
            <w:vAlign w:val="center"/>
          </w:tcPr>
          <w:p w14:paraId="23B5FE9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施工机械噪声</w:t>
            </w:r>
          </w:p>
        </w:tc>
        <w:tc>
          <w:tcPr>
            <w:tcW w:w="425" w:type="pct"/>
            <w:tcBorders>
              <w:tl2br w:val="nil"/>
              <w:tr2bl w:val="nil"/>
            </w:tcBorders>
            <w:shd w:val="clear" w:color="auto" w:fill="auto"/>
            <w:vAlign w:val="center"/>
          </w:tcPr>
          <w:p w14:paraId="570058D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间歇</w:t>
            </w:r>
          </w:p>
        </w:tc>
        <w:tc>
          <w:tcPr>
            <w:tcW w:w="512" w:type="pct"/>
            <w:tcBorders>
              <w:tl2br w:val="nil"/>
              <w:tr2bl w:val="nil"/>
            </w:tcBorders>
            <w:shd w:val="clear" w:color="auto" w:fill="auto"/>
            <w:vAlign w:val="center"/>
          </w:tcPr>
          <w:p w14:paraId="74D83C0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8</w:t>
            </w:r>
            <w:r>
              <w:rPr>
                <w:rFonts w:ascii="Times New Roman" w:hAnsi="Times New Roman" w:eastAsia="宋体"/>
                <w:b w:val="0"/>
                <w:bCs w:val="0"/>
                <w:strike w:val="0"/>
                <w:dstrike w:val="0"/>
                <w:color w:val="auto"/>
                <w:szCs w:val="21"/>
                <w:highlight w:val="none"/>
              </w:rPr>
              <w:t>0</w:t>
            </w:r>
          </w:p>
        </w:tc>
        <w:tc>
          <w:tcPr>
            <w:tcW w:w="1855" w:type="pct"/>
            <w:tcBorders>
              <w:tl2br w:val="nil"/>
              <w:tr2bl w:val="nil"/>
            </w:tcBorders>
            <w:shd w:val="clear" w:color="auto" w:fill="auto"/>
            <w:vAlign w:val="center"/>
          </w:tcPr>
          <w:p w14:paraId="687535C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距离衰减、优化施工组织设计</w:t>
            </w:r>
          </w:p>
        </w:tc>
        <w:tc>
          <w:tcPr>
            <w:tcW w:w="586" w:type="pct"/>
            <w:tcBorders>
              <w:tl2br w:val="nil"/>
              <w:tr2bl w:val="nil"/>
            </w:tcBorders>
            <w:shd w:val="clear" w:color="auto" w:fill="auto"/>
            <w:vAlign w:val="center"/>
          </w:tcPr>
          <w:p w14:paraId="169974A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60</w:t>
            </w:r>
          </w:p>
        </w:tc>
      </w:tr>
      <w:tr w14:paraId="2622EC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restart"/>
            <w:tcBorders>
              <w:tl2br w:val="nil"/>
              <w:tr2bl w:val="nil"/>
            </w:tcBorders>
            <w:shd w:val="clear" w:color="auto" w:fill="auto"/>
            <w:vAlign w:val="center"/>
          </w:tcPr>
          <w:p w14:paraId="729998CE">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2</w:t>
            </w:r>
          </w:p>
        </w:tc>
        <w:tc>
          <w:tcPr>
            <w:tcW w:w="586" w:type="pct"/>
            <w:vMerge w:val="restart"/>
            <w:tcBorders>
              <w:tl2br w:val="nil"/>
              <w:tr2bl w:val="nil"/>
            </w:tcBorders>
            <w:shd w:val="clear" w:color="auto" w:fill="auto"/>
            <w:vAlign w:val="center"/>
          </w:tcPr>
          <w:p w14:paraId="3E4A099A">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运营期</w:t>
            </w:r>
          </w:p>
        </w:tc>
        <w:tc>
          <w:tcPr>
            <w:tcW w:w="599" w:type="pct"/>
            <w:tcBorders>
              <w:tl2br w:val="nil"/>
              <w:tr2bl w:val="nil"/>
            </w:tcBorders>
            <w:shd w:val="clear" w:color="auto" w:fill="auto"/>
            <w:vAlign w:val="center"/>
          </w:tcPr>
          <w:p w14:paraId="6E0D48C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b w:val="0"/>
                <w:bCs w:val="0"/>
                <w:strike w:val="0"/>
                <w:dstrike w:val="0"/>
                <w:color w:val="auto"/>
                <w:szCs w:val="21"/>
                <w:highlight w:val="none"/>
              </w:rPr>
            </w:pPr>
            <w:r>
              <w:rPr>
                <w:rFonts w:ascii="Times New Roman" w:hAnsi="Times New Roman" w:eastAsia="宋体" w:cs="宋体"/>
                <w:strike w:val="0"/>
                <w:dstrike w:val="0"/>
                <w:color w:val="auto"/>
                <w:spacing w:val="0"/>
                <w:position w:val="0"/>
                <w:sz w:val="21"/>
                <w:szCs w:val="21"/>
                <w:highlight w:val="none"/>
              </w:rPr>
              <w:t>排风扇</w:t>
            </w:r>
          </w:p>
        </w:tc>
        <w:tc>
          <w:tcPr>
            <w:tcW w:w="425" w:type="pct"/>
            <w:tcBorders>
              <w:tl2br w:val="nil"/>
              <w:tr2bl w:val="nil"/>
            </w:tcBorders>
            <w:shd w:val="clear" w:color="auto" w:fill="auto"/>
            <w:vAlign w:val="center"/>
          </w:tcPr>
          <w:p w14:paraId="6793E50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连续</w:t>
            </w:r>
          </w:p>
        </w:tc>
        <w:tc>
          <w:tcPr>
            <w:tcW w:w="512" w:type="pct"/>
            <w:tcBorders>
              <w:tl2br w:val="nil"/>
              <w:tr2bl w:val="nil"/>
            </w:tcBorders>
            <w:shd w:val="clear" w:color="auto" w:fill="auto"/>
            <w:vAlign w:val="center"/>
          </w:tcPr>
          <w:p w14:paraId="31F4A09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75</w:t>
            </w:r>
          </w:p>
        </w:tc>
        <w:tc>
          <w:tcPr>
            <w:tcW w:w="1855" w:type="pct"/>
            <w:tcBorders>
              <w:tl2br w:val="nil"/>
              <w:tr2bl w:val="nil"/>
            </w:tcBorders>
            <w:shd w:val="clear" w:color="auto" w:fill="auto"/>
            <w:vAlign w:val="center"/>
          </w:tcPr>
          <w:p w14:paraId="4377E52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4C322CA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55</w:t>
            </w:r>
          </w:p>
        </w:tc>
      </w:tr>
      <w:tr w14:paraId="1078A5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2CD9165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C34AC4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5BEE100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ascii="Times New Roman" w:hAnsi="Times New Roman" w:eastAsia="宋体"/>
                <w:b w:val="0"/>
                <w:bCs w:val="0"/>
                <w:strike w:val="0"/>
                <w:dstrike w:val="0"/>
                <w:color w:val="auto"/>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挤奶真空泵</w:t>
            </w:r>
          </w:p>
        </w:tc>
        <w:tc>
          <w:tcPr>
            <w:tcW w:w="425" w:type="pct"/>
            <w:tcBorders>
              <w:tl2br w:val="nil"/>
              <w:tr2bl w:val="nil"/>
            </w:tcBorders>
            <w:shd w:val="clear" w:color="auto" w:fill="auto"/>
            <w:vAlign w:val="center"/>
          </w:tcPr>
          <w:p w14:paraId="73A2B3E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间歇</w:t>
            </w:r>
          </w:p>
        </w:tc>
        <w:tc>
          <w:tcPr>
            <w:tcW w:w="512" w:type="pct"/>
            <w:tcBorders>
              <w:tl2br w:val="nil"/>
              <w:tr2bl w:val="nil"/>
            </w:tcBorders>
            <w:shd w:val="clear" w:color="auto" w:fill="auto"/>
            <w:vAlign w:val="center"/>
          </w:tcPr>
          <w:p w14:paraId="0D592A48">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lang w:val="en-US" w:eastAsia="zh-CN"/>
              </w:rPr>
            </w:pPr>
            <w:r>
              <w:rPr>
                <w:rFonts w:ascii="Times New Roman" w:hAnsi="Times New Roman" w:eastAsia="宋体"/>
                <w:b w:val="0"/>
                <w:bCs w:val="0"/>
                <w:strike w:val="0"/>
                <w:dstrike w:val="0"/>
                <w:color w:val="auto"/>
                <w:szCs w:val="21"/>
                <w:highlight w:val="none"/>
              </w:rPr>
              <w:t>7</w:t>
            </w:r>
            <w:r>
              <w:rPr>
                <w:rFonts w:hint="eastAsia" w:ascii="Times New Roman" w:hAnsi="Times New Roman" w:eastAsia="宋体"/>
                <w:b w:val="0"/>
                <w:bCs w:val="0"/>
                <w:strike w:val="0"/>
                <w:dstrike w:val="0"/>
                <w:color w:val="auto"/>
                <w:szCs w:val="21"/>
                <w:highlight w:val="none"/>
                <w:lang w:val="en-US" w:eastAsia="zh-CN"/>
              </w:rPr>
              <w:t>0</w:t>
            </w:r>
          </w:p>
        </w:tc>
        <w:tc>
          <w:tcPr>
            <w:tcW w:w="1855" w:type="pct"/>
            <w:tcBorders>
              <w:tl2br w:val="nil"/>
              <w:tr2bl w:val="nil"/>
            </w:tcBorders>
            <w:shd w:val="clear" w:color="auto" w:fill="auto"/>
            <w:vAlign w:val="center"/>
          </w:tcPr>
          <w:p w14:paraId="74B3B85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00E503B0">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50</w:t>
            </w:r>
          </w:p>
        </w:tc>
      </w:tr>
      <w:tr w14:paraId="73B1D9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306F9E0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1AFB32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429F8E9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清洗高压水泵</w:t>
            </w:r>
          </w:p>
        </w:tc>
        <w:tc>
          <w:tcPr>
            <w:tcW w:w="425" w:type="pct"/>
            <w:tcBorders>
              <w:tl2br w:val="nil"/>
              <w:tr2bl w:val="nil"/>
            </w:tcBorders>
            <w:shd w:val="clear" w:color="auto" w:fill="auto"/>
            <w:vAlign w:val="center"/>
          </w:tcPr>
          <w:p w14:paraId="4E58636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间歇</w:t>
            </w:r>
          </w:p>
        </w:tc>
        <w:tc>
          <w:tcPr>
            <w:tcW w:w="512" w:type="pct"/>
            <w:tcBorders>
              <w:tl2br w:val="nil"/>
              <w:tr2bl w:val="nil"/>
            </w:tcBorders>
            <w:shd w:val="clear" w:color="auto" w:fill="auto"/>
            <w:vAlign w:val="center"/>
          </w:tcPr>
          <w:p w14:paraId="673C2ED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75</w:t>
            </w:r>
          </w:p>
        </w:tc>
        <w:tc>
          <w:tcPr>
            <w:tcW w:w="3162" w:type="dxa"/>
            <w:tcBorders>
              <w:tl2br w:val="nil"/>
              <w:tr2bl w:val="nil"/>
            </w:tcBorders>
            <w:shd w:val="clear" w:color="auto" w:fill="auto"/>
            <w:vAlign w:val="center"/>
          </w:tcPr>
          <w:p w14:paraId="18AF734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291078F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55</w:t>
            </w:r>
          </w:p>
        </w:tc>
      </w:tr>
      <w:tr w14:paraId="39F402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264AC5F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2C4A657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1884832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饲料粉碎机</w:t>
            </w:r>
          </w:p>
        </w:tc>
        <w:tc>
          <w:tcPr>
            <w:tcW w:w="425" w:type="pct"/>
            <w:tcBorders>
              <w:tl2br w:val="nil"/>
              <w:tr2bl w:val="nil"/>
            </w:tcBorders>
            <w:shd w:val="clear" w:color="auto" w:fill="auto"/>
            <w:vAlign w:val="center"/>
          </w:tcPr>
          <w:p w14:paraId="4E9AD63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3502CA1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85</w:t>
            </w:r>
          </w:p>
        </w:tc>
        <w:tc>
          <w:tcPr>
            <w:tcW w:w="3162" w:type="dxa"/>
            <w:tcBorders>
              <w:tl2br w:val="nil"/>
              <w:tr2bl w:val="nil"/>
            </w:tcBorders>
            <w:shd w:val="clear" w:color="auto" w:fill="auto"/>
            <w:vAlign w:val="center"/>
          </w:tcPr>
          <w:p w14:paraId="1CD6864D">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1E2F6CE3">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65</w:t>
            </w:r>
          </w:p>
        </w:tc>
      </w:tr>
      <w:tr w14:paraId="63E744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59C5886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3D48569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335B1F4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饲料搅拌机</w:t>
            </w:r>
          </w:p>
        </w:tc>
        <w:tc>
          <w:tcPr>
            <w:tcW w:w="425" w:type="pct"/>
            <w:tcBorders>
              <w:tl2br w:val="nil"/>
              <w:tr2bl w:val="nil"/>
            </w:tcBorders>
            <w:shd w:val="clear" w:color="auto" w:fill="auto"/>
            <w:vAlign w:val="center"/>
          </w:tcPr>
          <w:p w14:paraId="3382D12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2B01CBA6">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75</w:t>
            </w:r>
          </w:p>
        </w:tc>
        <w:tc>
          <w:tcPr>
            <w:tcW w:w="3162" w:type="dxa"/>
            <w:tcBorders>
              <w:tl2br w:val="nil"/>
              <w:tr2bl w:val="nil"/>
            </w:tcBorders>
            <w:shd w:val="clear" w:color="auto" w:fill="auto"/>
            <w:vAlign w:val="center"/>
          </w:tcPr>
          <w:p w14:paraId="664819C5">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选低噪声设备、基础减振、厂房隔声</w:t>
            </w:r>
          </w:p>
        </w:tc>
        <w:tc>
          <w:tcPr>
            <w:tcW w:w="586" w:type="pct"/>
            <w:tcBorders>
              <w:tl2br w:val="nil"/>
              <w:tr2bl w:val="nil"/>
            </w:tcBorders>
            <w:shd w:val="clear" w:color="auto" w:fill="auto"/>
            <w:vAlign w:val="center"/>
          </w:tcPr>
          <w:p w14:paraId="097F1881">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55</w:t>
            </w:r>
          </w:p>
        </w:tc>
      </w:tr>
      <w:tr w14:paraId="41E947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04D26F6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473352F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5398A4F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运输车辆噪声</w:t>
            </w:r>
          </w:p>
        </w:tc>
        <w:tc>
          <w:tcPr>
            <w:tcW w:w="425" w:type="pct"/>
            <w:tcBorders>
              <w:tl2br w:val="nil"/>
              <w:tr2bl w:val="nil"/>
            </w:tcBorders>
            <w:shd w:val="clear" w:color="auto" w:fill="auto"/>
            <w:vAlign w:val="center"/>
          </w:tcPr>
          <w:p w14:paraId="57312E90">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171F631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80</w:t>
            </w:r>
          </w:p>
        </w:tc>
        <w:tc>
          <w:tcPr>
            <w:tcW w:w="3162" w:type="dxa"/>
            <w:tcBorders>
              <w:tl2br w:val="nil"/>
              <w:tr2bl w:val="nil"/>
            </w:tcBorders>
            <w:shd w:val="clear" w:color="auto" w:fill="auto"/>
            <w:vAlign w:val="center"/>
          </w:tcPr>
          <w:p w14:paraId="53B809DE">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控制车速、禁止鸣笛</w:t>
            </w:r>
          </w:p>
        </w:tc>
        <w:tc>
          <w:tcPr>
            <w:tcW w:w="586" w:type="pct"/>
            <w:tcBorders>
              <w:tl2br w:val="nil"/>
              <w:tr2bl w:val="nil"/>
            </w:tcBorders>
            <w:shd w:val="clear" w:color="auto" w:fill="auto"/>
            <w:vAlign w:val="center"/>
          </w:tcPr>
          <w:p w14:paraId="7A4E3B64">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60</w:t>
            </w:r>
          </w:p>
        </w:tc>
      </w:tr>
      <w:tr w14:paraId="36540F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35" w:type="pct"/>
            <w:vMerge w:val="continue"/>
            <w:tcBorders>
              <w:tl2br w:val="nil"/>
              <w:tr2bl w:val="nil"/>
            </w:tcBorders>
            <w:shd w:val="clear" w:color="auto" w:fill="auto"/>
            <w:vAlign w:val="center"/>
          </w:tcPr>
          <w:p w14:paraId="44E6F4A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86" w:type="pct"/>
            <w:vMerge w:val="continue"/>
            <w:tcBorders>
              <w:tl2br w:val="nil"/>
              <w:tr2bl w:val="nil"/>
            </w:tcBorders>
            <w:shd w:val="clear" w:color="auto" w:fill="auto"/>
            <w:vAlign w:val="center"/>
          </w:tcPr>
          <w:p w14:paraId="77EE814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599" w:type="pct"/>
            <w:tcBorders>
              <w:tl2br w:val="nil"/>
              <w:tr2bl w:val="nil"/>
            </w:tcBorders>
            <w:shd w:val="clear" w:color="auto" w:fill="auto"/>
            <w:vAlign w:val="center"/>
          </w:tcPr>
          <w:p w14:paraId="7CD345C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骆驼叫声</w:t>
            </w:r>
          </w:p>
        </w:tc>
        <w:tc>
          <w:tcPr>
            <w:tcW w:w="425" w:type="pct"/>
            <w:tcBorders>
              <w:tl2br w:val="nil"/>
              <w:tr2bl w:val="nil"/>
            </w:tcBorders>
            <w:shd w:val="clear" w:color="auto" w:fill="auto"/>
            <w:vAlign w:val="center"/>
          </w:tcPr>
          <w:p w14:paraId="7DAEDAD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间歇</w:t>
            </w:r>
          </w:p>
        </w:tc>
        <w:tc>
          <w:tcPr>
            <w:tcW w:w="512" w:type="pct"/>
            <w:tcBorders>
              <w:tl2br w:val="nil"/>
              <w:tr2bl w:val="nil"/>
            </w:tcBorders>
            <w:shd w:val="clear" w:color="auto" w:fill="auto"/>
            <w:vAlign w:val="center"/>
          </w:tcPr>
          <w:p w14:paraId="116E054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70</w:t>
            </w:r>
          </w:p>
        </w:tc>
        <w:tc>
          <w:tcPr>
            <w:tcW w:w="1855" w:type="pct"/>
            <w:tcBorders>
              <w:tl2br w:val="nil"/>
              <w:tr2bl w:val="nil"/>
            </w:tcBorders>
            <w:shd w:val="clear" w:color="auto" w:fill="auto"/>
            <w:vAlign w:val="center"/>
          </w:tcPr>
          <w:p w14:paraId="4B27C6EF">
            <w:pPr>
              <w:pStyle w:val="152"/>
              <w:spacing w:line="240" w:lineRule="auto"/>
              <w:ind w:firstLine="0" w:firstLineChars="0"/>
              <w:jc w:val="center"/>
              <w:rPr>
                <w:rFonts w:hint="eastAsia" w:ascii="Times New Roman" w:hAnsi="Times New Roman" w:eastAsia="宋体"/>
                <w:b w:val="0"/>
                <w:bCs w:val="0"/>
                <w:strike w:val="0"/>
                <w:dstrike w:val="0"/>
                <w:color w:val="auto"/>
                <w:szCs w:val="21"/>
                <w:highlight w:val="none"/>
              </w:rPr>
            </w:pPr>
            <w:r>
              <w:rPr>
                <w:rFonts w:hint="eastAsia" w:ascii="Times New Roman" w:hAnsi="Times New Roman" w:eastAsia="宋体"/>
                <w:b w:val="0"/>
                <w:bCs w:val="0"/>
                <w:strike w:val="0"/>
                <w:dstrike w:val="0"/>
                <w:color w:val="auto"/>
                <w:szCs w:val="21"/>
                <w:highlight w:val="none"/>
              </w:rPr>
              <w:t>精心饲养、厂房隔声</w:t>
            </w:r>
          </w:p>
        </w:tc>
        <w:tc>
          <w:tcPr>
            <w:tcW w:w="586" w:type="pct"/>
            <w:tcBorders>
              <w:tl2br w:val="nil"/>
              <w:tr2bl w:val="nil"/>
            </w:tcBorders>
            <w:shd w:val="clear" w:color="auto" w:fill="auto"/>
            <w:vAlign w:val="center"/>
          </w:tcPr>
          <w:p w14:paraId="24C3D8A4">
            <w:pPr>
              <w:pStyle w:val="152"/>
              <w:spacing w:line="240" w:lineRule="auto"/>
              <w:ind w:firstLine="0" w:firstLineChars="0"/>
              <w:jc w:val="center"/>
              <w:rPr>
                <w:rFonts w:hint="default" w:ascii="Times New Roman" w:hAnsi="Times New Roman" w:eastAsia="宋体"/>
                <w:b w:val="0"/>
                <w:bCs w:val="0"/>
                <w:strike w:val="0"/>
                <w:dstrike w:val="0"/>
                <w:color w:val="auto"/>
                <w:szCs w:val="21"/>
                <w:highlight w:val="none"/>
                <w:lang w:val="en-US" w:eastAsia="zh-CN"/>
              </w:rPr>
            </w:pPr>
            <w:r>
              <w:rPr>
                <w:rFonts w:hint="eastAsia" w:ascii="Times New Roman" w:hAnsi="Times New Roman" w:eastAsia="宋体"/>
                <w:b w:val="0"/>
                <w:bCs w:val="0"/>
                <w:strike w:val="0"/>
                <w:dstrike w:val="0"/>
                <w:color w:val="auto"/>
                <w:szCs w:val="21"/>
                <w:highlight w:val="none"/>
                <w:lang w:val="en-US" w:eastAsia="zh-CN"/>
              </w:rPr>
              <w:t>50</w:t>
            </w:r>
          </w:p>
        </w:tc>
      </w:tr>
      <w:bookmarkEnd w:id="237"/>
    </w:tbl>
    <w:p w14:paraId="49E8433A">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2、预测方法及模式</w:t>
      </w:r>
    </w:p>
    <w:p w14:paraId="1F5F42FD">
      <w:pPr>
        <w:ind w:firstLine="472"/>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spacing w:val="-2"/>
          <w:highlight w:val="none"/>
        </w:rPr>
        <w:t>根据各发声建筑内发声设备噪声源强和分布，采用适当计算模式，并参照有关资料及类比调查数据，确定发声设备1米处的噪声级</w:t>
      </w:r>
      <w:r>
        <w:rPr>
          <w:rFonts w:hint="eastAsia" w:ascii="Times New Roman" w:hAnsi="Times New Roman" w:eastAsia="宋体"/>
          <w:strike w:val="0"/>
          <w:dstrike w:val="0"/>
          <w:color w:val="auto"/>
          <w:spacing w:val="-2"/>
          <w:highlight w:val="none"/>
          <w:lang w:eastAsia="zh-CN"/>
        </w:rPr>
        <w:t>。</w:t>
      </w:r>
      <w:r>
        <w:rPr>
          <w:rFonts w:hint="eastAsia" w:ascii="Times New Roman" w:hAnsi="Times New Roman" w:eastAsia="宋体"/>
          <w:strike w:val="0"/>
          <w:dstrike w:val="0"/>
          <w:color w:val="auto"/>
          <w:spacing w:val="-2"/>
          <w:highlight w:val="none"/>
          <w:lang w:val="en-US" w:eastAsia="zh-CN"/>
        </w:rPr>
        <w:t>本项目噪声源距离厂界约2m的距离。</w:t>
      </w:r>
      <w:r>
        <w:rPr>
          <w:rFonts w:ascii="Times New Roman" w:hAnsi="Times New Roman" w:eastAsia="宋体"/>
          <w:strike w:val="0"/>
          <w:dstrike w:val="0"/>
          <w:color w:val="auto"/>
          <w:spacing w:val="-2"/>
          <w:highlight w:val="none"/>
        </w:rPr>
        <w:t>最后将每个发声设备作为一个声源（面、点），按噪声传播、衰减、叠加规律，考虑本底值，得出厂界环境噪声分布</w:t>
      </w:r>
      <w:r>
        <w:rPr>
          <w:rFonts w:hint="eastAsia" w:ascii="Times New Roman" w:hAnsi="Times New Roman" w:eastAsia="宋体"/>
          <w:strike w:val="0"/>
          <w:dstrike w:val="0"/>
          <w:color w:val="auto"/>
          <w:spacing w:val="-2"/>
          <w:highlight w:val="none"/>
          <w:lang w:eastAsia="zh-CN"/>
        </w:rPr>
        <w:t>。</w:t>
      </w:r>
    </w:p>
    <w:p w14:paraId="4AA30C0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据《环境影响评价技术导则声环境》（H</w:t>
      </w:r>
      <w:r>
        <w:rPr>
          <w:rFonts w:ascii="Times New Roman" w:hAnsi="Times New Roman" w:eastAsia="宋体"/>
          <w:strike w:val="0"/>
          <w:dstrike w:val="0"/>
          <w:color w:val="auto"/>
          <w:highlight w:val="none"/>
        </w:rPr>
        <w:t>J2.4-2021</w:t>
      </w:r>
      <w:r>
        <w:rPr>
          <w:rFonts w:hint="eastAsia" w:ascii="Times New Roman" w:hAnsi="Times New Roman" w:eastAsia="宋体"/>
          <w:strike w:val="0"/>
          <w:dstrike w:val="0"/>
          <w:color w:val="auto"/>
          <w:highlight w:val="none"/>
        </w:rPr>
        <w:t>）附录A，</w:t>
      </w:r>
      <w:r>
        <w:rPr>
          <w:rFonts w:ascii="Times New Roman" w:hAnsi="Times New Roman" w:eastAsia="宋体"/>
          <w:strike w:val="0"/>
          <w:dstrike w:val="0"/>
          <w:color w:val="auto"/>
          <w:highlight w:val="none"/>
        </w:rPr>
        <w:t>噪声预测模式如下：</w:t>
      </w:r>
    </w:p>
    <w:p w14:paraId="104BC851">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（1）基本计算公式</w:t>
      </w:r>
    </w:p>
    <w:p w14:paraId="05EFCC43">
      <w:pPr>
        <w:ind w:firstLine="480"/>
        <w:rPr>
          <w:rFonts w:ascii="Times New Roman" w:hAnsi="Times New Roman" w:eastAsia="宋体"/>
          <w:strike w:val="0"/>
          <w:dstrike w:val="0"/>
          <w:color w:val="auto"/>
          <w:highlight w:val="none"/>
        </w:rPr>
      </w:pPr>
      <w:bookmarkStart w:id="238" w:name="_Toc9163"/>
      <w:bookmarkStart w:id="239" w:name="_Toc13360"/>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单个室外点声源在预测点产生的声级计算公式</w:t>
      </w:r>
      <w:bookmarkEnd w:id="238"/>
      <w:bookmarkEnd w:id="239"/>
    </w:p>
    <w:p w14:paraId="105AC760">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在环境影响评价中，应根据声源声功率级或靠近声源某一参考位置处的已知声级（如实测得到的）、户外声传播衰减，计算距离声源较远处的预测点的声级</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在已知距离无指向性点声源参考点r</w:t>
      </w:r>
      <w:r>
        <w:rPr>
          <w:rFonts w:ascii="Times New Roman" w:hAnsi="Times New Roman" w:eastAsia="宋体"/>
          <w:strike w:val="0"/>
          <w:dstrike w:val="0"/>
          <w:color w:val="auto"/>
          <w:highlight w:val="none"/>
          <w:vertAlign w:val="subscript"/>
        </w:rPr>
        <w:t>0</w:t>
      </w:r>
      <w:r>
        <w:rPr>
          <w:rFonts w:ascii="Times New Roman" w:hAnsi="Times New Roman" w:eastAsia="宋体"/>
          <w:strike w:val="0"/>
          <w:dstrike w:val="0"/>
          <w:color w:val="auto"/>
          <w:highlight w:val="none"/>
        </w:rPr>
        <w:t>处的倍频带（用63Hz到8KHz的8个标称倍频带中心频率）声压级LP</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ascii="Times New Roman" w:hAnsi="Times New Roman" w:eastAsia="宋体"/>
          <w:strike w:val="0"/>
          <w:dstrike w:val="0"/>
          <w:color w:val="auto"/>
          <w:highlight w:val="none"/>
          <w:vertAlign w:val="subscript"/>
        </w:rPr>
        <w:t>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和计算出参考点</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ascii="Times New Roman" w:hAnsi="Times New Roman" w:eastAsia="宋体"/>
          <w:strike w:val="0"/>
          <w:dstrike w:val="0"/>
          <w:color w:val="auto"/>
          <w:highlight w:val="none"/>
          <w:vertAlign w:val="subscript"/>
        </w:rPr>
        <w:t>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和预测点</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处之间的户外声传播衰减后，预测点8个倍频带声压级可分别用下列公式计算：</w:t>
      </w:r>
    </w:p>
    <w:p w14:paraId="761E3856">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3111500" cy="241300"/>
            <wp:effectExtent l="0" t="0" r="0" b="635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111500" cy="2413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w:t>
      </w:r>
    </w:p>
    <w:p w14:paraId="2870A579">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公式中：</w:t>
      </w:r>
    </w:p>
    <w:p w14:paraId="323490B2">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Dc--指向性校正，dB；他描述点声源的等效声压级与产生声功率级Lw的全向点声源在规定方向的级的偏差程度</w:t>
      </w:r>
      <w:r>
        <w:rPr>
          <w:rFonts w:hint="eastAsia" w:ascii="Times New Roman" w:hAnsi="Times New Roman" w:eastAsia="宋体"/>
          <w:strike w:val="0"/>
          <w:dstrike w:val="0"/>
          <w:color w:val="auto"/>
          <w:highlight w:val="none"/>
          <w:lang w:eastAsia="zh-CN"/>
        </w:rPr>
        <w:t>。</w:t>
      </w:r>
    </w:p>
    <w:p w14:paraId="5223A399">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div</w:t>
      </w:r>
      <w:r>
        <w:rPr>
          <w:rFonts w:ascii="Times New Roman" w:hAnsi="Times New Roman" w:eastAsia="宋体"/>
          <w:strike w:val="0"/>
          <w:dstrike w:val="0"/>
          <w:color w:val="auto"/>
          <w:highlight w:val="none"/>
        </w:rPr>
        <w:t>--几何发散引起的倍频带衰减，dB；</w:t>
      </w:r>
    </w:p>
    <w:p w14:paraId="24C3E9A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atm</w:t>
      </w:r>
      <w:r>
        <w:rPr>
          <w:rFonts w:ascii="Times New Roman" w:hAnsi="Times New Roman" w:eastAsia="宋体"/>
          <w:strike w:val="0"/>
          <w:dstrike w:val="0"/>
          <w:color w:val="auto"/>
          <w:highlight w:val="none"/>
        </w:rPr>
        <w:t>--大气吸收引起的倍频带衰减，dB；</w:t>
      </w:r>
    </w:p>
    <w:p w14:paraId="0C43E8D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gr</w:t>
      </w:r>
      <w:r>
        <w:rPr>
          <w:rFonts w:ascii="Times New Roman" w:hAnsi="Times New Roman" w:eastAsia="宋体"/>
          <w:strike w:val="0"/>
          <w:dstrike w:val="0"/>
          <w:color w:val="auto"/>
          <w:highlight w:val="none"/>
        </w:rPr>
        <w:t>--地面效应引起的倍频带衰减，dB；</w:t>
      </w:r>
    </w:p>
    <w:p w14:paraId="1523062C">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--声屏障引起的倍频带衰减，dB；</w:t>
      </w:r>
    </w:p>
    <w:p w14:paraId="51C5111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misc</w:t>
      </w:r>
      <w:r>
        <w:rPr>
          <w:rFonts w:ascii="Times New Roman" w:hAnsi="Times New Roman" w:eastAsia="宋体"/>
          <w:strike w:val="0"/>
          <w:dstrike w:val="0"/>
          <w:color w:val="auto"/>
          <w:highlight w:val="none"/>
        </w:rPr>
        <w:t>--其他多方面效应引起的倍频带衰减，dB；</w:t>
      </w:r>
    </w:p>
    <w:p w14:paraId="2AD19F93">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B、预测点的A声级LA</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可按下列公式计算，即将8个倍频带声压级合成，计算出预测点的A声级（LA</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p>
    <w:p w14:paraId="656CB7E9">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28"/>
          <w:highlight w:val="none"/>
        </w:rPr>
        <w:object>
          <v:shape id="_x0000_i1032" o:spt="75" type="#_x0000_t75" style="height:34.1pt;width:158.9pt;" o:ole="t" fillcolor="#000005" filled="f" o:preferrelative="t" stroked="f" coordsize="21600,21600">
            <v:path/>
            <v:fill on="f" focussize="0,0"/>
            <v:stroke on="f" joinstyle="miter"/>
            <v:imagedata r:id="rId51" o:title=""/>
            <o:lock v:ext="edit" aspectratio="t"/>
            <w10:wrap type="none"/>
            <w10:anchorlock/>
          </v:shape>
          <o:OLEObject Type="Embed" ProgID="Equation.3" ShapeID="_x0000_i1032" DrawAspect="Content" ObjectID="_1468075732" r:id="rId50">
            <o:LockedField>false</o:LockedField>
          </o:OLEObject>
        </w:obje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.2）</w:t>
      </w:r>
    </w:p>
    <w:p w14:paraId="6C43976C">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371C99F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L</w:t>
      </w:r>
      <w:r>
        <w:rPr>
          <w:rFonts w:ascii="Times New Roman" w:hAnsi="Times New Roman" w:eastAsia="宋体"/>
          <w:strike w:val="0"/>
          <w:dstrike w:val="0"/>
          <w:color w:val="auto"/>
          <w:highlight w:val="none"/>
          <w:vertAlign w:val="subscript"/>
        </w:rPr>
        <w:t>Pi</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r</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--预测点（r）处，第i倍频带声压级，dB；</w:t>
      </w:r>
    </w:p>
    <w:p w14:paraId="58B425A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Δ</w:t>
      </w:r>
      <w:r>
        <w:rPr>
          <w:rFonts w:ascii="Times New Roman" w:hAnsi="Times New Roman" w:eastAsia="宋体"/>
          <w:strike w:val="0"/>
          <w:dstrike w:val="0"/>
          <w:color w:val="auto"/>
          <w:highlight w:val="none"/>
          <w:vertAlign w:val="subscript"/>
        </w:rPr>
        <w:t>Li</w:t>
      </w:r>
      <w:r>
        <w:rPr>
          <w:rFonts w:ascii="Times New Roman" w:hAnsi="Times New Roman" w:eastAsia="宋体"/>
          <w:strike w:val="0"/>
          <w:dstrike w:val="0"/>
          <w:color w:val="auto"/>
          <w:highlight w:val="none"/>
        </w:rPr>
        <w:t>--第i倍频带的A计权网络修正值</w:t>
      </w:r>
      <w:r>
        <w:rPr>
          <w:rFonts w:hint="eastAsia" w:ascii="Times New Roman" w:hAnsi="Times New Roman" w:eastAsia="宋体"/>
          <w:strike w:val="0"/>
          <w:dstrike w:val="0"/>
          <w:color w:val="auto"/>
          <w:highlight w:val="none"/>
          <w:lang w:eastAsia="zh-CN"/>
        </w:rPr>
        <w:t>。</w:t>
      </w:r>
    </w:p>
    <w:p w14:paraId="30C18E69">
      <w:pPr>
        <w:ind w:firstLine="480"/>
        <w:rPr>
          <w:rFonts w:ascii="Times New Roman" w:hAnsi="Times New Roman" w:eastAsia="宋体"/>
          <w:strike w:val="0"/>
          <w:dstrike w:val="0"/>
          <w:color w:val="auto"/>
          <w:highlight w:val="none"/>
        </w:rPr>
      </w:pPr>
      <w:bookmarkStart w:id="240" w:name="_Toc1166"/>
      <w:bookmarkStart w:id="241" w:name="_Toc1797"/>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室内声源等效室外声源声功率计算公式</w:t>
      </w:r>
      <w:bookmarkEnd w:id="240"/>
      <w:bookmarkEnd w:id="241"/>
    </w:p>
    <w:p w14:paraId="63A240EE">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声源位于室内，室内声源可采用等效室外声源声功率级法进行计算</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设靠近开口处（或窗户）室内、室外某倍频带的声压级分别为L</w:t>
      </w:r>
      <w:r>
        <w:rPr>
          <w:rFonts w:ascii="Times New Roman" w:hAnsi="Times New Roman" w:eastAsia="宋体"/>
          <w:strike w:val="0"/>
          <w:dstrike w:val="0"/>
          <w:color w:val="auto"/>
          <w:highlight w:val="none"/>
          <w:vertAlign w:val="subscript"/>
        </w:rPr>
        <w:t>p1</w:t>
      </w:r>
      <w:r>
        <w:rPr>
          <w:rFonts w:ascii="Times New Roman" w:hAnsi="Times New Roman" w:eastAsia="宋体"/>
          <w:strike w:val="0"/>
          <w:dstrike w:val="0"/>
          <w:color w:val="auto"/>
          <w:highlight w:val="none"/>
        </w:rPr>
        <w:t>和L</w:t>
      </w:r>
      <w:r>
        <w:rPr>
          <w:rFonts w:ascii="Times New Roman" w:hAnsi="Times New Roman" w:eastAsia="宋体"/>
          <w:strike w:val="0"/>
          <w:dstrike w:val="0"/>
          <w:color w:val="auto"/>
          <w:highlight w:val="none"/>
          <w:vertAlign w:val="subscript"/>
        </w:rPr>
        <w:t>p2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若声源所在室内声场为近似扩散声场</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则室外得倍频带的声压级公式为：</w:t>
      </w:r>
    </w:p>
    <w:p w14:paraId="036934C5">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12"/>
          <w:highlight w:val="none"/>
        </w:rPr>
        <w:object>
          <v:shape id="_x0000_i1033" o:spt="75" type="#_x0000_t75" style="height:18.25pt;width:109.9pt;" o:ole="t" fillcolor="#000005" filled="f" o:preferrelative="t" stroked="f" coordsize="21600,21600">
            <v:path/>
            <v:fill on="f" focussize="0,0"/>
            <v:stroke on="f" joinstyle="miter"/>
            <v:imagedata r:id="rId53" o:title=""/>
            <o:lock v:ext="edit" aspectratio="t"/>
            <w10:wrap type="none"/>
            <w10:anchorlock/>
          </v:shape>
          <o:OLEObject Type="Embed" ProgID="Equation.3" ShapeID="_x0000_i1033" DrawAspect="Content" ObjectID="_1468075733" r:id="rId52">
            <o:LockedField>false</o:LockedField>
          </o:OLEObject>
        </w:obje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.3）</w:t>
      </w:r>
    </w:p>
    <w:p w14:paraId="43C9C61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62840E1A">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TL--隔墙（或窗户）倍频带的隔声量，dB；</w:t>
      </w:r>
    </w:p>
    <w:p w14:paraId="355819FF">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69" o:spid="_x0000_s2079" o:spt="75" type="#_x0000_t75" style="position:absolute;left:0pt;margin-left:68.15pt;margin-top:20.75pt;height:30.75pt;width:140.6pt;z-index:251723776;mso-width-relative:page;mso-height-relative:page;" o:ole="t" fillcolor="#000005" filled="f" o:preferrelative="t" stroked="f" coordsize="21600,21600">
            <v:path/>
            <v:fill on="f" focussize="0,0"/>
            <v:stroke on="f" joinstyle="miter"/>
            <v:imagedata r:id="rId55" o:title=""/>
            <o:lock v:ext="edit" aspectratio="t"/>
          </v:shape>
          <o:OLEObject Type="Embed" ProgID="Equation.3" ShapeID="Picture 4369" DrawAspect="Content" ObjectID="_1468075734" r:id="rId54">
            <o:LockedField>false</o:LockedField>
          </o:OLEObject>
        </w:pict>
      </w:r>
      <w:r>
        <w:rPr>
          <w:rFonts w:ascii="Times New Roman" w:hAnsi="Times New Roman" w:eastAsia="宋体"/>
          <w:strike w:val="0"/>
          <w:dstrike w:val="0"/>
          <w:color w:val="auto"/>
          <w:highlight w:val="none"/>
        </w:rPr>
        <w:t>计算某一室内声源靠近围护结构处产生的倍频带声压级公式：</w:t>
      </w:r>
    </w:p>
    <w:p w14:paraId="60644270">
      <w:pPr>
        <w:wordWrap w:val="0"/>
        <w:spacing w:line="500" w:lineRule="exact"/>
        <w:ind w:firstLine="480"/>
        <w:jc w:val="right"/>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.4）</w:t>
      </w:r>
    </w:p>
    <w:p w14:paraId="15B8315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19744A8D">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Q--指向性因子；</w:t>
      </w:r>
    </w:p>
    <w:p w14:paraId="309CD4F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R--房间常数；</w:t>
      </w:r>
    </w:p>
    <w:p w14:paraId="0B713BE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r--声源到靠近围护结构某点处的距离，m</w:t>
      </w:r>
      <w:r>
        <w:rPr>
          <w:rFonts w:hint="eastAsia" w:ascii="Times New Roman" w:hAnsi="Times New Roman" w:eastAsia="宋体"/>
          <w:strike w:val="0"/>
          <w:dstrike w:val="0"/>
          <w:color w:val="auto"/>
          <w:highlight w:val="none"/>
          <w:lang w:eastAsia="zh-CN"/>
        </w:rPr>
        <w:t>。</w:t>
      </w:r>
    </w:p>
    <w:p w14:paraId="513D83D0">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70" o:spid="_x0000_s2081" o:spt="75" type="#_x0000_t75" style="position:absolute;left:0pt;margin-left:131.35pt;margin-top:18.4pt;height:36pt;width:138.65pt;z-index:251725824;mso-width-relative:page;mso-height-relative:page;" o:ole="t" fillcolor="#000005" filled="f" o:preferrelative="t" stroked="f" coordsize="21600,21600">
            <v:path/>
            <v:fill on="f" focussize="0,0"/>
            <v:stroke on="f" joinstyle="miter"/>
            <v:imagedata r:id="rId57" o:title=""/>
            <o:lock v:ext="edit" aspectratio="t"/>
          </v:shape>
          <o:OLEObject Type="Embed" ProgID="Equation.3" ShapeID="Picture 4370" DrawAspect="Content" ObjectID="_1468075735" r:id="rId56">
            <o:LockedField>false</o:LockedField>
          </o:OLEObject>
        </w:pict>
      </w:r>
      <w:r>
        <w:rPr>
          <w:rFonts w:ascii="Times New Roman" w:hAnsi="Times New Roman" w:eastAsia="宋体"/>
          <w:strike w:val="0"/>
          <w:dstrike w:val="0"/>
          <w:color w:val="auto"/>
          <w:highlight w:val="none"/>
        </w:rPr>
        <w:t>由上式可知，所有室内声源在围护结构处产生的i倍频带叠加声压级公式：</w:t>
      </w:r>
    </w:p>
    <w:p w14:paraId="7951F4FB">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.5）</w:t>
      </w:r>
    </w:p>
    <w:p w14:paraId="040380BB">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36B8027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L</w:t>
      </w:r>
      <w:r>
        <w:rPr>
          <w:rFonts w:ascii="Times New Roman" w:hAnsi="Times New Roman" w:eastAsia="宋体"/>
          <w:strike w:val="0"/>
          <w:dstrike w:val="0"/>
          <w:color w:val="auto"/>
          <w:highlight w:val="none"/>
          <w:vertAlign w:val="subscript"/>
        </w:rPr>
        <w:t>p1i</w:t>
      </w:r>
      <w:r>
        <w:rPr>
          <w:rFonts w:ascii="Times New Roman" w:hAnsi="Times New Roman" w:eastAsia="宋体"/>
          <w:strike w:val="0"/>
          <w:dstrike w:val="0"/>
          <w:color w:val="auto"/>
          <w:highlight w:val="none"/>
        </w:rPr>
        <w:t>（T）--靠近维护结构室内N个声源i倍频带的叠加声压级，dB；</w:t>
      </w:r>
    </w:p>
    <w:p w14:paraId="56663A5E">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L</w:t>
      </w:r>
      <w:r>
        <w:rPr>
          <w:rFonts w:ascii="Times New Roman" w:hAnsi="Times New Roman" w:eastAsia="宋体"/>
          <w:strike w:val="0"/>
          <w:dstrike w:val="0"/>
          <w:color w:val="auto"/>
          <w:highlight w:val="none"/>
          <w:vertAlign w:val="subscript"/>
        </w:rPr>
        <w:t>p1ij</w:t>
      </w:r>
      <w:r>
        <w:rPr>
          <w:rFonts w:ascii="Times New Roman" w:hAnsi="Times New Roman" w:eastAsia="宋体"/>
          <w:strike w:val="0"/>
          <w:dstrike w:val="0"/>
          <w:color w:val="auto"/>
          <w:highlight w:val="none"/>
        </w:rPr>
        <w:t>--室内j声源i倍频带的声压级，dB；</w:t>
      </w:r>
    </w:p>
    <w:p w14:paraId="18A6841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N--室内声源总数</w:t>
      </w:r>
      <w:r>
        <w:rPr>
          <w:rFonts w:hint="eastAsia" w:ascii="Times New Roman" w:hAnsi="Times New Roman" w:eastAsia="宋体"/>
          <w:strike w:val="0"/>
          <w:dstrike w:val="0"/>
          <w:color w:val="auto"/>
          <w:highlight w:val="none"/>
          <w:lang w:eastAsia="zh-CN"/>
        </w:rPr>
        <w:t>。</w:t>
      </w:r>
    </w:p>
    <w:p w14:paraId="4F301F67">
      <w:pPr>
        <w:spacing w:line="500" w:lineRule="exact"/>
        <w:ind w:firstLine="480"/>
        <w:rPr>
          <w:rFonts w:ascii="Times New Roman" w:hAnsi="Times New Roman" w:eastAsia="宋体"/>
          <w:strike w:val="0"/>
          <w:dstrike w:val="0"/>
          <w:color w:val="auto"/>
          <w:highlight w:val="none"/>
        </w:rPr>
      </w:pPr>
      <w:bookmarkStart w:id="242" w:name="_Toc984"/>
      <w:bookmarkStart w:id="243" w:name="_Toc13636"/>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靠近声源处的预测点预测模式</w:t>
      </w:r>
      <w:bookmarkEnd w:id="242"/>
      <w:bookmarkEnd w:id="243"/>
    </w:p>
    <w:p w14:paraId="343E90D1">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如预测点在靠近声源处，但不能满足声源条件时，需按线声源或面生源模式计算</w:t>
      </w:r>
      <w:r>
        <w:rPr>
          <w:rFonts w:hint="eastAsia" w:ascii="Times New Roman" w:hAnsi="Times New Roman" w:eastAsia="宋体"/>
          <w:strike w:val="0"/>
          <w:dstrike w:val="0"/>
          <w:color w:val="auto"/>
          <w:highlight w:val="none"/>
          <w:lang w:eastAsia="zh-CN"/>
        </w:rPr>
        <w:t>。</w:t>
      </w:r>
    </w:p>
    <w:p w14:paraId="07F54019">
      <w:pPr>
        <w:spacing w:line="500" w:lineRule="exact"/>
        <w:ind w:firstLine="480"/>
        <w:rPr>
          <w:rFonts w:ascii="Times New Roman" w:hAnsi="Times New Roman" w:eastAsia="宋体"/>
          <w:strike w:val="0"/>
          <w:dstrike w:val="0"/>
          <w:color w:val="auto"/>
          <w:highlight w:val="none"/>
        </w:rPr>
      </w:pPr>
      <w:bookmarkStart w:id="244" w:name="_Toc1424"/>
      <w:bookmarkStart w:id="245" w:name="_Toc1304"/>
      <w:r>
        <w:rPr>
          <w:rFonts w:hint="eastAsia" w:ascii="Times New Roman" w:hAnsi="Times New Roman" w:eastAsia="宋体" w:cs="宋体"/>
          <w:strike w:val="0"/>
          <w:dstrike w:val="0"/>
          <w:color w:val="auto"/>
          <w:highlight w:val="none"/>
        </w:rPr>
        <w:t>④</w:t>
      </w:r>
      <w:r>
        <w:rPr>
          <w:rFonts w:ascii="Times New Roman" w:hAnsi="Times New Roman" w:eastAsia="宋体"/>
          <w:strike w:val="0"/>
          <w:dstrike w:val="0"/>
          <w:color w:val="auto"/>
          <w:highlight w:val="none"/>
        </w:rPr>
        <w:t>噪声贡献值计算</w:t>
      </w:r>
      <w:bookmarkEnd w:id="244"/>
      <w:bookmarkEnd w:id="245"/>
    </w:p>
    <w:p w14:paraId="7A1CA016">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声源对预测点产生的贡献值（Leqg）公式为</w:t>
      </w:r>
    </w:p>
    <w:p w14:paraId="326539FA">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71" o:spid="_x0000_s2080" o:spt="75" type="#_x0000_t75" style="position:absolute;left:0pt;margin-left:99pt;margin-top:-3.6pt;height:36pt;width:230.95pt;z-index:251724800;mso-width-relative:page;mso-height-relative:page;" o:ole="t" fillcolor="#000005" filled="f" o:preferrelative="t" stroked="f" coordsize="21600,21600">
            <v:path/>
            <v:fill on="f" focussize="0,0"/>
            <v:stroke on="f" joinstyle="miter"/>
            <v:imagedata r:id="rId59" o:title=""/>
            <o:lock v:ext="edit" aspectratio="t"/>
          </v:shape>
          <o:OLEObject Type="Embed" ProgID="Equation.3" ShapeID="Picture 4371" DrawAspect="Content" ObjectID="_1468075736" r:id="rId58">
            <o:LockedField>false</o:LockedField>
          </o:OLEObject>
        </w:pi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.6）</w:t>
      </w:r>
    </w:p>
    <w:p w14:paraId="045EB90C">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（2）传播衰减公式</w:t>
      </w:r>
    </w:p>
    <w:p w14:paraId="3066B414">
      <w:pPr>
        <w:spacing w:line="500" w:lineRule="exact"/>
        <w:ind w:firstLine="480"/>
        <w:rPr>
          <w:rFonts w:hint="eastAsia" w:ascii="Times New Roman" w:hAnsi="Times New Roman" w:eastAsia="宋体"/>
          <w:strike w:val="0"/>
          <w:dstrike w:val="0"/>
          <w:color w:val="auto"/>
          <w:highlight w:val="none"/>
          <w:lang w:eastAsia="zh-CN"/>
        </w:rPr>
      </w:pPr>
      <w:bookmarkStart w:id="246" w:name="_Toc21277"/>
      <w:bookmarkStart w:id="247" w:name="_Toc6926"/>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几何发散衰减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Adiv</w:t>
      </w:r>
      <w:bookmarkEnd w:id="246"/>
      <w:bookmarkEnd w:id="247"/>
      <w:r>
        <w:rPr>
          <w:rFonts w:hint="eastAsia" w:ascii="Times New Roman" w:hAnsi="Times New Roman" w:eastAsia="宋体"/>
          <w:strike w:val="0"/>
          <w:dstrike w:val="0"/>
          <w:color w:val="auto"/>
          <w:highlight w:val="none"/>
          <w:lang w:eastAsia="zh-CN"/>
        </w:rPr>
        <w:t>）</w:t>
      </w:r>
    </w:p>
    <w:p w14:paraId="2AFB9012">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A、点声源的几何发散衰减</w:t>
      </w:r>
    </w:p>
    <w:p w14:paraId="3CDF74A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无指向性点声源几何发散衰减的基本公式是</w:t>
      </w:r>
    </w:p>
    <w:p w14:paraId="58ADB17A">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727200" cy="203200"/>
            <wp:effectExtent l="0" t="0" r="6350" b="635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727200" cy="2032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.7）</w:t>
      </w:r>
    </w:p>
    <w:p w14:paraId="4ABDB5D2">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公示（4）中第二项表示了点声源的几何发散衰减：</w:t>
      </w:r>
    </w:p>
    <w:p w14:paraId="1D4AC53D">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028700" cy="22860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028700" cy="2286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.8）</w:t>
      </w:r>
    </w:p>
    <w:p w14:paraId="73DC6507">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如果已知点声源的倍频带声功率级Lw或A声功率级（L</w:t>
      </w:r>
      <w:r>
        <w:rPr>
          <w:rFonts w:ascii="Times New Roman" w:hAnsi="Times New Roman" w:eastAsia="宋体"/>
          <w:strike w:val="0"/>
          <w:dstrike w:val="0"/>
          <w:color w:val="auto"/>
          <w:highlight w:val="none"/>
          <w:vertAlign w:val="subscript"/>
        </w:rPr>
        <w:t>AW</w:t>
      </w:r>
      <w:r>
        <w:rPr>
          <w:rFonts w:ascii="Times New Roman" w:hAnsi="Times New Roman" w:eastAsia="宋体"/>
          <w:strike w:val="0"/>
          <w:dstrike w:val="0"/>
          <w:color w:val="auto"/>
          <w:highlight w:val="none"/>
        </w:rPr>
        <w:t>），且声源处于自由声场，则公式（4）等效为下列公式：</w:t>
      </w:r>
    </w:p>
    <w:p w14:paraId="02535899">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562100" cy="203200"/>
            <wp:effectExtent l="0" t="0" r="0"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562100" cy="2032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.9）</w:t>
      </w:r>
    </w:p>
    <w:p w14:paraId="7467E4CE">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612900" cy="203200"/>
            <wp:effectExtent l="0" t="0" r="6350"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612900" cy="2032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.10）</w:t>
      </w:r>
    </w:p>
    <w:p w14:paraId="1E65ED96">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反射体引起的修正</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ΔLr</w:t>
      </w:r>
      <w:r>
        <w:rPr>
          <w:rFonts w:hint="eastAsia" w:ascii="Times New Roman" w:hAnsi="Times New Roman" w:eastAsia="宋体"/>
          <w:strike w:val="0"/>
          <w:dstrike w:val="0"/>
          <w:color w:val="auto"/>
          <w:highlight w:val="none"/>
          <w:lang w:eastAsia="zh-CN"/>
        </w:rPr>
        <w:t>）</w:t>
      </w:r>
    </w:p>
    <w:p w14:paraId="16D2910D">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当点声源与预测点处在反射体同侧附近时，到达预测点的声级是直达声与反射声叠加的结果，从而使预测点声级增高</w:t>
      </w:r>
      <w:r>
        <w:rPr>
          <w:rFonts w:hint="eastAsia" w:ascii="Times New Roman" w:hAnsi="Times New Roman" w:eastAsia="宋体"/>
          <w:strike w:val="0"/>
          <w:dstrike w:val="0"/>
          <w:color w:val="auto"/>
          <w:highlight w:val="none"/>
          <w:lang w:eastAsia="zh-CN"/>
        </w:rPr>
        <w:t>。</w:t>
      </w:r>
    </w:p>
    <w:p w14:paraId="4A91FC1A">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B、线声源的几何发散衰减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Adiv</w:t>
      </w:r>
      <w:r>
        <w:rPr>
          <w:rFonts w:hint="eastAsia" w:ascii="Times New Roman" w:hAnsi="Times New Roman" w:eastAsia="宋体"/>
          <w:strike w:val="0"/>
          <w:dstrike w:val="0"/>
          <w:color w:val="auto"/>
          <w:highlight w:val="none"/>
          <w:lang w:eastAsia="zh-CN"/>
        </w:rPr>
        <w:t>）</w:t>
      </w:r>
    </w:p>
    <w:p w14:paraId="2F4E035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a.无限长线声源</w:t>
      </w:r>
    </w:p>
    <w:p w14:paraId="0F305AA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无限长线声源几何发散衰减的基本公式是：</w:t>
      </w:r>
    </w:p>
    <w:p w14:paraId="51D9AA05">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574800" cy="381000"/>
            <wp:effectExtent l="0" t="0" r="635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574800" cy="3810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.11）</w:t>
      </w:r>
    </w:p>
    <w:p w14:paraId="60EE9F25">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上式中的第二项表示了无限长线声源的几何发散衰减：</w:t>
      </w:r>
    </w:p>
    <w:p w14:paraId="0E2688CD">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1028700" cy="2286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028700" cy="228600"/>
                    </a:xfrm>
                    <a:prstGeom prst="rect">
                      <a:avLst/>
                    </a:prstGeom>
                    <a:noFill/>
                    <a:ln>
                      <a:noFill/>
                    </a:ln>
                  </pic:spPr>
                </pic:pic>
              </a:graphicData>
            </a:graphic>
          </wp:inline>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.12）</w:t>
      </w:r>
    </w:p>
    <w:p w14:paraId="56FADBF6">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b.有限长线声源</w:t>
      </w:r>
    </w:p>
    <w:p w14:paraId="328BBB7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2992" behindDoc="0" locked="0" layoutInCell="1" allowOverlap="1">
            <wp:simplePos x="0" y="0"/>
            <wp:positionH relativeFrom="column">
              <wp:posOffset>1257300</wp:posOffset>
            </wp:positionH>
            <wp:positionV relativeFrom="paragraph">
              <wp:posOffset>572770</wp:posOffset>
            </wp:positionV>
            <wp:extent cx="2152650" cy="428625"/>
            <wp:effectExtent l="0" t="0" r="0" b="9525"/>
            <wp:wrapNone/>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2152650" cy="428625"/>
                    </a:xfrm>
                    <a:prstGeom prst="rect">
                      <a:avLst/>
                    </a:prstGeom>
                    <a:noFill/>
                    <a:ln>
                      <a:noFill/>
                    </a:ln>
                  </pic:spPr>
                </pic:pic>
              </a:graphicData>
            </a:graphic>
          </wp:anchor>
        </w:drawing>
      </w:r>
      <w:r>
        <w:rPr>
          <w:rFonts w:ascii="Times New Roman" w:hAnsi="Times New Roman" w:eastAsia="宋体"/>
          <w:strike w:val="0"/>
          <w:dstrike w:val="0"/>
          <w:color w:val="auto"/>
          <w:highlight w:val="none"/>
        </w:rPr>
        <w:t>设线声源长度为l0，单位长度线声源辐射的倍频带声功率级为Lw</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在线声源垂直平分线上距声源r处的声压级为：</w:t>
      </w:r>
    </w:p>
    <w:p w14:paraId="0FE7DCA6">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.13）</w:t>
      </w:r>
    </w:p>
    <w:p w14:paraId="7DD5762B">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drawing>
          <wp:anchor distT="0" distB="0" distL="114300" distR="114300" simplePos="0" relativeHeight="251731968" behindDoc="0" locked="0" layoutInCell="1" allowOverlap="1">
            <wp:simplePos x="0" y="0"/>
            <wp:positionH relativeFrom="column">
              <wp:posOffset>1028700</wp:posOffset>
            </wp:positionH>
            <wp:positionV relativeFrom="paragraph">
              <wp:posOffset>153670</wp:posOffset>
            </wp:positionV>
            <wp:extent cx="2305050" cy="800100"/>
            <wp:effectExtent l="0" t="0" r="0" b="0"/>
            <wp:wrapNone/>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305050" cy="800100"/>
                    </a:xfrm>
                    <a:prstGeom prst="rect">
                      <a:avLst/>
                    </a:prstGeom>
                    <a:noFill/>
                    <a:ln>
                      <a:noFill/>
                    </a:ln>
                  </pic:spPr>
                </pic:pic>
              </a:graphicData>
            </a:graphic>
          </wp:anchor>
        </w:drawing>
      </w:r>
      <w:r>
        <w:rPr>
          <w:rFonts w:ascii="Times New Roman" w:hAnsi="Times New Roman" w:eastAsia="宋体"/>
          <w:strike w:val="0"/>
          <w:dstrike w:val="0"/>
          <w:color w:val="auto"/>
          <w:highlight w:val="none"/>
        </w:rPr>
        <w:t>或</w:t>
      </w:r>
    </w:p>
    <w:p w14:paraId="7BED42BE">
      <w:pPr>
        <w:spacing w:line="500" w:lineRule="exact"/>
        <w:ind w:firstLine="480"/>
        <w:rPr>
          <w:rFonts w:hint="eastAsia" w:ascii="Times New Roman" w:hAnsi="Times New Roman" w:eastAsia="宋体"/>
          <w:strike w:val="0"/>
          <w:dstrike w:val="0"/>
          <w:color w:val="auto"/>
          <w:highlight w:val="none"/>
          <w:lang w:eastAsia="zh-CN"/>
        </w:rPr>
      </w:pPr>
    </w:p>
    <w:p w14:paraId="3CEBF5C1">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.14）</w:t>
      </w:r>
    </w:p>
    <w:p w14:paraId="495DB2C2">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9136" behindDoc="0" locked="0" layoutInCell="1" allowOverlap="1">
            <wp:simplePos x="0" y="0"/>
            <wp:positionH relativeFrom="column">
              <wp:posOffset>1183640</wp:posOffset>
            </wp:positionH>
            <wp:positionV relativeFrom="paragraph">
              <wp:posOffset>208915</wp:posOffset>
            </wp:positionV>
            <wp:extent cx="1571625" cy="390525"/>
            <wp:effectExtent l="0" t="0" r="9525" b="952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57162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当r＞l0且r0＞l0时，上式可近似简化为：</w:t>
      </w:r>
    </w:p>
    <w:p w14:paraId="31288425">
      <w:pPr>
        <w:ind w:firstLine="5016" w:firstLineChars="2200"/>
        <w:rPr>
          <w:rFonts w:ascii="Times New Roman" w:hAnsi="Times New Roman" w:eastAsia="宋体"/>
          <w:strike w:val="0"/>
          <w:dstrike w:val="0"/>
          <w:color w:val="auto"/>
          <w:highlight w:val="none"/>
        </w:rPr>
      </w:pPr>
      <w:r>
        <w:rPr>
          <w:rFonts w:ascii="Times New Roman" w:hAnsi="Times New Roman" w:eastAsia="宋体"/>
          <w:strike w:val="0"/>
          <w:dstrike w:val="0"/>
          <w:color w:val="auto"/>
          <w:spacing w:val="-6"/>
          <w:highlight w:val="none"/>
        </w:rPr>
        <w:t>………………………（</w:t>
      </w:r>
      <w:r>
        <w:rPr>
          <w:rFonts w:hint="eastAsia" w:ascii="Times New Roman" w:hAnsi="Times New Roman" w:eastAsia="宋体"/>
          <w:strike w:val="0"/>
          <w:dstrike w:val="0"/>
          <w:color w:val="auto"/>
          <w:spacing w:val="-6"/>
          <w:highlight w:val="none"/>
        </w:rPr>
        <w:t>A</w:t>
      </w:r>
      <w:r>
        <w:rPr>
          <w:rFonts w:ascii="Times New Roman" w:hAnsi="Times New Roman" w:eastAsia="宋体"/>
          <w:strike w:val="0"/>
          <w:dstrike w:val="0"/>
          <w:color w:val="auto"/>
          <w:spacing w:val="-6"/>
          <w:highlight w:val="none"/>
        </w:rPr>
        <w:t>.</w:t>
      </w:r>
      <w:r>
        <w:rPr>
          <w:rFonts w:ascii="Times New Roman" w:hAnsi="Times New Roman" w:eastAsia="宋体"/>
          <w:strike w:val="0"/>
          <w:dstrike w:val="0"/>
          <w:color w:val="auto"/>
          <w:highlight w:val="none"/>
        </w:rPr>
        <w:t>15）</w:t>
      </w:r>
    </w:p>
    <w:p w14:paraId="7B949EF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即在近场区，有限长线声源可当作点声源处理</w:t>
      </w:r>
      <w:r>
        <w:rPr>
          <w:rFonts w:hint="eastAsia" w:ascii="Times New Roman" w:hAnsi="Times New Roman" w:eastAsia="宋体"/>
          <w:strike w:val="0"/>
          <w:dstrike w:val="0"/>
          <w:color w:val="auto"/>
          <w:highlight w:val="none"/>
          <w:lang w:eastAsia="zh-CN"/>
        </w:rPr>
        <w:t>。</w:t>
      </w:r>
    </w:p>
    <w:p w14:paraId="1AA75B2E">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4016" behindDoc="0" locked="0" layoutInCell="1" allowOverlap="1">
            <wp:simplePos x="0" y="0"/>
            <wp:positionH relativeFrom="column">
              <wp:posOffset>1371600</wp:posOffset>
            </wp:positionH>
            <wp:positionV relativeFrom="paragraph">
              <wp:posOffset>271780</wp:posOffset>
            </wp:positionV>
            <wp:extent cx="1571625" cy="390525"/>
            <wp:effectExtent l="0" t="0" r="9525" b="9525"/>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57162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当r＜l0/3且r0＜l0/3时，该式可近似简化为：</w:t>
      </w:r>
    </w:p>
    <w:p w14:paraId="4CF20B0E">
      <w:pPr>
        <w:ind w:firstLine="5472" w:firstLineChars="2400"/>
        <w:rPr>
          <w:rFonts w:ascii="Times New Roman" w:hAnsi="Times New Roman" w:eastAsia="宋体"/>
          <w:strike w:val="0"/>
          <w:dstrike w:val="0"/>
          <w:color w:val="auto"/>
          <w:highlight w:val="none"/>
        </w:rPr>
      </w:pPr>
      <w:r>
        <w:rPr>
          <w:rFonts w:ascii="Times New Roman" w:hAnsi="Times New Roman" w:eastAsia="宋体"/>
          <w:strike w:val="0"/>
          <w:dstrike w:val="0"/>
          <w:color w:val="auto"/>
          <w:spacing w:val="-6"/>
          <w:highlight w:val="none"/>
        </w:rPr>
        <w:t>……………………（</w:t>
      </w:r>
      <w:r>
        <w:rPr>
          <w:rFonts w:hint="eastAsia" w:ascii="Times New Roman" w:hAnsi="Times New Roman" w:eastAsia="宋体"/>
          <w:strike w:val="0"/>
          <w:dstrike w:val="0"/>
          <w:color w:val="auto"/>
          <w:spacing w:val="-6"/>
          <w:highlight w:val="none"/>
        </w:rPr>
        <w:t>A</w:t>
      </w:r>
      <w:r>
        <w:rPr>
          <w:rFonts w:ascii="Times New Roman" w:hAnsi="Times New Roman" w:eastAsia="宋体"/>
          <w:strike w:val="0"/>
          <w:dstrike w:val="0"/>
          <w:color w:val="auto"/>
          <w:spacing w:val="-6"/>
          <w:highlight w:val="none"/>
        </w:rPr>
        <w:t>.</w:t>
      </w:r>
      <w:r>
        <w:rPr>
          <w:rFonts w:ascii="Times New Roman" w:hAnsi="Times New Roman" w:eastAsia="宋体"/>
          <w:strike w:val="0"/>
          <w:dstrike w:val="0"/>
          <w:color w:val="auto"/>
          <w:highlight w:val="none"/>
        </w:rPr>
        <w:t>16）</w:t>
      </w:r>
    </w:p>
    <w:p w14:paraId="13D7FC38">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即在近场区，有限长线声源可当作无限长线声源处理</w:t>
      </w:r>
      <w:r>
        <w:rPr>
          <w:rFonts w:hint="eastAsia" w:ascii="Times New Roman" w:hAnsi="Times New Roman" w:eastAsia="宋体"/>
          <w:strike w:val="0"/>
          <w:dstrike w:val="0"/>
          <w:color w:val="auto"/>
          <w:highlight w:val="none"/>
          <w:lang w:eastAsia="zh-CN"/>
        </w:rPr>
        <w:t>。</w:t>
      </w:r>
    </w:p>
    <w:p w14:paraId="0811EB25">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当l0/3＜r＜l0且l0/3＜r</w:t>
      </w:r>
      <w:r>
        <w:rPr>
          <w:rFonts w:ascii="Times New Roman" w:hAnsi="Times New Roman" w:eastAsia="宋体"/>
          <w:strike w:val="0"/>
          <w:dstrike w:val="0"/>
          <w:color w:val="auto"/>
          <w:highlight w:val="none"/>
          <w:vertAlign w:val="subscript"/>
        </w:rPr>
        <w:t>0</w:t>
      </w:r>
      <w:r>
        <w:rPr>
          <w:rFonts w:ascii="Times New Roman" w:hAnsi="Times New Roman" w:eastAsia="宋体"/>
          <w:strike w:val="0"/>
          <w:dstrike w:val="0"/>
          <w:color w:val="auto"/>
          <w:highlight w:val="none"/>
        </w:rPr>
        <w:t>＜l0时，该式可近似简化为：</w:t>
      </w:r>
    </w:p>
    <w:p w14:paraId="5B92ED8C">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5040" behindDoc="0" locked="0" layoutInCell="1" allowOverlap="1">
            <wp:simplePos x="0" y="0"/>
            <wp:positionH relativeFrom="column">
              <wp:posOffset>1485900</wp:posOffset>
            </wp:positionH>
            <wp:positionV relativeFrom="paragraph">
              <wp:posOffset>0</wp:posOffset>
            </wp:positionV>
            <wp:extent cx="1571625" cy="390525"/>
            <wp:effectExtent l="0" t="0" r="9525" b="9525"/>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57162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.17）</w:t>
      </w:r>
    </w:p>
    <w:p w14:paraId="659B688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C、面声源的几何发散衰减</w:t>
      </w:r>
    </w:p>
    <w:p w14:paraId="5914B0FD">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一个大型机器设备的振动表面，车间透声的墙壁，均可以认为是面声源</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如果已知面声源单位面积的声功率为W，各面积元噪声的位相是随机的，面声源可看作由无数点声源连续分布组合而成，其合成声级可按能量叠加法求出</w:t>
      </w:r>
      <w:r>
        <w:rPr>
          <w:rFonts w:hint="eastAsia" w:ascii="Times New Roman" w:hAnsi="Times New Roman" w:eastAsia="宋体"/>
          <w:strike w:val="0"/>
          <w:dstrike w:val="0"/>
          <w:color w:val="auto"/>
          <w:highlight w:val="none"/>
          <w:lang w:eastAsia="zh-CN"/>
        </w:rPr>
        <w:t>。</w:t>
      </w:r>
    </w:p>
    <w:p w14:paraId="61273A06">
      <w:pPr>
        <w:spacing w:line="500" w:lineRule="exact"/>
        <w:ind w:firstLine="480"/>
        <w:rPr>
          <w:rFonts w:hint="eastAsia" w:ascii="Times New Roman" w:hAnsi="Times New Roman" w:eastAsia="宋体"/>
          <w:strike w:val="0"/>
          <w:dstrike w:val="0"/>
          <w:color w:val="auto"/>
          <w:highlight w:val="none"/>
          <w:lang w:eastAsia="zh-CN"/>
        </w:rPr>
      </w:pPr>
      <w:bookmarkStart w:id="248" w:name="_Toc32354"/>
      <w:bookmarkStart w:id="249" w:name="_Toc2292"/>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空气吸收引起的衰减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Aatm</w:t>
      </w:r>
      <w:bookmarkEnd w:id="248"/>
      <w:bookmarkEnd w:id="249"/>
      <w:r>
        <w:rPr>
          <w:rFonts w:hint="eastAsia" w:ascii="Times New Roman" w:hAnsi="Times New Roman" w:eastAsia="宋体"/>
          <w:strike w:val="0"/>
          <w:dstrike w:val="0"/>
          <w:color w:val="auto"/>
          <w:highlight w:val="none"/>
          <w:lang w:eastAsia="zh-CN"/>
        </w:rPr>
        <w:t>）</w:t>
      </w:r>
    </w:p>
    <w:p w14:paraId="1F98B210">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空气吸收引起的衰减按下列公式计算：</w:t>
      </w:r>
    </w:p>
    <w:p w14:paraId="415CB395">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6064" behindDoc="0" locked="0" layoutInCell="1" allowOverlap="1">
            <wp:simplePos x="0" y="0"/>
            <wp:positionH relativeFrom="column">
              <wp:posOffset>2133600</wp:posOffset>
            </wp:positionH>
            <wp:positionV relativeFrom="paragraph">
              <wp:posOffset>40640</wp:posOffset>
            </wp:positionV>
            <wp:extent cx="1019175" cy="390525"/>
            <wp:effectExtent l="0" t="0" r="9525" b="9525"/>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019175" cy="390525"/>
                    </a:xfrm>
                    <a:prstGeom prst="rect">
                      <a:avLst/>
                    </a:prstGeom>
                    <a:noFill/>
                    <a:ln>
                      <a:noFill/>
                    </a:ln>
                  </pic:spPr>
                </pic:pic>
              </a:graphicData>
            </a:graphic>
          </wp:anchor>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.18）</w:t>
      </w:r>
    </w:p>
    <w:p w14:paraId="12AE96BB">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46E9CBDD">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α为温度、湿度和声波频率的函数，预测计算中一般根据建设项目所处区域常年平均气温和湿度选择相应的空气吸收系数（见表5.2-</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val="en-US" w:eastAsia="zh-CN"/>
        </w:rPr>
        <w:t>8</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p>
    <w:p w14:paraId="734EF2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表5.2-18倍频带噪声的大气吸收衰减系数α</w:t>
      </w:r>
    </w:p>
    <w:tbl>
      <w:tblPr>
        <w:tblStyle w:val="39"/>
        <w:tblW w:w="4999"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52"/>
        <w:gridCol w:w="1127"/>
        <w:gridCol w:w="764"/>
        <w:gridCol w:w="803"/>
        <w:gridCol w:w="803"/>
        <w:gridCol w:w="803"/>
        <w:gridCol w:w="854"/>
        <w:gridCol w:w="854"/>
        <w:gridCol w:w="854"/>
        <w:gridCol w:w="806"/>
      </w:tblGrid>
      <w:tr w14:paraId="06068F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vMerge w:val="restart"/>
            <w:tcBorders>
              <w:tl2br w:val="nil"/>
              <w:tr2bl w:val="nil"/>
            </w:tcBorders>
            <w:shd w:val="clear" w:color="auto" w:fill="auto"/>
            <w:vAlign w:val="center"/>
          </w:tcPr>
          <w:p w14:paraId="77BB71C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温度</w:t>
            </w:r>
            <w:r>
              <w:rPr>
                <w:rFonts w:hint="eastAsia" w:ascii="Times New Roman" w:hAnsi="Times New Roman" w:eastAsia="宋体"/>
                <w:b w:val="0"/>
                <w:bCs w:val="0"/>
                <w:strike w:val="0"/>
                <w:dstrike w:val="0"/>
                <w:color w:val="auto"/>
                <w:szCs w:val="21"/>
                <w:highlight w:val="none"/>
              </w:rPr>
              <w:t>℃</w:t>
            </w:r>
          </w:p>
        </w:tc>
        <w:tc>
          <w:tcPr>
            <w:tcW w:w="661" w:type="pct"/>
            <w:vMerge w:val="restart"/>
            <w:tcBorders>
              <w:tl2br w:val="nil"/>
              <w:tr2bl w:val="nil"/>
            </w:tcBorders>
            <w:shd w:val="clear" w:color="auto" w:fill="auto"/>
            <w:vAlign w:val="center"/>
          </w:tcPr>
          <w:p w14:paraId="4213577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相对湿度%</w:t>
            </w:r>
          </w:p>
        </w:tc>
        <w:tc>
          <w:tcPr>
            <w:tcW w:w="3837" w:type="pct"/>
            <w:gridSpan w:val="8"/>
            <w:tcBorders>
              <w:tl2br w:val="nil"/>
              <w:tr2bl w:val="nil"/>
            </w:tcBorders>
            <w:shd w:val="clear" w:color="auto" w:fill="auto"/>
            <w:vAlign w:val="center"/>
          </w:tcPr>
          <w:p w14:paraId="24CBB17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大气吸收衰减系数α，dB/km</w:t>
            </w:r>
          </w:p>
        </w:tc>
      </w:tr>
      <w:tr w14:paraId="4A06EF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vMerge w:val="continue"/>
            <w:tcBorders>
              <w:tl2br w:val="nil"/>
              <w:tr2bl w:val="nil"/>
            </w:tcBorders>
            <w:shd w:val="clear" w:color="auto" w:fill="auto"/>
            <w:vAlign w:val="center"/>
          </w:tcPr>
          <w:p w14:paraId="5911327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661" w:type="pct"/>
            <w:vMerge w:val="continue"/>
            <w:tcBorders>
              <w:tl2br w:val="nil"/>
              <w:tr2bl w:val="nil"/>
            </w:tcBorders>
            <w:shd w:val="clear" w:color="auto" w:fill="auto"/>
            <w:vAlign w:val="center"/>
          </w:tcPr>
          <w:p w14:paraId="3921059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3837" w:type="pct"/>
            <w:gridSpan w:val="8"/>
            <w:tcBorders>
              <w:tl2br w:val="nil"/>
              <w:tr2bl w:val="nil"/>
            </w:tcBorders>
            <w:shd w:val="clear" w:color="auto" w:fill="auto"/>
            <w:vAlign w:val="center"/>
          </w:tcPr>
          <w:p w14:paraId="562DFFE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倍频带中心频率Hz</w:t>
            </w:r>
          </w:p>
        </w:tc>
      </w:tr>
      <w:tr w14:paraId="14882C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vMerge w:val="continue"/>
            <w:tcBorders>
              <w:tl2br w:val="nil"/>
              <w:tr2bl w:val="nil"/>
            </w:tcBorders>
            <w:shd w:val="clear" w:color="auto" w:fill="auto"/>
            <w:vAlign w:val="center"/>
          </w:tcPr>
          <w:p w14:paraId="37E259F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661" w:type="pct"/>
            <w:vMerge w:val="continue"/>
            <w:tcBorders>
              <w:tl2br w:val="nil"/>
              <w:tr2bl w:val="nil"/>
            </w:tcBorders>
            <w:shd w:val="clear" w:color="auto" w:fill="auto"/>
            <w:vAlign w:val="center"/>
          </w:tcPr>
          <w:p w14:paraId="433D3C2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p>
        </w:tc>
        <w:tc>
          <w:tcPr>
            <w:tcW w:w="448" w:type="pct"/>
            <w:tcBorders>
              <w:tl2br w:val="nil"/>
              <w:tr2bl w:val="nil"/>
            </w:tcBorders>
            <w:shd w:val="clear" w:color="auto" w:fill="auto"/>
            <w:vAlign w:val="center"/>
          </w:tcPr>
          <w:p w14:paraId="278EB85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63</w:t>
            </w:r>
          </w:p>
        </w:tc>
        <w:tc>
          <w:tcPr>
            <w:tcW w:w="471" w:type="pct"/>
            <w:tcBorders>
              <w:tl2br w:val="nil"/>
              <w:tr2bl w:val="nil"/>
            </w:tcBorders>
            <w:shd w:val="clear" w:color="auto" w:fill="auto"/>
            <w:vAlign w:val="center"/>
          </w:tcPr>
          <w:p w14:paraId="3F314A8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125</w:t>
            </w:r>
          </w:p>
        </w:tc>
        <w:tc>
          <w:tcPr>
            <w:tcW w:w="471" w:type="pct"/>
            <w:tcBorders>
              <w:tl2br w:val="nil"/>
              <w:tr2bl w:val="nil"/>
            </w:tcBorders>
            <w:shd w:val="clear" w:color="auto" w:fill="auto"/>
            <w:vAlign w:val="center"/>
          </w:tcPr>
          <w:p w14:paraId="2875108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250</w:t>
            </w:r>
          </w:p>
        </w:tc>
        <w:tc>
          <w:tcPr>
            <w:tcW w:w="471" w:type="pct"/>
            <w:tcBorders>
              <w:tl2br w:val="nil"/>
              <w:tr2bl w:val="nil"/>
            </w:tcBorders>
            <w:shd w:val="clear" w:color="auto" w:fill="auto"/>
            <w:vAlign w:val="center"/>
          </w:tcPr>
          <w:p w14:paraId="3D387D1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500</w:t>
            </w:r>
          </w:p>
        </w:tc>
        <w:tc>
          <w:tcPr>
            <w:tcW w:w="501" w:type="pct"/>
            <w:tcBorders>
              <w:tl2br w:val="nil"/>
              <w:tr2bl w:val="nil"/>
            </w:tcBorders>
            <w:shd w:val="clear" w:color="auto" w:fill="auto"/>
            <w:vAlign w:val="center"/>
          </w:tcPr>
          <w:p w14:paraId="7200143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1000</w:t>
            </w:r>
          </w:p>
        </w:tc>
        <w:tc>
          <w:tcPr>
            <w:tcW w:w="501" w:type="pct"/>
            <w:tcBorders>
              <w:tl2br w:val="nil"/>
              <w:tr2bl w:val="nil"/>
            </w:tcBorders>
            <w:shd w:val="clear" w:color="auto" w:fill="auto"/>
            <w:vAlign w:val="center"/>
          </w:tcPr>
          <w:p w14:paraId="29D15C4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2000</w:t>
            </w:r>
          </w:p>
        </w:tc>
        <w:tc>
          <w:tcPr>
            <w:tcW w:w="501" w:type="pct"/>
            <w:tcBorders>
              <w:tl2br w:val="nil"/>
              <w:tr2bl w:val="nil"/>
            </w:tcBorders>
            <w:shd w:val="clear" w:color="auto" w:fill="auto"/>
            <w:vAlign w:val="center"/>
          </w:tcPr>
          <w:p w14:paraId="3D89161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4000</w:t>
            </w:r>
          </w:p>
        </w:tc>
        <w:tc>
          <w:tcPr>
            <w:tcW w:w="469" w:type="pct"/>
            <w:tcBorders>
              <w:tl2br w:val="nil"/>
              <w:tr2bl w:val="nil"/>
            </w:tcBorders>
            <w:shd w:val="clear" w:color="auto" w:fill="auto"/>
            <w:vAlign w:val="center"/>
          </w:tcPr>
          <w:p w14:paraId="7DF89D5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8000</w:t>
            </w:r>
          </w:p>
        </w:tc>
      </w:tr>
      <w:tr w14:paraId="195DB5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7981C74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w:t>
            </w:r>
          </w:p>
        </w:tc>
        <w:tc>
          <w:tcPr>
            <w:tcW w:w="661" w:type="pct"/>
            <w:tcBorders>
              <w:tl2br w:val="nil"/>
              <w:tr2bl w:val="nil"/>
            </w:tcBorders>
            <w:shd w:val="clear" w:color="auto" w:fill="auto"/>
            <w:vAlign w:val="center"/>
          </w:tcPr>
          <w:p w14:paraId="0372FD4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70</w:t>
            </w:r>
          </w:p>
        </w:tc>
        <w:tc>
          <w:tcPr>
            <w:tcW w:w="448" w:type="pct"/>
            <w:tcBorders>
              <w:tl2br w:val="nil"/>
              <w:tr2bl w:val="nil"/>
            </w:tcBorders>
            <w:shd w:val="clear" w:color="auto" w:fill="auto"/>
            <w:vAlign w:val="center"/>
          </w:tcPr>
          <w:p w14:paraId="6394136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0F56244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0.4</w:t>
            </w:r>
          </w:p>
        </w:tc>
        <w:tc>
          <w:tcPr>
            <w:tcW w:w="471" w:type="pct"/>
            <w:tcBorders>
              <w:tl2br w:val="nil"/>
              <w:tr2bl w:val="nil"/>
            </w:tcBorders>
            <w:shd w:val="clear" w:color="auto" w:fill="auto"/>
            <w:vAlign w:val="center"/>
          </w:tcPr>
          <w:p w14:paraId="04FFD1B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w:t>
            </w:r>
          </w:p>
        </w:tc>
        <w:tc>
          <w:tcPr>
            <w:tcW w:w="471" w:type="pct"/>
            <w:tcBorders>
              <w:tl2br w:val="nil"/>
              <w:tr2bl w:val="nil"/>
            </w:tcBorders>
            <w:shd w:val="clear" w:color="auto" w:fill="auto"/>
            <w:vAlign w:val="center"/>
          </w:tcPr>
          <w:p w14:paraId="73496C4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1.9</w:t>
            </w:r>
          </w:p>
        </w:tc>
        <w:tc>
          <w:tcPr>
            <w:tcW w:w="501" w:type="pct"/>
            <w:tcBorders>
              <w:tl2br w:val="nil"/>
              <w:tr2bl w:val="nil"/>
            </w:tcBorders>
            <w:shd w:val="clear" w:color="auto" w:fill="auto"/>
            <w:vAlign w:val="center"/>
          </w:tcPr>
          <w:p w14:paraId="609EE63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3.7</w:t>
            </w:r>
          </w:p>
        </w:tc>
        <w:tc>
          <w:tcPr>
            <w:tcW w:w="501" w:type="pct"/>
            <w:tcBorders>
              <w:tl2br w:val="nil"/>
              <w:tr2bl w:val="nil"/>
            </w:tcBorders>
            <w:shd w:val="clear" w:color="auto" w:fill="auto"/>
            <w:vAlign w:val="center"/>
          </w:tcPr>
          <w:p w14:paraId="701CF25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9.7</w:t>
            </w:r>
          </w:p>
        </w:tc>
        <w:tc>
          <w:tcPr>
            <w:tcW w:w="501" w:type="pct"/>
            <w:tcBorders>
              <w:tl2br w:val="nil"/>
              <w:tr2bl w:val="nil"/>
            </w:tcBorders>
            <w:shd w:val="clear" w:color="auto" w:fill="auto"/>
            <w:vAlign w:val="center"/>
          </w:tcPr>
          <w:p w14:paraId="0E7E5D5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32.8</w:t>
            </w:r>
          </w:p>
        </w:tc>
        <w:tc>
          <w:tcPr>
            <w:tcW w:w="469" w:type="pct"/>
            <w:tcBorders>
              <w:tl2br w:val="nil"/>
              <w:tr2bl w:val="nil"/>
            </w:tcBorders>
            <w:shd w:val="clear" w:color="auto" w:fill="auto"/>
            <w:vAlign w:val="center"/>
          </w:tcPr>
          <w:p w14:paraId="51EF0BF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117.0</w:t>
            </w:r>
          </w:p>
        </w:tc>
      </w:tr>
      <w:tr w14:paraId="3A3E12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7D5A730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w:t>
            </w:r>
          </w:p>
        </w:tc>
        <w:tc>
          <w:tcPr>
            <w:tcW w:w="661" w:type="pct"/>
            <w:tcBorders>
              <w:tl2br w:val="nil"/>
              <w:tr2bl w:val="nil"/>
            </w:tcBorders>
            <w:shd w:val="clear" w:color="auto" w:fill="auto"/>
            <w:vAlign w:val="center"/>
          </w:tcPr>
          <w:p w14:paraId="451D1A6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70</w:t>
            </w:r>
          </w:p>
        </w:tc>
        <w:tc>
          <w:tcPr>
            <w:tcW w:w="448" w:type="pct"/>
            <w:tcBorders>
              <w:tl2br w:val="nil"/>
              <w:tr2bl w:val="nil"/>
            </w:tcBorders>
            <w:shd w:val="clear" w:color="auto" w:fill="auto"/>
            <w:vAlign w:val="center"/>
          </w:tcPr>
          <w:p w14:paraId="295E19E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43F8147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4583B01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1.1</w:t>
            </w:r>
          </w:p>
        </w:tc>
        <w:tc>
          <w:tcPr>
            <w:tcW w:w="471" w:type="pct"/>
            <w:tcBorders>
              <w:tl2br w:val="nil"/>
              <w:tr2bl w:val="nil"/>
            </w:tcBorders>
            <w:shd w:val="clear" w:color="auto" w:fill="auto"/>
            <w:vAlign w:val="center"/>
          </w:tcPr>
          <w:p w14:paraId="49598D2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2.8</w:t>
            </w:r>
          </w:p>
        </w:tc>
        <w:tc>
          <w:tcPr>
            <w:tcW w:w="501" w:type="pct"/>
            <w:tcBorders>
              <w:tl2br w:val="nil"/>
              <w:tr2bl w:val="nil"/>
            </w:tcBorders>
            <w:shd w:val="clear" w:color="auto" w:fill="auto"/>
            <w:vAlign w:val="center"/>
          </w:tcPr>
          <w:p w14:paraId="4E27E35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5.0</w:t>
            </w:r>
          </w:p>
        </w:tc>
        <w:tc>
          <w:tcPr>
            <w:tcW w:w="501" w:type="pct"/>
            <w:tcBorders>
              <w:tl2br w:val="nil"/>
              <w:tr2bl w:val="nil"/>
            </w:tcBorders>
            <w:shd w:val="clear" w:color="auto" w:fill="auto"/>
            <w:vAlign w:val="center"/>
          </w:tcPr>
          <w:p w14:paraId="7BF9918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9.0</w:t>
            </w:r>
          </w:p>
        </w:tc>
        <w:tc>
          <w:tcPr>
            <w:tcW w:w="501" w:type="pct"/>
            <w:tcBorders>
              <w:tl2br w:val="nil"/>
              <w:tr2bl w:val="nil"/>
            </w:tcBorders>
            <w:shd w:val="clear" w:color="auto" w:fill="auto"/>
            <w:vAlign w:val="center"/>
          </w:tcPr>
          <w:p w14:paraId="1ADB1B6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22.9</w:t>
            </w:r>
          </w:p>
        </w:tc>
        <w:tc>
          <w:tcPr>
            <w:tcW w:w="469" w:type="pct"/>
            <w:tcBorders>
              <w:tl2br w:val="nil"/>
              <w:tr2bl w:val="nil"/>
            </w:tcBorders>
            <w:shd w:val="clear" w:color="auto" w:fill="auto"/>
            <w:vAlign w:val="center"/>
          </w:tcPr>
          <w:p w14:paraId="31A6CD6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76.6</w:t>
            </w:r>
          </w:p>
        </w:tc>
      </w:tr>
      <w:tr w14:paraId="4AB240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3C0CE4EB">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30</w:t>
            </w:r>
          </w:p>
        </w:tc>
        <w:tc>
          <w:tcPr>
            <w:tcW w:w="661" w:type="pct"/>
            <w:tcBorders>
              <w:tl2br w:val="nil"/>
              <w:tr2bl w:val="nil"/>
            </w:tcBorders>
            <w:shd w:val="clear" w:color="auto" w:fill="auto"/>
            <w:vAlign w:val="center"/>
          </w:tcPr>
          <w:p w14:paraId="3872F7F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70</w:t>
            </w:r>
          </w:p>
        </w:tc>
        <w:tc>
          <w:tcPr>
            <w:tcW w:w="448" w:type="pct"/>
            <w:tcBorders>
              <w:tl2br w:val="nil"/>
              <w:tr2bl w:val="nil"/>
            </w:tcBorders>
            <w:shd w:val="clear" w:color="auto" w:fill="auto"/>
            <w:vAlign w:val="center"/>
          </w:tcPr>
          <w:p w14:paraId="29E16A2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572A8F3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37EF499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w:t>
            </w:r>
          </w:p>
        </w:tc>
        <w:tc>
          <w:tcPr>
            <w:tcW w:w="471" w:type="pct"/>
            <w:tcBorders>
              <w:tl2br w:val="nil"/>
              <w:tr2bl w:val="nil"/>
            </w:tcBorders>
            <w:shd w:val="clear" w:color="auto" w:fill="auto"/>
            <w:vAlign w:val="center"/>
          </w:tcPr>
          <w:p w14:paraId="3EFAADF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3.1</w:t>
            </w:r>
          </w:p>
        </w:tc>
        <w:tc>
          <w:tcPr>
            <w:tcW w:w="501" w:type="pct"/>
            <w:tcBorders>
              <w:tl2br w:val="nil"/>
              <w:tr2bl w:val="nil"/>
            </w:tcBorders>
            <w:shd w:val="clear" w:color="auto" w:fill="auto"/>
            <w:vAlign w:val="center"/>
          </w:tcPr>
          <w:p w14:paraId="061C4F5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7.4</w:t>
            </w:r>
          </w:p>
        </w:tc>
        <w:tc>
          <w:tcPr>
            <w:tcW w:w="501" w:type="pct"/>
            <w:tcBorders>
              <w:tl2br w:val="nil"/>
              <w:tr2bl w:val="nil"/>
            </w:tcBorders>
            <w:shd w:val="clear" w:color="auto" w:fill="auto"/>
            <w:vAlign w:val="center"/>
          </w:tcPr>
          <w:p w14:paraId="0DC24AF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12.7</w:t>
            </w:r>
          </w:p>
        </w:tc>
        <w:tc>
          <w:tcPr>
            <w:tcW w:w="501" w:type="pct"/>
            <w:tcBorders>
              <w:tl2br w:val="nil"/>
              <w:tr2bl w:val="nil"/>
            </w:tcBorders>
            <w:shd w:val="clear" w:color="auto" w:fill="auto"/>
            <w:vAlign w:val="center"/>
          </w:tcPr>
          <w:p w14:paraId="2BDE7DB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23.1</w:t>
            </w:r>
          </w:p>
        </w:tc>
        <w:tc>
          <w:tcPr>
            <w:tcW w:w="469" w:type="pct"/>
            <w:tcBorders>
              <w:tl2br w:val="nil"/>
              <w:tr2bl w:val="nil"/>
            </w:tcBorders>
            <w:shd w:val="clear" w:color="auto" w:fill="auto"/>
            <w:vAlign w:val="center"/>
          </w:tcPr>
          <w:p w14:paraId="50A9B0D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59.3</w:t>
            </w:r>
          </w:p>
        </w:tc>
      </w:tr>
      <w:tr w14:paraId="797919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455E1D9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15</w:t>
            </w:r>
          </w:p>
        </w:tc>
        <w:tc>
          <w:tcPr>
            <w:tcW w:w="661" w:type="pct"/>
            <w:tcBorders>
              <w:tl2br w:val="nil"/>
              <w:tr2bl w:val="nil"/>
            </w:tcBorders>
            <w:shd w:val="clear" w:color="auto" w:fill="auto"/>
            <w:vAlign w:val="center"/>
          </w:tcPr>
          <w:p w14:paraId="7FEB30E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w:t>
            </w:r>
          </w:p>
        </w:tc>
        <w:tc>
          <w:tcPr>
            <w:tcW w:w="448" w:type="pct"/>
            <w:tcBorders>
              <w:tl2br w:val="nil"/>
              <w:tr2bl w:val="nil"/>
            </w:tcBorders>
            <w:shd w:val="clear" w:color="auto" w:fill="auto"/>
            <w:vAlign w:val="center"/>
          </w:tcPr>
          <w:p w14:paraId="0E580BA7">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64944A5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0.6</w:t>
            </w:r>
          </w:p>
        </w:tc>
        <w:tc>
          <w:tcPr>
            <w:tcW w:w="471" w:type="pct"/>
            <w:tcBorders>
              <w:tl2br w:val="nil"/>
              <w:tr2bl w:val="nil"/>
            </w:tcBorders>
            <w:shd w:val="clear" w:color="auto" w:fill="auto"/>
            <w:vAlign w:val="center"/>
          </w:tcPr>
          <w:p w14:paraId="77E0C13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w:t>
            </w:r>
          </w:p>
        </w:tc>
        <w:tc>
          <w:tcPr>
            <w:tcW w:w="471" w:type="pct"/>
            <w:tcBorders>
              <w:tl2br w:val="nil"/>
              <w:tr2bl w:val="nil"/>
            </w:tcBorders>
            <w:shd w:val="clear" w:color="auto" w:fill="auto"/>
            <w:vAlign w:val="center"/>
          </w:tcPr>
          <w:p w14:paraId="184650B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2.7</w:t>
            </w:r>
          </w:p>
        </w:tc>
        <w:tc>
          <w:tcPr>
            <w:tcW w:w="501" w:type="pct"/>
            <w:tcBorders>
              <w:tl2br w:val="nil"/>
              <w:tr2bl w:val="nil"/>
            </w:tcBorders>
            <w:shd w:val="clear" w:color="auto" w:fill="auto"/>
            <w:vAlign w:val="center"/>
          </w:tcPr>
          <w:p w14:paraId="1142A703">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8.2</w:t>
            </w:r>
          </w:p>
        </w:tc>
        <w:tc>
          <w:tcPr>
            <w:tcW w:w="501" w:type="pct"/>
            <w:tcBorders>
              <w:tl2br w:val="nil"/>
              <w:tr2bl w:val="nil"/>
            </w:tcBorders>
            <w:shd w:val="clear" w:color="auto" w:fill="auto"/>
            <w:vAlign w:val="center"/>
          </w:tcPr>
          <w:p w14:paraId="5625CB6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28.2</w:t>
            </w:r>
          </w:p>
        </w:tc>
        <w:tc>
          <w:tcPr>
            <w:tcW w:w="501" w:type="pct"/>
            <w:tcBorders>
              <w:tl2br w:val="nil"/>
              <w:tr2bl w:val="nil"/>
            </w:tcBorders>
            <w:shd w:val="clear" w:color="auto" w:fill="auto"/>
            <w:vAlign w:val="center"/>
          </w:tcPr>
          <w:p w14:paraId="75B0A179">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28.8</w:t>
            </w:r>
          </w:p>
        </w:tc>
        <w:tc>
          <w:tcPr>
            <w:tcW w:w="469" w:type="pct"/>
            <w:tcBorders>
              <w:tl2br w:val="nil"/>
              <w:tr2bl w:val="nil"/>
            </w:tcBorders>
            <w:shd w:val="clear" w:color="auto" w:fill="auto"/>
            <w:vAlign w:val="center"/>
          </w:tcPr>
          <w:p w14:paraId="6BA083C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202.0</w:t>
            </w:r>
          </w:p>
        </w:tc>
      </w:tr>
      <w:tr w14:paraId="5E10F5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53A6DAE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15</w:t>
            </w:r>
          </w:p>
        </w:tc>
        <w:tc>
          <w:tcPr>
            <w:tcW w:w="661" w:type="pct"/>
            <w:tcBorders>
              <w:tl2br w:val="nil"/>
              <w:tr2bl w:val="nil"/>
            </w:tcBorders>
            <w:shd w:val="clear" w:color="auto" w:fill="auto"/>
            <w:vAlign w:val="center"/>
          </w:tcPr>
          <w:p w14:paraId="513F508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50</w:t>
            </w:r>
          </w:p>
        </w:tc>
        <w:tc>
          <w:tcPr>
            <w:tcW w:w="448" w:type="pct"/>
            <w:tcBorders>
              <w:tl2br w:val="nil"/>
              <w:tr2bl w:val="nil"/>
            </w:tcBorders>
            <w:shd w:val="clear" w:color="auto" w:fill="auto"/>
            <w:vAlign w:val="center"/>
          </w:tcPr>
          <w:p w14:paraId="40DE5D2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3A449A6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0.5</w:t>
            </w:r>
          </w:p>
        </w:tc>
        <w:tc>
          <w:tcPr>
            <w:tcW w:w="471" w:type="pct"/>
            <w:tcBorders>
              <w:tl2br w:val="nil"/>
              <w:tr2bl w:val="nil"/>
            </w:tcBorders>
            <w:shd w:val="clear" w:color="auto" w:fill="auto"/>
            <w:vAlign w:val="center"/>
          </w:tcPr>
          <w:p w14:paraId="1D1F88D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w:t>
            </w:r>
          </w:p>
        </w:tc>
        <w:tc>
          <w:tcPr>
            <w:tcW w:w="471" w:type="pct"/>
            <w:tcBorders>
              <w:tl2br w:val="nil"/>
              <w:tr2bl w:val="nil"/>
            </w:tcBorders>
            <w:shd w:val="clear" w:color="auto" w:fill="auto"/>
            <w:vAlign w:val="center"/>
          </w:tcPr>
          <w:p w14:paraId="28AA8C3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2.2</w:t>
            </w:r>
          </w:p>
        </w:tc>
        <w:tc>
          <w:tcPr>
            <w:tcW w:w="501" w:type="pct"/>
            <w:tcBorders>
              <w:tl2br w:val="nil"/>
              <w:tr2bl w:val="nil"/>
            </w:tcBorders>
            <w:shd w:val="clear" w:color="auto" w:fill="auto"/>
            <w:vAlign w:val="center"/>
          </w:tcPr>
          <w:p w14:paraId="79525DCF">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4.2</w:t>
            </w:r>
          </w:p>
        </w:tc>
        <w:tc>
          <w:tcPr>
            <w:tcW w:w="501" w:type="pct"/>
            <w:tcBorders>
              <w:tl2br w:val="nil"/>
              <w:tr2bl w:val="nil"/>
            </w:tcBorders>
            <w:shd w:val="clear" w:color="auto" w:fill="auto"/>
            <w:vAlign w:val="center"/>
          </w:tcPr>
          <w:p w14:paraId="25084BD5">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10.8</w:t>
            </w:r>
          </w:p>
        </w:tc>
        <w:tc>
          <w:tcPr>
            <w:tcW w:w="501" w:type="pct"/>
            <w:tcBorders>
              <w:tl2br w:val="nil"/>
              <w:tr2bl w:val="nil"/>
            </w:tcBorders>
            <w:shd w:val="clear" w:color="auto" w:fill="auto"/>
            <w:vAlign w:val="center"/>
          </w:tcPr>
          <w:p w14:paraId="004A597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36.2</w:t>
            </w:r>
          </w:p>
        </w:tc>
        <w:tc>
          <w:tcPr>
            <w:tcW w:w="469" w:type="pct"/>
            <w:tcBorders>
              <w:tl2br w:val="nil"/>
              <w:tr2bl w:val="nil"/>
            </w:tcBorders>
            <w:shd w:val="clear" w:color="auto" w:fill="auto"/>
            <w:vAlign w:val="center"/>
          </w:tcPr>
          <w:p w14:paraId="10A50340">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129.0</w:t>
            </w:r>
          </w:p>
        </w:tc>
      </w:tr>
      <w:tr w14:paraId="68FE90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 w:type="pct"/>
            <w:tcBorders>
              <w:tl2br w:val="nil"/>
              <w:tr2bl w:val="nil"/>
            </w:tcBorders>
            <w:shd w:val="clear" w:color="auto" w:fill="auto"/>
            <w:vAlign w:val="center"/>
          </w:tcPr>
          <w:p w14:paraId="6BF145AE">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15</w:t>
            </w:r>
          </w:p>
        </w:tc>
        <w:tc>
          <w:tcPr>
            <w:tcW w:w="661" w:type="pct"/>
            <w:tcBorders>
              <w:tl2br w:val="nil"/>
              <w:tr2bl w:val="nil"/>
            </w:tcBorders>
            <w:shd w:val="clear" w:color="auto" w:fill="auto"/>
            <w:vAlign w:val="center"/>
          </w:tcPr>
          <w:p w14:paraId="72D1F4E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80</w:t>
            </w:r>
          </w:p>
        </w:tc>
        <w:tc>
          <w:tcPr>
            <w:tcW w:w="448" w:type="pct"/>
            <w:tcBorders>
              <w:tl2br w:val="nil"/>
              <w:tr2bl w:val="nil"/>
            </w:tcBorders>
            <w:shd w:val="clear" w:color="auto" w:fill="auto"/>
            <w:vAlign w:val="center"/>
          </w:tcPr>
          <w:p w14:paraId="5A7196A6">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0.1</w:t>
            </w:r>
          </w:p>
        </w:tc>
        <w:tc>
          <w:tcPr>
            <w:tcW w:w="471" w:type="pct"/>
            <w:tcBorders>
              <w:tl2br w:val="nil"/>
              <w:tr2bl w:val="nil"/>
            </w:tcBorders>
            <w:shd w:val="clear" w:color="auto" w:fill="auto"/>
            <w:vAlign w:val="center"/>
          </w:tcPr>
          <w:p w14:paraId="1D28DDDA">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0.3</w:t>
            </w:r>
          </w:p>
        </w:tc>
        <w:tc>
          <w:tcPr>
            <w:tcW w:w="471" w:type="pct"/>
            <w:tcBorders>
              <w:tl2br w:val="nil"/>
              <w:tr2bl w:val="nil"/>
            </w:tcBorders>
            <w:shd w:val="clear" w:color="auto" w:fill="auto"/>
            <w:vAlign w:val="center"/>
          </w:tcPr>
          <w:p w14:paraId="7A14A4CC">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1.1</w:t>
            </w:r>
          </w:p>
        </w:tc>
        <w:tc>
          <w:tcPr>
            <w:tcW w:w="471" w:type="pct"/>
            <w:tcBorders>
              <w:tl2br w:val="nil"/>
              <w:tr2bl w:val="nil"/>
            </w:tcBorders>
            <w:shd w:val="clear" w:color="auto" w:fill="auto"/>
            <w:vAlign w:val="center"/>
          </w:tcPr>
          <w:p w14:paraId="2A9F7644">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2.4</w:t>
            </w:r>
          </w:p>
        </w:tc>
        <w:tc>
          <w:tcPr>
            <w:tcW w:w="501" w:type="pct"/>
            <w:tcBorders>
              <w:tl2br w:val="nil"/>
              <w:tr2bl w:val="nil"/>
            </w:tcBorders>
            <w:shd w:val="clear" w:color="auto" w:fill="auto"/>
            <w:vAlign w:val="center"/>
          </w:tcPr>
          <w:p w14:paraId="2ABBF468">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4.1</w:t>
            </w:r>
          </w:p>
        </w:tc>
        <w:tc>
          <w:tcPr>
            <w:tcW w:w="501" w:type="pct"/>
            <w:tcBorders>
              <w:tl2br w:val="nil"/>
              <w:tr2bl w:val="nil"/>
            </w:tcBorders>
            <w:shd w:val="clear" w:color="auto" w:fill="auto"/>
            <w:vAlign w:val="center"/>
          </w:tcPr>
          <w:p w14:paraId="4763A9C2">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8.3</w:t>
            </w:r>
          </w:p>
        </w:tc>
        <w:tc>
          <w:tcPr>
            <w:tcW w:w="501" w:type="pct"/>
            <w:tcBorders>
              <w:tl2br w:val="nil"/>
              <w:tr2bl w:val="nil"/>
            </w:tcBorders>
            <w:shd w:val="clear" w:color="auto" w:fill="auto"/>
            <w:vAlign w:val="center"/>
          </w:tcPr>
          <w:p w14:paraId="56A49A5D">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23.7</w:t>
            </w:r>
          </w:p>
        </w:tc>
        <w:tc>
          <w:tcPr>
            <w:tcW w:w="469" w:type="pct"/>
            <w:tcBorders>
              <w:tl2br w:val="nil"/>
              <w:tr2bl w:val="nil"/>
            </w:tcBorders>
            <w:shd w:val="clear" w:color="auto" w:fill="auto"/>
            <w:vAlign w:val="center"/>
          </w:tcPr>
          <w:p w14:paraId="43E785B1">
            <w:pPr>
              <w:pStyle w:val="152"/>
              <w:spacing w:line="240" w:lineRule="auto"/>
              <w:ind w:firstLine="0" w:firstLineChars="0"/>
              <w:jc w:val="center"/>
              <w:rPr>
                <w:rFonts w:ascii="Times New Roman" w:hAnsi="Times New Roman" w:eastAsia="宋体"/>
                <w:b w:val="0"/>
                <w:bCs w:val="0"/>
                <w:strike w:val="0"/>
                <w:dstrike w:val="0"/>
                <w:color w:val="auto"/>
                <w:szCs w:val="21"/>
                <w:highlight w:val="none"/>
              </w:rPr>
            </w:pPr>
            <w:r>
              <w:rPr>
                <w:rFonts w:ascii="Times New Roman" w:hAnsi="Times New Roman" w:eastAsia="宋体"/>
                <w:b w:val="0"/>
                <w:bCs w:val="0"/>
                <w:strike w:val="0"/>
                <w:dstrike w:val="0"/>
                <w:color w:val="auto"/>
                <w:szCs w:val="21"/>
                <w:highlight w:val="none"/>
              </w:rPr>
              <w:t>82.8</w:t>
            </w:r>
          </w:p>
        </w:tc>
      </w:tr>
    </w:tbl>
    <w:p w14:paraId="34D0A698">
      <w:pPr>
        <w:spacing w:line="500" w:lineRule="exact"/>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地面效应衰减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Agr</w:t>
      </w:r>
      <w:r>
        <w:rPr>
          <w:rFonts w:hint="eastAsia" w:ascii="Times New Roman" w:hAnsi="Times New Roman" w:eastAsia="宋体"/>
          <w:strike w:val="0"/>
          <w:dstrike w:val="0"/>
          <w:color w:val="auto"/>
          <w:highlight w:val="none"/>
          <w:lang w:eastAsia="zh-CN"/>
        </w:rPr>
        <w:t>）</w:t>
      </w:r>
    </w:p>
    <w:p w14:paraId="0E8E48E4">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地面类型可分为：</w:t>
      </w:r>
    </w:p>
    <w:p w14:paraId="68B7B09E">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A、坚实地面，包括铺筑过的路面、水面、冰面以及夯实地面</w:t>
      </w:r>
      <w:r>
        <w:rPr>
          <w:rFonts w:hint="eastAsia" w:ascii="Times New Roman" w:hAnsi="Times New Roman" w:eastAsia="宋体"/>
          <w:strike w:val="0"/>
          <w:dstrike w:val="0"/>
          <w:color w:val="auto"/>
          <w:highlight w:val="none"/>
          <w:lang w:eastAsia="zh-CN"/>
        </w:rPr>
        <w:t>。</w:t>
      </w:r>
    </w:p>
    <w:p w14:paraId="0E633E3C">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B、疏松地面，包括被草或其他植物覆盖的地面，以及农田等适合于植物生长的地面</w:t>
      </w:r>
      <w:r>
        <w:rPr>
          <w:rFonts w:hint="eastAsia" w:ascii="Times New Roman" w:hAnsi="Times New Roman" w:eastAsia="宋体"/>
          <w:strike w:val="0"/>
          <w:dstrike w:val="0"/>
          <w:color w:val="auto"/>
          <w:highlight w:val="none"/>
          <w:lang w:eastAsia="zh-CN"/>
        </w:rPr>
        <w:t>。</w:t>
      </w:r>
    </w:p>
    <w:p w14:paraId="5693A97F">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C、混合地面，由坚实地面和疏松地面组成</w:t>
      </w:r>
      <w:r>
        <w:rPr>
          <w:rFonts w:hint="eastAsia" w:ascii="Times New Roman" w:hAnsi="Times New Roman" w:eastAsia="宋体"/>
          <w:strike w:val="0"/>
          <w:dstrike w:val="0"/>
          <w:color w:val="auto"/>
          <w:highlight w:val="none"/>
          <w:lang w:eastAsia="zh-CN"/>
        </w:rPr>
        <w:t>。</w:t>
      </w:r>
    </w:p>
    <w:p w14:paraId="4AC51494">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声波越过疏松地面传播时，或大部分为疏松地面的混合地面，在预测点仅计算A声级前提下，地面效应引起的倍频带衰减可用下列公式计算</w:t>
      </w:r>
      <w:r>
        <w:rPr>
          <w:rFonts w:hint="eastAsia" w:ascii="Times New Roman" w:hAnsi="Times New Roman" w:eastAsia="宋体"/>
          <w:strike w:val="0"/>
          <w:dstrike w:val="0"/>
          <w:color w:val="auto"/>
          <w:highlight w:val="none"/>
          <w:lang w:eastAsia="zh-CN"/>
        </w:rPr>
        <w:t>。</w:t>
      </w:r>
    </w:p>
    <w:p w14:paraId="0C44A086">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8112" behindDoc="0" locked="0" layoutInCell="1" allowOverlap="1">
            <wp:simplePos x="0" y="0"/>
            <wp:positionH relativeFrom="column">
              <wp:posOffset>1345565</wp:posOffset>
            </wp:positionH>
            <wp:positionV relativeFrom="paragraph">
              <wp:posOffset>34925</wp:posOffset>
            </wp:positionV>
            <wp:extent cx="1914525" cy="428625"/>
            <wp:effectExtent l="0" t="0" r="9525" b="9525"/>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914525" cy="428625"/>
                    </a:xfrm>
                    <a:prstGeom prst="rect">
                      <a:avLst/>
                    </a:prstGeom>
                    <a:noFill/>
                    <a:ln>
                      <a:noFill/>
                    </a:ln>
                  </pic:spPr>
                </pic:pic>
              </a:graphicData>
            </a:graphic>
          </wp:anchor>
        </w:drawing>
      </w:r>
    </w:p>
    <w:p w14:paraId="41E4B6FF">
      <w:pPr>
        <w:spacing w:line="500" w:lineRule="exact"/>
        <w:ind w:firstLine="480"/>
        <w:jc w:val="right"/>
        <w:rPr>
          <w:rFonts w:ascii="Times New Roman" w:hAnsi="Times New Roman" w:eastAsia="宋体"/>
          <w:strike w:val="0"/>
          <w:dstrike w:val="0"/>
          <w:color w:val="auto"/>
          <w:highlight w:val="none"/>
        </w:rPr>
      </w:pPr>
      <w:bookmarkStart w:id="250" w:name="_Toc1070"/>
      <w:bookmarkStart w:id="251" w:name="_Toc2094"/>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.19）</w:t>
      </w:r>
      <w:bookmarkEnd w:id="250"/>
      <w:bookmarkEnd w:id="251"/>
    </w:p>
    <w:p w14:paraId="68E29A5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1FD9F378">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r--声源到预测点的距离，m；</w:t>
      </w:r>
    </w:p>
    <w:p w14:paraId="319A9E7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hm--传播路径的平均离地高度，m；hm=F/r；F：面积，m2；r，m；</w:t>
      </w:r>
    </w:p>
    <w:p w14:paraId="5CE6290B">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若A</w:t>
      </w:r>
      <w:r>
        <w:rPr>
          <w:rFonts w:ascii="Times New Roman" w:hAnsi="Times New Roman" w:eastAsia="宋体"/>
          <w:strike w:val="0"/>
          <w:dstrike w:val="0"/>
          <w:color w:val="auto"/>
          <w:highlight w:val="none"/>
          <w:vertAlign w:val="subscript"/>
        </w:rPr>
        <w:t>gr</w:t>
      </w:r>
      <w:r>
        <w:rPr>
          <w:rFonts w:ascii="Times New Roman" w:hAnsi="Times New Roman" w:eastAsia="宋体"/>
          <w:strike w:val="0"/>
          <w:dstrike w:val="0"/>
          <w:color w:val="auto"/>
          <w:highlight w:val="none"/>
        </w:rPr>
        <w:t>计算出负值，则A</w:t>
      </w:r>
      <w:r>
        <w:rPr>
          <w:rFonts w:ascii="Times New Roman" w:hAnsi="Times New Roman" w:eastAsia="宋体"/>
          <w:strike w:val="0"/>
          <w:dstrike w:val="0"/>
          <w:color w:val="auto"/>
          <w:highlight w:val="none"/>
          <w:vertAlign w:val="subscript"/>
        </w:rPr>
        <w:t>gr</w:t>
      </w:r>
      <w:r>
        <w:rPr>
          <w:rFonts w:ascii="Times New Roman" w:hAnsi="Times New Roman" w:eastAsia="宋体"/>
          <w:strike w:val="0"/>
          <w:dstrike w:val="0"/>
          <w:color w:val="auto"/>
          <w:highlight w:val="none"/>
        </w:rPr>
        <w:t>可用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0</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代替</w:t>
      </w:r>
      <w:r>
        <w:rPr>
          <w:rFonts w:hint="eastAsia" w:ascii="Times New Roman" w:hAnsi="Times New Roman" w:eastAsia="宋体"/>
          <w:strike w:val="0"/>
          <w:dstrike w:val="0"/>
          <w:color w:val="auto"/>
          <w:highlight w:val="none"/>
          <w:lang w:eastAsia="zh-CN"/>
        </w:rPr>
        <w:t>。</w:t>
      </w:r>
    </w:p>
    <w:p w14:paraId="3C94DA26">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其他情况可参照GB/T17247.2进行计算</w:t>
      </w:r>
      <w:r>
        <w:rPr>
          <w:rFonts w:hint="eastAsia" w:ascii="Times New Roman" w:hAnsi="Times New Roman" w:eastAsia="宋体"/>
          <w:strike w:val="0"/>
          <w:dstrike w:val="0"/>
          <w:color w:val="auto"/>
          <w:highlight w:val="none"/>
          <w:lang w:eastAsia="zh-CN"/>
        </w:rPr>
        <w:t>。</w:t>
      </w:r>
    </w:p>
    <w:p w14:paraId="547868A1">
      <w:pPr>
        <w:spacing w:line="500" w:lineRule="exact"/>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④</w:t>
      </w:r>
      <w:r>
        <w:rPr>
          <w:rFonts w:ascii="Times New Roman" w:hAnsi="Times New Roman" w:eastAsia="宋体"/>
          <w:strike w:val="0"/>
          <w:dstrike w:val="0"/>
          <w:color w:val="auto"/>
          <w:highlight w:val="none"/>
        </w:rPr>
        <w:t>屏障引起的衰减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vertAlign w:val="subscript"/>
        </w:rPr>
        <w:t>bar</w:t>
      </w:r>
      <w:r>
        <w:rPr>
          <w:rFonts w:hint="eastAsia" w:ascii="Times New Roman" w:hAnsi="Times New Roman" w:eastAsia="宋体"/>
          <w:strike w:val="0"/>
          <w:dstrike w:val="0"/>
          <w:color w:val="auto"/>
          <w:highlight w:val="none"/>
          <w:lang w:eastAsia="zh-CN"/>
        </w:rPr>
        <w:t>）</w:t>
      </w:r>
    </w:p>
    <w:p w14:paraId="45267682">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位于声源和预测点之间的实体障碍物，如围墙、建筑物、土坡或地堑等起声屏障作用，从而引起声能量的较大衰减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在环境影响评价中，可将各种形式的屏障简化为具有一定高度的薄屏障</w:t>
      </w:r>
      <w:r>
        <w:rPr>
          <w:rFonts w:hint="eastAsia" w:ascii="Times New Roman" w:hAnsi="Times New Roman" w:eastAsia="宋体"/>
          <w:strike w:val="0"/>
          <w:dstrike w:val="0"/>
          <w:color w:val="auto"/>
          <w:highlight w:val="none"/>
          <w:lang w:eastAsia="zh-CN"/>
        </w:rPr>
        <w:t>。</w:t>
      </w:r>
    </w:p>
    <w:p w14:paraId="0503A814">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S、O、P三点在同一平面内且垂直于地面</w:t>
      </w:r>
      <w:r>
        <w:rPr>
          <w:rFonts w:hint="eastAsia" w:ascii="Times New Roman" w:hAnsi="Times New Roman" w:eastAsia="宋体"/>
          <w:strike w:val="0"/>
          <w:dstrike w:val="0"/>
          <w:color w:val="auto"/>
          <w:highlight w:val="none"/>
          <w:lang w:eastAsia="zh-CN"/>
        </w:rPr>
        <w:t>。</w:t>
      </w:r>
    </w:p>
    <w:p w14:paraId="12BDB9AB">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定义δ=SO＋OP－SP为声程差，N=2δ/λ为菲涅尔数，其中λ为声波波长</w:t>
      </w:r>
      <w:r>
        <w:rPr>
          <w:rFonts w:hint="eastAsia" w:ascii="Times New Roman" w:hAnsi="Times New Roman" w:eastAsia="宋体"/>
          <w:strike w:val="0"/>
          <w:dstrike w:val="0"/>
          <w:color w:val="auto"/>
          <w:highlight w:val="none"/>
          <w:lang w:eastAsia="zh-CN"/>
        </w:rPr>
        <w:t>。</w:t>
      </w:r>
    </w:p>
    <w:p w14:paraId="4A9DA092">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在噪声预测中，声屏障插入损失的计算方法应需要根据实际情况作简化处理</w:t>
      </w:r>
      <w:r>
        <w:rPr>
          <w:rFonts w:hint="eastAsia" w:ascii="Times New Roman" w:hAnsi="Times New Roman" w:eastAsia="宋体"/>
          <w:strike w:val="0"/>
          <w:dstrike w:val="0"/>
          <w:color w:val="auto"/>
          <w:highlight w:val="none"/>
          <w:lang w:eastAsia="zh-CN"/>
        </w:rPr>
        <w:t>。</w:t>
      </w:r>
    </w:p>
    <w:p w14:paraId="44D22465">
      <w:pPr>
        <w:spacing w:line="500" w:lineRule="exact"/>
        <w:ind w:firstLine="480"/>
        <w:rPr>
          <w:rFonts w:ascii="Times New Roman" w:hAnsi="Times New Roman" w:eastAsia="宋体"/>
          <w:strike w:val="0"/>
          <w:dstrike w:val="0"/>
          <w:color w:val="auto"/>
          <w:highlight w:val="none"/>
        </w:rPr>
      </w:pPr>
      <w:bookmarkStart w:id="252" w:name="_Toc20959"/>
      <w:bookmarkStart w:id="253" w:name="_Toc26353"/>
      <w:r>
        <w:rPr>
          <w:rFonts w:ascii="Times New Roman" w:hAnsi="Times New Roman" w:eastAsia="宋体"/>
          <w:strike w:val="0"/>
          <w:dstrike w:val="0"/>
          <w:color w:val="auto"/>
          <w:highlight w:val="none"/>
        </w:rPr>
        <w:t>A、有限长薄屏障在点声源声场中引起的衰减计算</w:t>
      </w:r>
      <w:bookmarkEnd w:id="252"/>
      <w:bookmarkEnd w:id="253"/>
    </w:p>
    <w:p w14:paraId="7719B363">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首先计算三个传播途径的声程差δ1、δ2、δ3和相应的菲涅尔数N1、N2、N3；声屏障引起的衰减公式为：</w:t>
      </w:r>
    </w:p>
    <w:p w14:paraId="7CCFB79C">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pict>
          <v:shape id="Picture 4366" o:spid="_x0000_s2074" o:spt="75" type="#_x0000_t75" style="position:absolute;left:0pt;margin-left:117pt;margin-top:-4.8pt;height:37.5pt;width:197.25pt;z-index:251721728;mso-width-relative:page;mso-height-relative:page;" o:ole="t" fillcolor="#000005" filled="f" o:preferrelative="t" stroked="f" coordsize="21600,21600">
            <v:path/>
            <v:fill on="f" focussize="0,0"/>
            <v:stroke on="f" joinstyle="miter"/>
            <v:imagedata r:id="rId72" o:title=""/>
            <o:lock v:ext="edit" aspectratio="t"/>
          </v:shape>
          <o:OLEObject Type="Embed" ProgID="Equation.3" ShapeID="Picture 4366" DrawAspect="Content" ObjectID="_1468075737" r:id="rId71">
            <o:LockedField>false</o:LockedField>
          </o:OLEObject>
        </w:pic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.20）</w:t>
      </w:r>
    </w:p>
    <w:p w14:paraId="39096FDA">
      <w:pPr>
        <w:spacing w:line="500" w:lineRule="exact"/>
        <w:ind w:firstLine="480"/>
        <w:rPr>
          <w:rFonts w:ascii="Times New Roman" w:hAnsi="Times New Roman" w:eastAsia="宋体"/>
          <w:strike w:val="0"/>
          <w:dstrike w:val="0"/>
          <w:color w:val="auto"/>
          <w:highlight w:val="none"/>
        </w:rPr>
      </w:pPr>
      <w:bookmarkStart w:id="254" w:name="_Toc16443"/>
      <w:bookmarkStart w:id="255" w:name="_Toc14662"/>
      <w:r>
        <w:rPr>
          <w:rFonts w:ascii="Times New Roman" w:hAnsi="Times New Roman" w:eastAsia="宋体"/>
          <w:strike w:val="0"/>
          <w:dstrike w:val="0"/>
          <w:color w:val="auto"/>
          <w:highlight w:val="none"/>
        </w:rPr>
        <w:t>B、双绕射计算</w:t>
      </w:r>
      <w:bookmarkEnd w:id="254"/>
      <w:bookmarkEnd w:id="255"/>
    </w:p>
    <w:p w14:paraId="6ED9B04A">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对于双绕射情景，可由下列公式计算绕射声与直达声之间的声程差δ：</w:t>
      </w:r>
    </w:p>
    <w:p w14:paraId="56408DAA">
      <w:pPr>
        <w:spacing w:line="500" w:lineRule="exact"/>
        <w:ind w:firstLine="480"/>
        <w:jc w:val="right"/>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anchor distT="0" distB="0" distL="114300" distR="114300" simplePos="0" relativeHeight="251737088" behindDoc="0" locked="0" layoutInCell="1" allowOverlap="1">
            <wp:simplePos x="0" y="0"/>
            <wp:positionH relativeFrom="column">
              <wp:posOffset>2051685</wp:posOffset>
            </wp:positionH>
            <wp:positionV relativeFrom="paragraph">
              <wp:posOffset>100965</wp:posOffset>
            </wp:positionV>
            <wp:extent cx="1819275" cy="314325"/>
            <wp:effectExtent l="0" t="0" r="9525" b="9525"/>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819275" cy="314325"/>
                    </a:xfrm>
                    <a:prstGeom prst="rect">
                      <a:avLst/>
                    </a:prstGeom>
                    <a:noFill/>
                    <a:ln>
                      <a:noFill/>
                    </a:ln>
                  </pic:spPr>
                </pic:pic>
              </a:graphicData>
            </a:graphic>
          </wp:anchor>
        </w:drawing>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rPr>
        <w:t>A</w:t>
      </w:r>
      <w:r>
        <w:rPr>
          <w:rFonts w:ascii="Times New Roman" w:hAnsi="Times New Roman" w:eastAsia="宋体"/>
          <w:strike w:val="0"/>
          <w:dstrike w:val="0"/>
          <w:color w:val="auto"/>
          <w:highlight w:val="none"/>
        </w:rPr>
        <w:t>.21）</w:t>
      </w:r>
    </w:p>
    <w:p w14:paraId="376F49C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式中：</w:t>
      </w:r>
    </w:p>
    <w:p w14:paraId="4CCEE214">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a--声源和接收点之间的距离在平行于屏障上边界的投影长度，m</w:t>
      </w:r>
      <w:r>
        <w:rPr>
          <w:rFonts w:hint="eastAsia" w:ascii="Times New Roman" w:hAnsi="Times New Roman" w:eastAsia="宋体"/>
          <w:strike w:val="0"/>
          <w:dstrike w:val="0"/>
          <w:color w:val="auto"/>
          <w:highlight w:val="none"/>
          <w:lang w:eastAsia="zh-CN"/>
        </w:rPr>
        <w:t>。</w:t>
      </w:r>
    </w:p>
    <w:p w14:paraId="13F4E95F">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w:t>
      </w:r>
      <w:r>
        <w:rPr>
          <w:rFonts w:ascii="Times New Roman" w:hAnsi="Times New Roman" w:eastAsia="宋体"/>
          <w:strike w:val="0"/>
          <w:dstrike w:val="0"/>
          <w:color w:val="auto"/>
          <w:highlight w:val="none"/>
          <w:vertAlign w:val="subscript"/>
        </w:rPr>
        <w:t>ss</w:t>
      </w:r>
      <w:r>
        <w:rPr>
          <w:rFonts w:ascii="Times New Roman" w:hAnsi="Times New Roman" w:eastAsia="宋体"/>
          <w:strike w:val="0"/>
          <w:dstrike w:val="0"/>
          <w:color w:val="auto"/>
          <w:highlight w:val="none"/>
        </w:rPr>
        <w:t>--声源到第一绕射边的距离，m</w:t>
      </w:r>
      <w:r>
        <w:rPr>
          <w:rFonts w:hint="eastAsia" w:ascii="Times New Roman" w:hAnsi="Times New Roman" w:eastAsia="宋体"/>
          <w:strike w:val="0"/>
          <w:dstrike w:val="0"/>
          <w:color w:val="auto"/>
          <w:highlight w:val="none"/>
          <w:lang w:eastAsia="zh-CN"/>
        </w:rPr>
        <w:t>。</w:t>
      </w:r>
    </w:p>
    <w:p w14:paraId="438EA2B5">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w:t>
      </w:r>
      <w:r>
        <w:rPr>
          <w:rFonts w:ascii="Times New Roman" w:hAnsi="Times New Roman" w:eastAsia="宋体"/>
          <w:strike w:val="0"/>
          <w:dstrike w:val="0"/>
          <w:color w:val="auto"/>
          <w:highlight w:val="none"/>
          <w:vertAlign w:val="subscript"/>
        </w:rPr>
        <w:t>sr</w:t>
      </w:r>
      <w:r>
        <w:rPr>
          <w:rFonts w:ascii="Times New Roman" w:hAnsi="Times New Roman" w:eastAsia="宋体"/>
          <w:strike w:val="0"/>
          <w:dstrike w:val="0"/>
          <w:color w:val="auto"/>
          <w:highlight w:val="none"/>
        </w:rPr>
        <w:t>--（第二）绕射边到接收点的距离，m</w:t>
      </w:r>
      <w:r>
        <w:rPr>
          <w:rFonts w:hint="eastAsia" w:ascii="Times New Roman" w:hAnsi="Times New Roman" w:eastAsia="宋体"/>
          <w:strike w:val="0"/>
          <w:dstrike w:val="0"/>
          <w:color w:val="auto"/>
          <w:highlight w:val="none"/>
          <w:lang w:eastAsia="zh-CN"/>
        </w:rPr>
        <w:t>。</w:t>
      </w:r>
    </w:p>
    <w:p w14:paraId="1E0A70BD">
      <w:pPr>
        <w:spacing w:line="500" w:lineRule="exact"/>
        <w:ind w:firstLine="991" w:firstLineChars="413"/>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e--在双绕射情况下两个绕射边界之间的距离，m</w:t>
      </w:r>
      <w:r>
        <w:rPr>
          <w:rFonts w:hint="eastAsia" w:ascii="Times New Roman" w:hAnsi="Times New Roman" w:eastAsia="宋体"/>
          <w:strike w:val="0"/>
          <w:dstrike w:val="0"/>
          <w:color w:val="auto"/>
          <w:highlight w:val="none"/>
          <w:lang w:eastAsia="zh-CN"/>
        </w:rPr>
        <w:t>。</w:t>
      </w:r>
    </w:p>
    <w:p w14:paraId="661839B5">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屏障衰减A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（相当于GB/T17247.2中的DZ）参照GB/T17247.2进行计算</w:t>
      </w:r>
      <w:r>
        <w:rPr>
          <w:rFonts w:hint="eastAsia" w:ascii="Times New Roman" w:hAnsi="Times New Roman" w:eastAsia="宋体"/>
          <w:strike w:val="0"/>
          <w:dstrike w:val="0"/>
          <w:color w:val="auto"/>
          <w:highlight w:val="none"/>
          <w:lang w:eastAsia="zh-CN"/>
        </w:rPr>
        <w:t>。</w:t>
      </w:r>
    </w:p>
    <w:p w14:paraId="2DBD32FE">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在任何频带上，屏障衰减A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在单绕射（即薄屏障）情况，衰减最大取20dB；屏障衰减A</w:t>
      </w:r>
      <w:r>
        <w:rPr>
          <w:rFonts w:ascii="Times New Roman" w:hAnsi="Times New Roman" w:eastAsia="宋体"/>
          <w:strike w:val="0"/>
          <w:dstrike w:val="0"/>
          <w:color w:val="auto"/>
          <w:highlight w:val="none"/>
          <w:vertAlign w:val="subscript"/>
        </w:rPr>
        <w:t>bar</w:t>
      </w:r>
      <w:r>
        <w:rPr>
          <w:rFonts w:ascii="Times New Roman" w:hAnsi="Times New Roman" w:eastAsia="宋体"/>
          <w:strike w:val="0"/>
          <w:dstrike w:val="0"/>
          <w:color w:val="auto"/>
          <w:highlight w:val="none"/>
        </w:rPr>
        <w:t>在双绕射（即厚屏障）情况，衰减最大取25dB</w:t>
      </w:r>
      <w:r>
        <w:rPr>
          <w:rFonts w:hint="eastAsia" w:ascii="Times New Roman" w:hAnsi="Times New Roman" w:eastAsia="宋体"/>
          <w:strike w:val="0"/>
          <w:dstrike w:val="0"/>
          <w:color w:val="auto"/>
          <w:highlight w:val="none"/>
          <w:lang w:eastAsia="zh-CN"/>
        </w:rPr>
        <w:t>。</w:t>
      </w:r>
    </w:p>
    <w:p w14:paraId="61A3A2B9">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计算了屏障衰减后，不再考虑地面效应衰减</w:t>
      </w:r>
      <w:r>
        <w:rPr>
          <w:rFonts w:hint="eastAsia" w:ascii="Times New Roman" w:hAnsi="Times New Roman" w:eastAsia="宋体"/>
          <w:strike w:val="0"/>
          <w:dstrike w:val="0"/>
          <w:color w:val="auto"/>
          <w:highlight w:val="none"/>
          <w:lang w:eastAsia="zh-CN"/>
        </w:rPr>
        <w:t>。</w:t>
      </w:r>
    </w:p>
    <w:p w14:paraId="6F43BF7E">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3、防治措施</w:t>
      </w:r>
    </w:p>
    <w:p w14:paraId="23BF5AC2">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（1）在设备选型上，应引进质量过关、通过质量认定的低噪声生产设备，主要设备要标明噪声的标准值，使其噪声控制在80-85dB（A）以下；</w:t>
      </w:r>
    </w:p>
    <w:p w14:paraId="3578BE4F">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（2）新增设施基础加减振装置，以控制设备振动噪声；</w:t>
      </w:r>
    </w:p>
    <w:p w14:paraId="788ED050">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（3）养殖中心内合理布局，使高噪声机泵远离厂界</w:t>
      </w:r>
      <w:r>
        <w:rPr>
          <w:rFonts w:hint="eastAsia" w:ascii="Times New Roman" w:hAnsi="Times New Roman" w:eastAsia="宋体"/>
          <w:strike w:val="0"/>
          <w:dstrike w:val="0"/>
          <w:color w:val="auto"/>
          <w:highlight w:val="none"/>
          <w:lang w:eastAsia="zh-CN"/>
        </w:rPr>
        <w:t>。</w:t>
      </w:r>
    </w:p>
    <w:p w14:paraId="377D468D">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4、预测结果及结论</w:t>
      </w:r>
    </w:p>
    <w:p w14:paraId="7736B471">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（1）预测结果</w:t>
      </w:r>
    </w:p>
    <w:p w14:paraId="32377F72">
      <w:pPr>
        <w:spacing w:line="500" w:lineRule="exact"/>
        <w:ind w:firstLine="504"/>
        <w:rPr>
          <w:rFonts w:hint="eastAsia" w:ascii="Times New Roman" w:hAnsi="Times New Roman" w:eastAsia="宋体"/>
          <w:strike w:val="0"/>
          <w:dstrike w:val="0"/>
          <w:color w:val="auto"/>
          <w:spacing w:val="6"/>
          <w:highlight w:val="none"/>
          <w:lang w:eastAsia="zh-CN"/>
        </w:rPr>
      </w:pPr>
      <w:r>
        <w:rPr>
          <w:rFonts w:ascii="Times New Roman" w:hAnsi="Times New Roman" w:eastAsia="宋体"/>
          <w:strike w:val="0"/>
          <w:dstrike w:val="0"/>
          <w:color w:val="auto"/>
          <w:spacing w:val="6"/>
          <w:highlight w:val="none"/>
        </w:rPr>
        <w:t>在采取防治措施情况下，</w:t>
      </w:r>
      <w:r>
        <w:rPr>
          <w:rFonts w:hint="eastAsia" w:ascii="Times New Roman" w:hAnsi="Times New Roman" w:eastAsia="宋体"/>
          <w:strike w:val="0"/>
          <w:dstrike w:val="0"/>
          <w:color w:val="auto"/>
          <w:spacing w:val="6"/>
          <w:highlight w:val="none"/>
        </w:rPr>
        <w:t>本项目运营期间</w:t>
      </w:r>
      <w:r>
        <w:rPr>
          <w:rFonts w:ascii="Times New Roman" w:hAnsi="Times New Roman" w:eastAsia="宋体"/>
          <w:strike w:val="0"/>
          <w:dstrike w:val="0"/>
          <w:color w:val="auto"/>
          <w:spacing w:val="6"/>
          <w:highlight w:val="none"/>
        </w:rPr>
        <w:t>噪声</w:t>
      </w:r>
      <w:r>
        <w:rPr>
          <w:rFonts w:hint="eastAsia" w:ascii="Times New Roman" w:hAnsi="Times New Roman" w:eastAsia="宋体"/>
          <w:strike w:val="0"/>
          <w:dstrike w:val="0"/>
          <w:color w:val="auto"/>
          <w:spacing w:val="6"/>
          <w:highlight w:val="none"/>
        </w:rPr>
        <w:t>对</w:t>
      </w:r>
      <w:r>
        <w:rPr>
          <w:rFonts w:ascii="Times New Roman" w:hAnsi="Times New Roman" w:eastAsia="宋体"/>
          <w:strike w:val="0"/>
          <w:dstrike w:val="0"/>
          <w:color w:val="auto"/>
          <w:spacing w:val="6"/>
          <w:highlight w:val="none"/>
        </w:rPr>
        <w:t>厂界噪声贡献</w:t>
      </w:r>
      <w:r>
        <w:rPr>
          <w:rFonts w:hint="eastAsia" w:ascii="Times New Roman" w:hAnsi="Times New Roman" w:eastAsia="宋体"/>
          <w:strike w:val="0"/>
          <w:dstrike w:val="0"/>
          <w:color w:val="auto"/>
          <w:spacing w:val="6"/>
          <w:highlight w:val="none"/>
        </w:rPr>
        <w:t>值按有限线声源公式计算</w:t>
      </w:r>
      <w:r>
        <w:rPr>
          <w:rFonts w:hint="eastAsia" w:ascii="Times New Roman" w:hAnsi="Times New Roman" w:eastAsia="宋体"/>
          <w:strike w:val="0"/>
          <w:dstrike w:val="0"/>
          <w:color w:val="auto"/>
          <w:spacing w:val="6"/>
          <w:highlight w:val="none"/>
          <w:lang w:eastAsia="zh-CN"/>
        </w:rPr>
        <w:t>：</w:t>
      </w:r>
    </w:p>
    <w:p w14:paraId="4564FECC">
      <w:pPr>
        <w:spacing w:line="240" w:lineRule="auto"/>
        <w:ind w:firstLine="480"/>
        <w:jc w:val="center"/>
        <w:rPr>
          <w:rFonts w:ascii="Times New Roman" w:hAnsi="Times New Roman" w:eastAsia="宋体"/>
          <w:strike w:val="0"/>
          <w:dstrike w:val="0"/>
          <w:color w:val="auto"/>
          <w:spacing w:val="6"/>
          <w:highlight w:val="none"/>
        </w:rPr>
      </w:pPr>
      <w:r>
        <w:rPr>
          <w:rFonts w:ascii="Times New Roman" w:hAnsi="Times New Roman" w:eastAsia="宋体"/>
          <w:strike w:val="0"/>
          <w:dstrike w:val="0"/>
          <w:color w:val="auto"/>
          <w:highlight w:val="none"/>
        </w:rPr>
        <w:drawing>
          <wp:inline distT="0" distB="0" distL="0" distR="0">
            <wp:extent cx="2502535" cy="4686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74"/>
                    <a:srcRect r="48254"/>
                    <a:stretch>
                      <a:fillRect/>
                    </a:stretch>
                  </pic:blipFill>
                  <pic:spPr>
                    <a:xfrm>
                      <a:off x="0" y="0"/>
                      <a:ext cx="2502535" cy="475352"/>
                    </a:xfrm>
                    <a:prstGeom prst="rect">
                      <a:avLst/>
                    </a:prstGeom>
                  </pic:spPr>
                </pic:pic>
              </a:graphicData>
            </a:graphic>
          </wp:inline>
        </w:drawing>
      </w:r>
    </w:p>
    <w:p w14:paraId="288A07DF">
      <w:pPr>
        <w:spacing w:line="500" w:lineRule="exact"/>
        <w:ind w:firstLine="504"/>
        <w:rPr>
          <w:rFonts w:hint="eastAsia" w:ascii="Times New Roman" w:hAnsi="Times New Roman" w:eastAsia="宋体"/>
          <w:strike w:val="0"/>
          <w:dstrike w:val="0"/>
          <w:color w:val="auto"/>
          <w:spacing w:val="6"/>
          <w:highlight w:val="none"/>
          <w:lang w:eastAsia="zh-CN"/>
        </w:rPr>
      </w:pPr>
      <w:r>
        <w:rPr>
          <w:rFonts w:hint="eastAsia" w:ascii="Times New Roman" w:hAnsi="Times New Roman" w:eastAsia="宋体"/>
          <w:strike w:val="0"/>
          <w:dstrike w:val="0"/>
          <w:color w:val="auto"/>
          <w:spacing w:val="6"/>
          <w:highlight w:val="none"/>
        </w:rPr>
        <w:t>计算结果</w:t>
      </w:r>
      <w:r>
        <w:rPr>
          <w:rFonts w:ascii="Times New Roman" w:hAnsi="Times New Roman" w:eastAsia="宋体"/>
          <w:strike w:val="0"/>
          <w:dstrike w:val="0"/>
          <w:color w:val="auto"/>
          <w:spacing w:val="6"/>
          <w:highlight w:val="none"/>
        </w:rPr>
        <w:t>见表5.2-</w:t>
      </w:r>
      <w:r>
        <w:rPr>
          <w:rFonts w:hint="eastAsia" w:ascii="Times New Roman" w:hAnsi="Times New Roman" w:eastAsia="宋体"/>
          <w:strike w:val="0"/>
          <w:dstrike w:val="0"/>
          <w:color w:val="auto"/>
          <w:spacing w:val="6"/>
          <w:highlight w:val="none"/>
          <w:lang w:val="en-US" w:eastAsia="zh-CN"/>
        </w:rPr>
        <w:t>1</w:t>
      </w:r>
      <w:r>
        <w:rPr>
          <w:rFonts w:hint="eastAsia" w:ascii="Times New Roman" w:hAnsi="Times New Roman" w:eastAsia="宋体"/>
          <w:strike w:val="0"/>
          <w:dstrike w:val="0"/>
          <w:color w:val="auto"/>
          <w:spacing w:val="6"/>
          <w:highlight w:val="none"/>
          <w:lang w:val="en-US" w:eastAsia="zh-CN"/>
        </w:rPr>
        <w:t>9</w:t>
      </w:r>
      <w:r>
        <w:rPr>
          <w:rFonts w:hint="eastAsia" w:ascii="Times New Roman" w:hAnsi="Times New Roman" w:eastAsia="宋体"/>
          <w:strike w:val="0"/>
          <w:dstrike w:val="0"/>
          <w:color w:val="auto"/>
          <w:spacing w:val="6"/>
          <w:highlight w:val="none"/>
          <w:lang w:eastAsia="zh-CN"/>
        </w:rPr>
        <w:t>。</w:t>
      </w:r>
    </w:p>
    <w:p w14:paraId="3AE1A0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表5.2-19运营期厂界噪声预测值[dB（A）]</w:t>
      </w:r>
    </w:p>
    <w:tbl>
      <w:tblPr>
        <w:tblStyle w:val="39"/>
        <w:tblW w:w="4998" w:type="pct"/>
        <w:tblInd w:w="-5"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92"/>
        <w:gridCol w:w="1307"/>
        <w:gridCol w:w="1307"/>
        <w:gridCol w:w="1309"/>
        <w:gridCol w:w="1311"/>
        <w:gridCol w:w="1293"/>
      </w:tblGrid>
      <w:tr w14:paraId="3DE80E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vMerge w:val="restart"/>
            <w:noWrap w:val="0"/>
            <w:vAlign w:val="center"/>
          </w:tcPr>
          <w:p w14:paraId="36284DDC">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预测点位</w:t>
            </w:r>
          </w:p>
        </w:tc>
        <w:tc>
          <w:tcPr>
            <w:tcW w:w="1534" w:type="pct"/>
            <w:gridSpan w:val="2"/>
            <w:noWrap w:val="0"/>
            <w:vAlign w:val="center"/>
          </w:tcPr>
          <w:p w14:paraId="0C80C8A5">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贡献值</w:t>
            </w:r>
          </w:p>
        </w:tc>
        <w:tc>
          <w:tcPr>
            <w:tcW w:w="1537" w:type="pct"/>
            <w:gridSpan w:val="2"/>
            <w:noWrap w:val="0"/>
            <w:vAlign w:val="center"/>
          </w:tcPr>
          <w:p w14:paraId="043D7158">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标准值</w:t>
            </w:r>
          </w:p>
        </w:tc>
        <w:tc>
          <w:tcPr>
            <w:tcW w:w="758" w:type="pct"/>
            <w:vMerge w:val="restart"/>
            <w:noWrap w:val="0"/>
            <w:vAlign w:val="center"/>
          </w:tcPr>
          <w:p w14:paraId="166F29F9">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评价结果</w:t>
            </w:r>
          </w:p>
        </w:tc>
      </w:tr>
      <w:tr w14:paraId="278FAB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vMerge w:val="continue"/>
            <w:noWrap w:val="0"/>
            <w:vAlign w:val="center"/>
          </w:tcPr>
          <w:p w14:paraId="6E41F745">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p>
        </w:tc>
        <w:tc>
          <w:tcPr>
            <w:tcW w:w="767" w:type="pct"/>
            <w:noWrap w:val="0"/>
            <w:vAlign w:val="center"/>
          </w:tcPr>
          <w:p w14:paraId="0917E367">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昼间</w:t>
            </w:r>
          </w:p>
        </w:tc>
        <w:tc>
          <w:tcPr>
            <w:tcW w:w="767" w:type="pct"/>
            <w:noWrap w:val="0"/>
            <w:vAlign w:val="center"/>
          </w:tcPr>
          <w:p w14:paraId="1BE625E6">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夜间</w:t>
            </w:r>
          </w:p>
        </w:tc>
        <w:tc>
          <w:tcPr>
            <w:tcW w:w="768" w:type="pct"/>
            <w:noWrap w:val="0"/>
            <w:vAlign w:val="center"/>
          </w:tcPr>
          <w:p w14:paraId="51223358">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昼间</w:t>
            </w:r>
          </w:p>
        </w:tc>
        <w:tc>
          <w:tcPr>
            <w:tcW w:w="768" w:type="pct"/>
            <w:noWrap w:val="0"/>
            <w:vAlign w:val="center"/>
          </w:tcPr>
          <w:p w14:paraId="0B6E1FB9">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夜间</w:t>
            </w:r>
          </w:p>
        </w:tc>
        <w:tc>
          <w:tcPr>
            <w:tcW w:w="758" w:type="pct"/>
            <w:vMerge w:val="continue"/>
            <w:noWrap w:val="0"/>
            <w:vAlign w:val="center"/>
          </w:tcPr>
          <w:p w14:paraId="595D1A68">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p>
        </w:tc>
      </w:tr>
      <w:tr w14:paraId="3B819A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38678CEE">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厂界东面</w:t>
            </w:r>
          </w:p>
        </w:tc>
        <w:tc>
          <w:tcPr>
            <w:tcW w:w="1307" w:type="dxa"/>
            <w:noWrap w:val="0"/>
            <w:vAlign w:val="center"/>
          </w:tcPr>
          <w:p w14:paraId="4B811470">
            <w:pPr>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33.73</w:t>
            </w:r>
          </w:p>
        </w:tc>
        <w:tc>
          <w:tcPr>
            <w:tcW w:w="1307" w:type="dxa"/>
            <w:noWrap w:val="0"/>
            <w:vAlign w:val="center"/>
          </w:tcPr>
          <w:p w14:paraId="350229EC">
            <w:pPr>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31.92</w:t>
            </w:r>
          </w:p>
        </w:tc>
        <w:tc>
          <w:tcPr>
            <w:tcW w:w="768" w:type="pct"/>
            <w:noWrap w:val="0"/>
            <w:vAlign w:val="center"/>
          </w:tcPr>
          <w:p w14:paraId="50FD7C89">
            <w:pPr>
              <w:pStyle w:val="152"/>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C72DD93">
            <w:pPr>
              <w:pStyle w:val="152"/>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center"/>
          </w:tcPr>
          <w:p w14:paraId="33A9D2BA">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r w14:paraId="1D775C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0C1FB604">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厂界南面</w:t>
            </w:r>
          </w:p>
        </w:tc>
        <w:tc>
          <w:tcPr>
            <w:tcW w:w="1307" w:type="dxa"/>
            <w:noWrap w:val="0"/>
            <w:vAlign w:val="center"/>
          </w:tcPr>
          <w:p w14:paraId="46E34125">
            <w:pPr>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olor w:val="auto"/>
                <w:sz w:val="21"/>
                <w:szCs w:val="21"/>
                <w:lang w:val="en-US" w:eastAsia="zh-CN"/>
              </w:rPr>
              <w:t>38.41</w:t>
            </w:r>
          </w:p>
        </w:tc>
        <w:tc>
          <w:tcPr>
            <w:tcW w:w="1307" w:type="dxa"/>
            <w:noWrap w:val="0"/>
            <w:vAlign w:val="center"/>
          </w:tcPr>
          <w:p w14:paraId="3C1FC5F4">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eastAsia="zh-CN"/>
              </w:rPr>
            </w:pPr>
            <w:r>
              <w:rPr>
                <w:rFonts w:hint="eastAsia" w:ascii="Times New Roman" w:hAnsi="Times New Roman" w:eastAsia="宋体" w:cs="Times New Roman"/>
                <w:b w:val="0"/>
                <w:bCs w:val="0"/>
                <w:strike w:val="0"/>
                <w:dstrike w:val="0"/>
                <w:color w:val="auto"/>
                <w:szCs w:val="21"/>
                <w:highlight w:val="none"/>
                <w:lang w:val="en-US" w:eastAsia="zh-CN"/>
              </w:rPr>
              <w:t>37.39</w:t>
            </w:r>
          </w:p>
        </w:tc>
        <w:tc>
          <w:tcPr>
            <w:tcW w:w="1309" w:type="dxa"/>
            <w:noWrap w:val="0"/>
            <w:vAlign w:val="center"/>
          </w:tcPr>
          <w:p w14:paraId="02A72020">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ABC1683">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top"/>
          </w:tcPr>
          <w:p w14:paraId="09BFA236">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r w14:paraId="4FBDFD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3CD33322">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厂界西面</w:t>
            </w:r>
          </w:p>
        </w:tc>
        <w:tc>
          <w:tcPr>
            <w:tcW w:w="1307" w:type="dxa"/>
            <w:noWrap w:val="0"/>
            <w:vAlign w:val="center"/>
          </w:tcPr>
          <w:p w14:paraId="7060AC5C">
            <w:pPr>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olor w:val="auto"/>
                <w:sz w:val="21"/>
                <w:szCs w:val="21"/>
                <w:lang w:val="en-US" w:eastAsia="zh-CN"/>
              </w:rPr>
              <w:t>36.61</w:t>
            </w:r>
          </w:p>
        </w:tc>
        <w:tc>
          <w:tcPr>
            <w:tcW w:w="1307" w:type="dxa"/>
            <w:noWrap w:val="0"/>
            <w:vAlign w:val="center"/>
          </w:tcPr>
          <w:p w14:paraId="5B2B6F7A">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34.15</w:t>
            </w:r>
          </w:p>
        </w:tc>
        <w:tc>
          <w:tcPr>
            <w:tcW w:w="1309" w:type="dxa"/>
            <w:noWrap w:val="0"/>
            <w:vAlign w:val="center"/>
          </w:tcPr>
          <w:p w14:paraId="2236ABDC">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2DB8639">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center"/>
          </w:tcPr>
          <w:p w14:paraId="3CDEEB9C">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r w14:paraId="4B6657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3" w:hRule="atLeast"/>
        </w:trPr>
        <w:tc>
          <w:tcPr>
            <w:tcW w:w="1169" w:type="pct"/>
            <w:noWrap w:val="0"/>
            <w:vAlign w:val="center"/>
          </w:tcPr>
          <w:p w14:paraId="366740A9">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厂界北面</w:t>
            </w:r>
          </w:p>
        </w:tc>
        <w:tc>
          <w:tcPr>
            <w:tcW w:w="1307" w:type="dxa"/>
            <w:noWrap w:val="0"/>
            <w:vAlign w:val="center"/>
          </w:tcPr>
          <w:p w14:paraId="5939B7F1">
            <w:pPr>
              <w:spacing w:line="240" w:lineRule="auto"/>
              <w:ind w:firstLine="0" w:firstLineChars="0"/>
              <w:jc w:val="center"/>
              <w:rPr>
                <w:rFonts w:hint="default"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olor w:val="auto"/>
                <w:sz w:val="21"/>
                <w:szCs w:val="21"/>
                <w:lang w:val="en-US" w:eastAsia="zh-CN"/>
              </w:rPr>
              <w:t>43.32</w:t>
            </w:r>
          </w:p>
        </w:tc>
        <w:tc>
          <w:tcPr>
            <w:tcW w:w="1307" w:type="dxa"/>
            <w:noWrap w:val="0"/>
            <w:vAlign w:val="center"/>
          </w:tcPr>
          <w:p w14:paraId="5850AF87">
            <w:pPr>
              <w:pStyle w:val="152"/>
              <w:spacing w:line="240" w:lineRule="auto"/>
              <w:ind w:firstLine="0" w:firstLineChars="0"/>
              <w:jc w:val="center"/>
              <w:rPr>
                <w:rFonts w:hint="eastAsia" w:ascii="Times New Roman" w:hAnsi="Times New Roman" w:eastAsia="宋体" w:cs="Times New Roman"/>
                <w:b w:val="0"/>
                <w:bCs w:val="0"/>
                <w:strike w:val="0"/>
                <w:dstrike w:val="0"/>
                <w:color w:val="auto"/>
                <w:szCs w:val="21"/>
                <w:highlight w:val="none"/>
                <w:lang w:val="en-US" w:eastAsia="zh-CN"/>
              </w:rPr>
            </w:pPr>
            <w:r>
              <w:rPr>
                <w:rFonts w:hint="eastAsia" w:ascii="Times New Roman" w:hAnsi="Times New Roman" w:eastAsia="宋体" w:cs="Times New Roman"/>
                <w:b w:val="0"/>
                <w:bCs w:val="0"/>
                <w:strike w:val="0"/>
                <w:dstrike w:val="0"/>
                <w:color w:val="auto"/>
                <w:szCs w:val="21"/>
                <w:highlight w:val="none"/>
                <w:lang w:val="en-US" w:eastAsia="zh-CN"/>
              </w:rPr>
              <w:t>35.10</w:t>
            </w:r>
          </w:p>
        </w:tc>
        <w:tc>
          <w:tcPr>
            <w:tcW w:w="1309" w:type="dxa"/>
            <w:noWrap w:val="0"/>
            <w:vAlign w:val="center"/>
          </w:tcPr>
          <w:p w14:paraId="1BA17204">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60</w:t>
            </w:r>
          </w:p>
        </w:tc>
        <w:tc>
          <w:tcPr>
            <w:tcW w:w="1311" w:type="dxa"/>
            <w:noWrap w:val="0"/>
            <w:vAlign w:val="center"/>
          </w:tcPr>
          <w:p w14:paraId="7D0EF252">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hint="eastAsia" w:ascii="Times New Roman" w:hAnsi="Times New Roman" w:eastAsia="宋体" w:cs="Times New Roman"/>
                <w:b w:val="0"/>
                <w:bCs w:val="0"/>
                <w:strike w:val="0"/>
                <w:dstrike w:val="0"/>
                <w:color w:val="auto"/>
                <w:szCs w:val="21"/>
                <w:highlight w:val="none"/>
                <w:lang w:val="en-US" w:eastAsia="zh-CN"/>
              </w:rPr>
              <w:t>50</w:t>
            </w:r>
          </w:p>
        </w:tc>
        <w:tc>
          <w:tcPr>
            <w:tcW w:w="758" w:type="pct"/>
            <w:noWrap w:val="0"/>
            <w:vAlign w:val="top"/>
          </w:tcPr>
          <w:p w14:paraId="4738E6B2">
            <w:pPr>
              <w:pStyle w:val="152"/>
              <w:spacing w:line="240" w:lineRule="auto"/>
              <w:ind w:firstLine="0" w:firstLineChars="0"/>
              <w:jc w:val="center"/>
              <w:rPr>
                <w:rFonts w:ascii="Times New Roman" w:hAnsi="Times New Roman" w:eastAsia="宋体" w:cs="Times New Roman"/>
                <w:b w:val="0"/>
                <w:bCs w:val="0"/>
                <w:strike w:val="0"/>
                <w:dstrike w:val="0"/>
                <w:color w:val="auto"/>
                <w:szCs w:val="21"/>
                <w:highlight w:val="none"/>
              </w:rPr>
            </w:pPr>
            <w:r>
              <w:rPr>
                <w:rFonts w:ascii="Times New Roman" w:hAnsi="Times New Roman" w:eastAsia="宋体" w:cs="Times New Roman"/>
                <w:b w:val="0"/>
                <w:bCs w:val="0"/>
                <w:strike w:val="0"/>
                <w:dstrike w:val="0"/>
                <w:color w:val="auto"/>
                <w:szCs w:val="21"/>
                <w:highlight w:val="none"/>
              </w:rPr>
              <w:t>达标</w:t>
            </w:r>
          </w:p>
        </w:tc>
      </w:tr>
    </w:tbl>
    <w:p w14:paraId="2168F79B">
      <w:pPr>
        <w:spacing w:line="500" w:lineRule="exact"/>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（2）结论</w:t>
      </w:r>
    </w:p>
    <w:p w14:paraId="15FF884F">
      <w:pPr>
        <w:spacing w:line="500" w:lineRule="exact"/>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根据预测结果，项目</w:t>
      </w:r>
      <w:r>
        <w:rPr>
          <w:rFonts w:hint="eastAsia" w:ascii="Times New Roman" w:hAnsi="Times New Roman" w:eastAsia="宋体"/>
          <w:strike w:val="0"/>
          <w:dstrike w:val="0"/>
          <w:color w:val="auto"/>
          <w:highlight w:val="none"/>
        </w:rPr>
        <w:t>厂界</w:t>
      </w:r>
      <w:r>
        <w:rPr>
          <w:rFonts w:ascii="Times New Roman" w:hAnsi="Times New Roman" w:eastAsia="宋体"/>
          <w:strike w:val="0"/>
          <w:dstrike w:val="0"/>
          <w:color w:val="auto"/>
          <w:highlight w:val="none"/>
        </w:rPr>
        <w:t>环境噪声能够满足</w:t>
      </w:r>
      <w:r>
        <w:rPr>
          <w:rFonts w:hint="eastAsia" w:ascii="Times New Roman" w:hAnsi="Times New Roman" w:eastAsia="宋体"/>
          <w:strike w:val="0"/>
          <w:dstrike w:val="0"/>
          <w:color w:val="auto"/>
          <w:highlight w:val="none"/>
        </w:rPr>
        <w:t>《工业企业厂界环境噪声排放标准》（GB12348-2008）表1中的</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类声环境功能区标准限值</w:t>
      </w:r>
      <w:r>
        <w:rPr>
          <w:rFonts w:ascii="Times New Roman" w:hAnsi="Times New Roman" w:eastAsia="宋体"/>
          <w:strike w:val="0"/>
          <w:dstrike w:val="0"/>
          <w:color w:val="auto"/>
          <w:highlight w:val="none"/>
        </w:rPr>
        <w:t>要求</w:t>
      </w:r>
      <w:r>
        <w:rPr>
          <w:rFonts w:hint="eastAsia" w:ascii="Times New Roman" w:hAnsi="Times New Roman" w:eastAsia="宋体"/>
          <w:strike w:val="0"/>
          <w:dstrike w:val="0"/>
          <w:color w:val="auto"/>
          <w:highlight w:val="none"/>
          <w:lang w:eastAsia="zh-CN"/>
        </w:rPr>
        <w:t>。</w:t>
      </w:r>
    </w:p>
    <w:p w14:paraId="0F82E711">
      <w:pPr>
        <w:pStyle w:val="4"/>
        <w:rPr>
          <w:rFonts w:ascii="Times New Roman" w:hAnsi="Times New Roman" w:eastAsia="宋体"/>
          <w:strike w:val="0"/>
          <w:dstrike w:val="0"/>
          <w:color w:val="auto"/>
          <w:highlight w:val="none"/>
        </w:rPr>
      </w:pPr>
      <w:bookmarkStart w:id="256" w:name="_Toc106663503"/>
      <w:bookmarkStart w:id="257" w:name="_Toc29796"/>
      <w:r>
        <w:rPr>
          <w:rFonts w:hint="eastAsia" w:ascii="Times New Roman" w:hAnsi="Times New Roman" w:eastAsia="宋体"/>
          <w:strike w:val="0"/>
          <w:dstrike w:val="0"/>
          <w:color w:val="auto"/>
          <w:highlight w:val="none"/>
        </w:rPr>
        <w:t>5.2.4固体废弃物影响分析</w:t>
      </w:r>
      <w:bookmarkEnd w:id="256"/>
      <w:bookmarkEnd w:id="257"/>
    </w:p>
    <w:p w14:paraId="3128FD12">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kern w:val="0"/>
          <w:sz w:val="24"/>
          <w:szCs w:val="24"/>
          <w:highlight w:val="none"/>
        </w:rPr>
        <w:t>本项目产生的固体废物主要为</w:t>
      </w:r>
      <w:r>
        <w:rPr>
          <w:rFonts w:hint="eastAsia" w:ascii="Times New Roman" w:hAnsi="Times New Roman" w:eastAsia="宋体" w:cs="宋体"/>
          <w:strike w:val="0"/>
          <w:dstrike w:val="0"/>
          <w:color w:val="auto"/>
          <w:spacing w:val="0"/>
          <w:kern w:val="0"/>
          <w:sz w:val="24"/>
          <w:szCs w:val="24"/>
          <w:highlight w:val="none"/>
          <w:lang w:eastAsia="zh-CN"/>
        </w:rPr>
        <w:t>骆驼粪便</w:t>
      </w:r>
      <w:r>
        <w:rPr>
          <w:rFonts w:ascii="Times New Roman" w:hAnsi="Times New Roman" w:eastAsia="宋体" w:cs="宋体"/>
          <w:strike w:val="0"/>
          <w:dstrike w:val="0"/>
          <w:color w:val="auto"/>
          <w:spacing w:val="0"/>
          <w:kern w:val="0"/>
          <w:sz w:val="24"/>
          <w:szCs w:val="24"/>
          <w:highlight w:val="none"/>
        </w:rPr>
        <w:t>、病死</w:t>
      </w:r>
      <w:r>
        <w:rPr>
          <w:rFonts w:hint="eastAsia" w:ascii="Times New Roman" w:hAnsi="Times New Roman" w:eastAsia="宋体" w:cs="宋体"/>
          <w:strike w:val="0"/>
          <w:dstrike w:val="0"/>
          <w:color w:val="auto"/>
          <w:spacing w:val="0"/>
          <w:kern w:val="0"/>
          <w:sz w:val="24"/>
          <w:szCs w:val="24"/>
          <w:highlight w:val="none"/>
          <w:lang w:eastAsia="zh-CN"/>
        </w:rPr>
        <w:t>骆驼</w:t>
      </w:r>
      <w:r>
        <w:rPr>
          <w:rFonts w:ascii="Times New Roman" w:hAnsi="Times New Roman" w:eastAsia="宋体" w:cs="宋体"/>
          <w:strike w:val="0"/>
          <w:dstrike w:val="0"/>
          <w:color w:val="auto"/>
          <w:spacing w:val="0"/>
          <w:kern w:val="0"/>
          <w:sz w:val="24"/>
          <w:szCs w:val="24"/>
          <w:highlight w:val="none"/>
        </w:rPr>
        <w:t>、</w:t>
      </w:r>
      <w:r>
        <w:rPr>
          <w:rFonts w:hint="eastAsia" w:ascii="Times New Roman" w:hAnsi="Times New Roman" w:eastAsia="宋体" w:cs="宋体"/>
          <w:strike w:val="0"/>
          <w:dstrike w:val="0"/>
          <w:color w:val="auto"/>
          <w:spacing w:val="0"/>
          <w:kern w:val="0"/>
          <w:sz w:val="24"/>
          <w:szCs w:val="24"/>
          <w:highlight w:val="none"/>
          <w:lang w:val="en-US" w:eastAsia="zh-CN"/>
        </w:rPr>
        <w:t>分娩废弃物（胎衣、死胎、胎盘附属物）、</w:t>
      </w:r>
      <w:r>
        <w:rPr>
          <w:rFonts w:hint="eastAsia" w:ascii="Times New Roman" w:hAnsi="Times New Roman" w:eastAsia="宋体" w:cs="宋体"/>
          <w:strike w:val="0"/>
          <w:dstrike w:val="0"/>
          <w:color w:val="auto"/>
          <w:spacing w:val="0"/>
          <w:kern w:val="0"/>
          <w:sz w:val="24"/>
          <w:szCs w:val="24"/>
          <w:highlight w:val="none"/>
          <w:lang w:eastAsia="zh-CN"/>
        </w:rPr>
        <w:t>挤奶大厅废弃的一次性挤奶耗材、塑料奶管、</w:t>
      </w:r>
      <w:r>
        <w:rPr>
          <w:rFonts w:ascii="Times New Roman" w:hAnsi="Times New Roman" w:eastAsia="宋体" w:cs="宋体"/>
          <w:strike w:val="0"/>
          <w:dstrike w:val="0"/>
          <w:color w:val="auto"/>
          <w:spacing w:val="0"/>
          <w:kern w:val="0"/>
          <w:sz w:val="24"/>
          <w:szCs w:val="24"/>
          <w:highlight w:val="none"/>
        </w:rPr>
        <w:t>废弃包装物、生活垃圾、医疗废物</w:t>
      </w: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val="en-US" w:eastAsia="zh-CN"/>
        </w:rPr>
        <w:t>黑膜池污泥</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各类固体废物如果收集、贮放等处理不当，会造成土壤、地下水等污染，从而形成二次污染问题</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因此，必须对固体废物做到妥善的管理和处置</w:t>
      </w:r>
      <w:r>
        <w:rPr>
          <w:rFonts w:hint="eastAsia" w:ascii="Times New Roman" w:hAnsi="Times New Roman" w:eastAsia="宋体" w:cs="宋体"/>
          <w:strike w:val="0"/>
          <w:dstrike w:val="0"/>
          <w:color w:val="auto"/>
          <w:spacing w:val="0"/>
          <w:kern w:val="0"/>
          <w:sz w:val="24"/>
          <w:szCs w:val="24"/>
          <w:highlight w:val="none"/>
          <w:lang w:eastAsia="zh-CN"/>
        </w:rPr>
        <w:t>。</w:t>
      </w:r>
    </w:p>
    <w:p w14:paraId="51B1636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Times New Roman"/>
          <w:strike w:val="0"/>
          <w:dstrike w:val="0"/>
          <w:color w:val="auto"/>
          <w:spacing w:val="0"/>
          <w:kern w:val="0"/>
          <w:sz w:val="24"/>
          <w:szCs w:val="24"/>
          <w:highlight w:val="none"/>
        </w:rPr>
        <w:t>1</w:t>
      </w:r>
      <w:r>
        <w:rPr>
          <w:rFonts w:hint="eastAsia" w:ascii="Times New Roman" w:hAnsi="Times New Roman" w:eastAsia="宋体" w:cs="宋体"/>
          <w:strike w:val="0"/>
          <w:dstrike w:val="0"/>
          <w:color w:val="auto"/>
          <w:spacing w:val="0"/>
          <w:kern w:val="0"/>
          <w:sz w:val="24"/>
          <w:szCs w:val="24"/>
          <w:highlight w:val="none"/>
          <w:lang w:eastAsia="zh-CN"/>
        </w:rPr>
        <w:t>）骆驼粪便</w:t>
      </w:r>
    </w:p>
    <w:p w14:paraId="11524B49">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hint="default"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kern w:val="0"/>
          <w:sz w:val="24"/>
          <w:szCs w:val="24"/>
          <w:highlight w:val="none"/>
          <w:lang w:eastAsia="zh-CN"/>
        </w:rPr>
        <w:t>骆驼</w:t>
      </w:r>
      <w:r>
        <w:rPr>
          <w:rFonts w:hint="eastAsia" w:ascii="Times New Roman" w:hAnsi="Times New Roman" w:eastAsia="宋体" w:cs="宋体"/>
          <w:strike w:val="0"/>
          <w:dstrike w:val="0"/>
          <w:color w:val="auto"/>
          <w:spacing w:val="0"/>
          <w:kern w:val="0"/>
          <w:sz w:val="24"/>
          <w:szCs w:val="24"/>
          <w:highlight w:val="none"/>
          <w:lang w:val="en-US" w:eastAsia="zh-CN"/>
        </w:rPr>
        <w:t>粪便定期清运至堆肥场，经过处理后作为有机肥外售。</w:t>
      </w:r>
    </w:p>
    <w:p w14:paraId="57B24AD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Times New Roman"/>
          <w:strike w:val="0"/>
          <w:dstrike w:val="0"/>
          <w:color w:val="auto"/>
          <w:spacing w:val="0"/>
          <w:kern w:val="0"/>
          <w:sz w:val="24"/>
          <w:szCs w:val="24"/>
          <w:highlight w:val="none"/>
        </w:rPr>
        <w:t>2</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病死</w:t>
      </w:r>
      <w:r>
        <w:rPr>
          <w:rFonts w:hint="eastAsia" w:ascii="Times New Roman" w:hAnsi="Times New Roman" w:eastAsia="宋体" w:cs="宋体"/>
          <w:strike w:val="0"/>
          <w:dstrike w:val="0"/>
          <w:color w:val="auto"/>
          <w:spacing w:val="0"/>
          <w:kern w:val="0"/>
          <w:sz w:val="24"/>
          <w:szCs w:val="24"/>
          <w:highlight w:val="none"/>
          <w:lang w:eastAsia="zh-CN"/>
        </w:rPr>
        <w:t>骆驼、</w:t>
      </w:r>
      <w:r>
        <w:rPr>
          <w:rFonts w:hint="eastAsia" w:ascii="Times New Roman" w:hAnsi="Times New Roman" w:eastAsia="宋体" w:cs="宋体"/>
          <w:strike w:val="0"/>
          <w:dstrike w:val="0"/>
          <w:color w:val="auto"/>
          <w:spacing w:val="0"/>
          <w:kern w:val="0"/>
          <w:sz w:val="24"/>
          <w:szCs w:val="24"/>
          <w:highlight w:val="none"/>
          <w:lang w:val="en-US" w:eastAsia="zh-CN"/>
        </w:rPr>
        <w:t>分娩废弃物（胎衣、死胎、胎盘附属物）</w:t>
      </w:r>
    </w:p>
    <w:p w14:paraId="7C3002D0">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kern w:val="0"/>
          <w:sz w:val="24"/>
          <w:szCs w:val="24"/>
          <w:highlight w:val="none"/>
        </w:rPr>
        <w:t>根据环办函</w:t>
      </w:r>
      <w:r>
        <w:rPr>
          <w:rFonts w:hint="eastAsia" w:ascii="Times New Roman" w:hAnsi="Times New Roman" w:eastAsia="宋体" w:cs="宋体"/>
          <w:strike w:val="0"/>
          <w:dstrike w:val="0"/>
          <w:color w:val="auto"/>
          <w:spacing w:val="0"/>
          <w:kern w:val="0"/>
          <w:sz w:val="24"/>
          <w:szCs w:val="24"/>
          <w:highlight w:val="none"/>
          <w:lang w:eastAsia="zh-CN"/>
        </w:rPr>
        <w:t>〔2014〕789号</w:t>
      </w:r>
      <w:r>
        <w:rPr>
          <w:rFonts w:ascii="Times New Roman" w:hAnsi="Times New Roman" w:eastAsia="宋体" w:cs="宋体"/>
          <w:strike w:val="0"/>
          <w:dstrike w:val="0"/>
          <w:color w:val="auto"/>
          <w:spacing w:val="0"/>
          <w:kern w:val="0"/>
          <w:sz w:val="24"/>
          <w:szCs w:val="24"/>
          <w:highlight w:val="none"/>
        </w:rPr>
        <w:t>文《关于病害动物无害化处理有关意见的复函》：</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病害动物无害化处理项目由农业部门按照有关法律法规和技术规范进行监管，可以实现病害动物无害化处理和环境污染防控的目的，不宜再认定为危险废物集中处置项目</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病害动物的无害化处理应执行《中华人民共和国动物防疫法》</w:t>
      </w:r>
      <w:r>
        <w:rPr>
          <w:rFonts w:hint="eastAsia" w:ascii="Times New Roman" w:hAnsi="Times New Roman" w:eastAsia="宋体" w:cs="Times New Roman"/>
          <w:strike w:val="0"/>
          <w:dstrike w:val="0"/>
          <w:color w:val="auto"/>
          <w:spacing w:val="0"/>
          <w:kern w:val="0"/>
          <w:sz w:val="24"/>
          <w:szCs w:val="24"/>
          <w:highlight w:val="none"/>
          <w:lang w:eastAsia="zh-CN"/>
        </w:rPr>
        <w:t>”</w:t>
      </w:r>
      <w:r>
        <w:rPr>
          <w:rFonts w:hint="eastAsia" w:ascii="Times New Roman" w:hAnsi="Times New Roman" w:eastAsia="宋体" w:cs="宋体"/>
          <w:strike w:val="0"/>
          <w:dstrike w:val="0"/>
          <w:color w:val="auto"/>
          <w:spacing w:val="0"/>
          <w:kern w:val="0"/>
          <w:sz w:val="24"/>
          <w:szCs w:val="24"/>
          <w:highlight w:val="none"/>
          <w:lang w:eastAsia="zh-CN"/>
        </w:rPr>
        <w:t>。</w:t>
      </w:r>
    </w:p>
    <w:p w14:paraId="5E74EBD0">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default" w:ascii="Times New Roman" w:hAnsi="Times New Roman" w:eastAsia="宋体"/>
          <w:color w:val="auto"/>
          <w:highlight w:val="none"/>
          <w:lang w:val="en-US" w:eastAsia="zh-CN"/>
        </w:rPr>
      </w:pPr>
      <w:r>
        <w:rPr>
          <w:rFonts w:ascii="Times New Roman" w:hAnsi="Times New Roman" w:eastAsia="宋体" w:cs="宋体"/>
          <w:strike w:val="0"/>
          <w:dstrike w:val="0"/>
          <w:color w:val="auto"/>
          <w:spacing w:val="0"/>
          <w:kern w:val="0"/>
          <w:sz w:val="24"/>
          <w:szCs w:val="24"/>
          <w:highlight w:val="none"/>
        </w:rPr>
        <w:t>根据《畜禽养殖业污染防治技术规范》</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Times New Roman"/>
          <w:strike w:val="0"/>
          <w:dstrike w:val="0"/>
          <w:color w:val="auto"/>
          <w:spacing w:val="0"/>
          <w:kern w:val="0"/>
          <w:sz w:val="24"/>
          <w:szCs w:val="24"/>
          <w:highlight w:val="none"/>
        </w:rPr>
        <w:t>HJ/T81-2001</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和《病死及病害动物无害化处理技术规范》</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农医发</w:t>
      </w:r>
      <w:r>
        <w:rPr>
          <w:rFonts w:hint="eastAsia" w:ascii="Times New Roman" w:hAnsi="Times New Roman" w:eastAsia="宋体" w:cs="宋体"/>
          <w:strike w:val="0"/>
          <w:dstrike w:val="0"/>
          <w:color w:val="auto"/>
          <w:spacing w:val="0"/>
          <w:kern w:val="0"/>
          <w:sz w:val="24"/>
          <w:szCs w:val="24"/>
          <w:highlight w:val="none"/>
          <w:lang w:eastAsia="zh-CN"/>
        </w:rPr>
        <w:t>〔2017〕25号）</w:t>
      </w:r>
      <w:r>
        <w:rPr>
          <w:rFonts w:ascii="Times New Roman" w:hAnsi="Times New Roman" w:eastAsia="宋体" w:cs="宋体"/>
          <w:strike w:val="0"/>
          <w:dstrike w:val="0"/>
          <w:color w:val="auto"/>
          <w:spacing w:val="0"/>
          <w:kern w:val="0"/>
          <w:sz w:val="24"/>
          <w:szCs w:val="24"/>
          <w:highlight w:val="none"/>
        </w:rPr>
        <w:t>中无害化处置要求，</w:t>
      </w:r>
      <w:r>
        <w:rPr>
          <w:rFonts w:hint="eastAsia" w:ascii="Times New Roman" w:hAnsi="Times New Roman" w:eastAsia="宋体" w:cs="宋体"/>
          <w:strike w:val="0"/>
          <w:dstrike w:val="0"/>
          <w:color w:val="auto"/>
          <w:spacing w:val="0"/>
          <w:kern w:val="0"/>
          <w:sz w:val="24"/>
          <w:szCs w:val="24"/>
          <w:highlight w:val="none"/>
        </w:rPr>
        <w:t>本环评要求病死骆驼按照要求委托有资质的第三方处置</w:t>
      </w:r>
      <w:r>
        <w:rPr>
          <w:rFonts w:hint="eastAsia" w:ascii="Times New Roman" w:hAnsi="Times New Roman" w:eastAsia="宋体" w:cs="宋体"/>
          <w:strike w:val="0"/>
          <w:dstrike w:val="0"/>
          <w:color w:val="auto"/>
          <w:spacing w:val="0"/>
          <w:kern w:val="0"/>
          <w:sz w:val="24"/>
          <w:szCs w:val="24"/>
          <w:highlight w:val="none"/>
          <w:lang w:val="en-US" w:eastAsia="zh-CN"/>
        </w:rPr>
        <w:t>。</w:t>
      </w:r>
    </w:p>
    <w:p w14:paraId="4533971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Times New Roman"/>
          <w:strike w:val="0"/>
          <w:dstrike w:val="0"/>
          <w:color w:val="auto"/>
          <w:spacing w:val="0"/>
          <w:kern w:val="0"/>
          <w:sz w:val="24"/>
          <w:szCs w:val="24"/>
          <w:highlight w:val="none"/>
          <w:lang w:val="en-US" w:eastAsia="zh-CN"/>
        </w:rPr>
        <w:t>3</w:t>
      </w:r>
      <w:r>
        <w:rPr>
          <w:rFonts w:hint="eastAsia" w:ascii="Times New Roman" w:hAnsi="Times New Roman" w:eastAsia="宋体" w:cs="宋体"/>
          <w:strike w:val="0"/>
          <w:dstrike w:val="0"/>
          <w:color w:val="auto"/>
          <w:spacing w:val="0"/>
          <w:kern w:val="0"/>
          <w:sz w:val="24"/>
          <w:szCs w:val="24"/>
          <w:highlight w:val="none"/>
          <w:lang w:eastAsia="zh-CN"/>
        </w:rPr>
        <w:t>）挤奶大厅废弃的一次性挤奶耗材、塑料奶管、</w:t>
      </w:r>
      <w:r>
        <w:rPr>
          <w:rFonts w:ascii="Times New Roman" w:hAnsi="Times New Roman" w:eastAsia="宋体" w:cs="宋体"/>
          <w:strike w:val="0"/>
          <w:dstrike w:val="0"/>
          <w:color w:val="auto"/>
          <w:spacing w:val="0"/>
          <w:kern w:val="0"/>
          <w:sz w:val="24"/>
          <w:szCs w:val="24"/>
          <w:highlight w:val="none"/>
        </w:rPr>
        <w:t>废弃包装物</w:t>
      </w:r>
    </w:p>
    <w:p w14:paraId="0D75BE2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hint="eastAsia" w:ascii="Times New Roman" w:hAnsi="Times New Roman" w:eastAsia="宋体" w:cs="宋体"/>
          <w:strike w:val="0"/>
          <w:dstrike w:val="0"/>
          <w:color w:val="auto"/>
          <w:spacing w:val="0"/>
          <w:kern w:val="0"/>
          <w:sz w:val="24"/>
          <w:szCs w:val="24"/>
          <w:highlight w:val="none"/>
          <w:lang w:val="en-US" w:eastAsia="zh-CN"/>
        </w:rPr>
        <w:t>本项目挤奶过程中会产生</w:t>
      </w:r>
      <w:r>
        <w:rPr>
          <w:rFonts w:hint="eastAsia" w:ascii="Times New Roman" w:hAnsi="Times New Roman" w:eastAsia="宋体" w:cs="宋体"/>
          <w:strike w:val="0"/>
          <w:dstrike w:val="0"/>
          <w:color w:val="auto"/>
          <w:spacing w:val="0"/>
          <w:kern w:val="0"/>
          <w:sz w:val="24"/>
          <w:szCs w:val="24"/>
          <w:highlight w:val="none"/>
          <w:lang w:eastAsia="zh-CN"/>
        </w:rPr>
        <w:t>一次性挤奶耗材、塑料奶管，</w:t>
      </w:r>
      <w:r>
        <w:rPr>
          <w:rFonts w:ascii="Times New Roman" w:hAnsi="Times New Roman" w:eastAsia="宋体" w:cs="宋体"/>
          <w:strike w:val="0"/>
          <w:dstrike w:val="0"/>
          <w:color w:val="auto"/>
          <w:spacing w:val="0"/>
          <w:kern w:val="0"/>
          <w:sz w:val="24"/>
          <w:szCs w:val="24"/>
          <w:highlight w:val="none"/>
        </w:rPr>
        <w:t>外购饲料会产生废包装袋，集中收集后进行外售</w:t>
      </w:r>
      <w:r>
        <w:rPr>
          <w:rFonts w:hint="eastAsia" w:ascii="Times New Roman" w:hAnsi="Times New Roman" w:eastAsia="宋体" w:cs="宋体"/>
          <w:strike w:val="0"/>
          <w:dstrike w:val="0"/>
          <w:color w:val="auto"/>
          <w:spacing w:val="0"/>
          <w:kern w:val="0"/>
          <w:sz w:val="24"/>
          <w:szCs w:val="24"/>
          <w:highlight w:val="none"/>
          <w:lang w:eastAsia="zh-CN"/>
        </w:rPr>
        <w:t>。</w:t>
      </w:r>
    </w:p>
    <w:p w14:paraId="294C361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Times New Roman"/>
          <w:strike w:val="0"/>
          <w:dstrike w:val="0"/>
          <w:color w:val="auto"/>
          <w:spacing w:val="0"/>
          <w:kern w:val="0"/>
          <w:sz w:val="24"/>
          <w:szCs w:val="24"/>
          <w:highlight w:val="none"/>
          <w:lang w:val="en-US" w:eastAsia="zh-CN"/>
        </w:rPr>
        <w:t>4</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生活垃圾</w:t>
      </w:r>
    </w:p>
    <w:p w14:paraId="0A6F1885">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sz w:val="24"/>
          <w:szCs w:val="24"/>
          <w:highlight w:val="none"/>
        </w:rPr>
        <w:t>本项目职工人数为</w:t>
      </w:r>
      <w:r>
        <w:rPr>
          <w:rFonts w:hint="eastAsia" w:ascii="Times New Roman" w:hAnsi="Times New Roman" w:eastAsia="宋体" w:cs="Times New Roman"/>
          <w:strike w:val="0"/>
          <w:dstrike w:val="0"/>
          <w:color w:val="auto"/>
          <w:spacing w:val="0"/>
          <w:sz w:val="24"/>
          <w:szCs w:val="24"/>
          <w:highlight w:val="none"/>
          <w:lang w:val="en-US" w:eastAsia="zh-CN"/>
        </w:rPr>
        <w:t>50</w:t>
      </w:r>
      <w:r>
        <w:rPr>
          <w:rFonts w:ascii="Times New Roman" w:hAnsi="Times New Roman" w:eastAsia="宋体" w:cs="宋体"/>
          <w:strike w:val="0"/>
          <w:dstrike w:val="0"/>
          <w:color w:val="auto"/>
          <w:spacing w:val="0"/>
          <w:sz w:val="24"/>
          <w:szCs w:val="24"/>
          <w:highlight w:val="none"/>
        </w:rPr>
        <w:t>人，年工作</w:t>
      </w:r>
      <w:r>
        <w:rPr>
          <w:rFonts w:ascii="Times New Roman" w:hAnsi="Times New Roman" w:eastAsia="宋体" w:cs="Times New Roman"/>
          <w:strike w:val="0"/>
          <w:dstrike w:val="0"/>
          <w:color w:val="auto"/>
          <w:spacing w:val="0"/>
          <w:sz w:val="24"/>
          <w:szCs w:val="24"/>
          <w:highlight w:val="none"/>
        </w:rPr>
        <w:t>365</w:t>
      </w:r>
      <w:r>
        <w:rPr>
          <w:rFonts w:ascii="Times New Roman" w:hAnsi="Times New Roman" w:eastAsia="宋体" w:cs="宋体"/>
          <w:strike w:val="0"/>
          <w:dstrike w:val="0"/>
          <w:color w:val="auto"/>
          <w:spacing w:val="0"/>
          <w:sz w:val="24"/>
          <w:szCs w:val="24"/>
          <w:highlight w:val="none"/>
        </w:rPr>
        <w:t>天，生活垃圾按</w:t>
      </w:r>
      <w:r>
        <w:rPr>
          <w:rFonts w:ascii="Times New Roman" w:hAnsi="Times New Roman" w:eastAsia="宋体" w:cs="Times New Roman"/>
          <w:strike w:val="0"/>
          <w:dstrike w:val="0"/>
          <w:color w:val="auto"/>
          <w:spacing w:val="0"/>
          <w:sz w:val="24"/>
          <w:szCs w:val="24"/>
          <w:highlight w:val="none"/>
        </w:rPr>
        <w:t>0.5kg/</w:t>
      </w:r>
      <w:r>
        <w:rPr>
          <w:rFonts w:ascii="Times New Roman" w:hAnsi="Times New Roman" w:eastAsia="宋体" w:cs="宋体"/>
          <w:strike w:val="0"/>
          <w:dstrike w:val="0"/>
          <w:color w:val="auto"/>
          <w:spacing w:val="0"/>
          <w:sz w:val="24"/>
          <w:szCs w:val="24"/>
          <w:highlight w:val="none"/>
        </w:rPr>
        <w:t>人</w:t>
      </w:r>
      <w:r>
        <w:rPr>
          <w:rFonts w:ascii="Times New Roman" w:hAnsi="Times New Roman" w:eastAsia="宋体" w:cs="Times New Roman"/>
          <w:strike w:val="0"/>
          <w:dstrike w:val="0"/>
          <w:color w:val="auto"/>
          <w:spacing w:val="0"/>
          <w:sz w:val="24"/>
          <w:szCs w:val="24"/>
          <w:highlight w:val="none"/>
        </w:rPr>
        <w:t>·d</w:t>
      </w:r>
      <w:r>
        <w:rPr>
          <w:rFonts w:ascii="Times New Roman" w:hAnsi="Times New Roman" w:eastAsia="宋体" w:cs="宋体"/>
          <w:strike w:val="0"/>
          <w:dstrike w:val="0"/>
          <w:color w:val="auto"/>
          <w:spacing w:val="0"/>
          <w:sz w:val="24"/>
          <w:szCs w:val="24"/>
          <w:highlight w:val="none"/>
        </w:rPr>
        <w:t>计，生活垃圾产生量为</w:t>
      </w:r>
      <w:r>
        <w:rPr>
          <w:rFonts w:hint="eastAsia" w:ascii="Times New Roman" w:hAnsi="Times New Roman" w:eastAsia="宋体" w:cs="Times New Roman"/>
          <w:strike w:val="0"/>
          <w:dstrike w:val="0"/>
          <w:color w:val="auto"/>
          <w:spacing w:val="0"/>
          <w:sz w:val="24"/>
          <w:szCs w:val="24"/>
          <w:highlight w:val="none"/>
          <w:lang w:val="en-US" w:eastAsia="zh-CN"/>
        </w:rPr>
        <w:t>25</w:t>
      </w:r>
      <w:r>
        <w:rPr>
          <w:rFonts w:ascii="Times New Roman" w:hAnsi="Times New Roman" w:eastAsia="宋体" w:cs="Times New Roman"/>
          <w:strike w:val="0"/>
          <w:dstrike w:val="0"/>
          <w:color w:val="auto"/>
          <w:spacing w:val="0"/>
          <w:sz w:val="24"/>
          <w:szCs w:val="24"/>
          <w:highlight w:val="none"/>
        </w:rPr>
        <w:t>kg/d</w:t>
      </w:r>
      <w:r>
        <w:rPr>
          <w:rFonts w:ascii="Times New Roman" w:hAnsi="Times New Roman" w:eastAsia="宋体" w:cs="宋体"/>
          <w:strike w:val="0"/>
          <w:dstrike w:val="0"/>
          <w:color w:val="auto"/>
          <w:spacing w:val="0"/>
          <w:sz w:val="24"/>
          <w:szCs w:val="24"/>
          <w:highlight w:val="none"/>
        </w:rPr>
        <w:t>，即</w:t>
      </w:r>
      <w:r>
        <w:rPr>
          <w:rFonts w:hint="eastAsia" w:ascii="Times New Roman" w:hAnsi="Times New Roman" w:eastAsia="宋体" w:cs="Times New Roman"/>
          <w:strike w:val="0"/>
          <w:dstrike w:val="0"/>
          <w:color w:val="auto"/>
          <w:spacing w:val="0"/>
          <w:sz w:val="24"/>
          <w:szCs w:val="24"/>
          <w:highlight w:val="none"/>
          <w:lang w:val="en-US" w:eastAsia="zh-CN"/>
        </w:rPr>
        <w:t>9.125</w:t>
      </w:r>
      <w:r>
        <w:rPr>
          <w:rFonts w:ascii="Times New Roman" w:hAnsi="Times New Roman" w:eastAsia="宋体" w:cs="Times New Roman"/>
          <w:strike w:val="0"/>
          <w:dstrike w:val="0"/>
          <w:color w:val="auto"/>
          <w:spacing w:val="0"/>
          <w:sz w:val="24"/>
          <w:szCs w:val="24"/>
          <w:highlight w:val="none"/>
        </w:rPr>
        <w:t>t/a</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生活垃圾集中收集由当地环卫部门处置</w:t>
      </w:r>
      <w:r>
        <w:rPr>
          <w:rFonts w:hint="eastAsia" w:ascii="Times New Roman" w:hAnsi="Times New Roman" w:eastAsia="宋体" w:cs="宋体"/>
          <w:strike w:val="0"/>
          <w:dstrike w:val="0"/>
          <w:color w:val="auto"/>
          <w:spacing w:val="0"/>
          <w:kern w:val="0"/>
          <w:sz w:val="24"/>
          <w:szCs w:val="24"/>
          <w:highlight w:val="none"/>
          <w:lang w:eastAsia="zh-CN"/>
        </w:rPr>
        <w:t>。</w:t>
      </w:r>
    </w:p>
    <w:p w14:paraId="12DBC7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Times New Roman" w:hAnsi="Times New Roman" w:eastAsia="宋体" w:cs="宋体"/>
          <w:strike w:val="0"/>
          <w:dstrike w:val="0"/>
          <w:color w:val="auto"/>
          <w:spacing w:val="0"/>
          <w:kern w:val="0"/>
          <w:sz w:val="24"/>
          <w:szCs w:val="24"/>
          <w:highlight w:val="none"/>
          <w:lang w:val="en-US" w:eastAsia="zh-CN"/>
        </w:rPr>
      </w:pPr>
      <w:r>
        <w:rPr>
          <w:rFonts w:hint="eastAsia" w:ascii="Times New Roman" w:hAnsi="Times New Roman" w:eastAsia="宋体" w:cs="宋体"/>
          <w:strike w:val="0"/>
          <w:dstrike w:val="0"/>
          <w:color w:val="auto"/>
          <w:spacing w:val="0"/>
          <w:kern w:val="0"/>
          <w:sz w:val="24"/>
          <w:szCs w:val="24"/>
          <w:highlight w:val="none"/>
          <w:lang w:val="en-US" w:eastAsia="zh-CN" w:bidi="ar-SA"/>
        </w:rPr>
        <w:t>（5）</w:t>
      </w:r>
      <w:r>
        <w:rPr>
          <w:rFonts w:hint="eastAsia" w:ascii="Times New Roman" w:hAnsi="Times New Roman" w:eastAsia="宋体" w:cs="宋体"/>
          <w:strike w:val="0"/>
          <w:dstrike w:val="0"/>
          <w:color w:val="auto"/>
          <w:spacing w:val="0"/>
          <w:kern w:val="0"/>
          <w:sz w:val="24"/>
          <w:szCs w:val="24"/>
          <w:highlight w:val="none"/>
          <w:lang w:val="en-US" w:eastAsia="zh-CN"/>
        </w:rPr>
        <w:t>黑膜池污泥</w:t>
      </w:r>
    </w:p>
    <w:p w14:paraId="6D9C3431">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olor w:val="auto"/>
          <w:sz w:val="24"/>
          <w:highlight w:val="none"/>
        </w:rPr>
      </w:pPr>
      <w:r>
        <w:rPr>
          <w:rFonts w:hint="eastAsia" w:ascii="Times New Roman" w:hAnsi="Times New Roman" w:eastAsia="宋体" w:cs="宋体"/>
          <w:color w:val="auto"/>
          <w:kern w:val="0"/>
          <w:sz w:val="24"/>
          <w:highlight w:val="none"/>
          <w:lang w:val="en-US" w:eastAsia="zh-CN" w:bidi="ar"/>
        </w:rPr>
        <w:t>本</w:t>
      </w:r>
      <w:r>
        <w:rPr>
          <w:rFonts w:hint="eastAsia" w:ascii="Times New Roman" w:hAnsi="Times New Roman" w:eastAsia="宋体" w:cs="宋体"/>
          <w:color w:val="auto"/>
          <w:kern w:val="0"/>
          <w:sz w:val="24"/>
          <w:highlight w:val="none"/>
          <w:lang w:bidi="ar"/>
        </w:rPr>
        <w:t>项目拟自建</w:t>
      </w:r>
      <w:r>
        <w:rPr>
          <w:rFonts w:hint="eastAsia" w:ascii="Times New Roman" w:hAnsi="Times New Roman" w:eastAsia="宋体"/>
          <w:color w:val="auto"/>
          <w:kern w:val="0"/>
          <w:sz w:val="24"/>
          <w:highlight w:val="none"/>
          <w:lang w:bidi="ar"/>
        </w:rPr>
        <w:t>1</w:t>
      </w:r>
      <w:r>
        <w:rPr>
          <w:rFonts w:hint="eastAsia" w:ascii="Times New Roman" w:hAnsi="Times New Roman" w:eastAsia="宋体" w:cs="宋体"/>
          <w:color w:val="auto"/>
          <w:kern w:val="0"/>
          <w:sz w:val="24"/>
          <w:highlight w:val="none"/>
          <w:lang w:bidi="ar"/>
        </w:rPr>
        <w:t>座黑膜池用于处理生产废水，正常工况下污水处理量为</w:t>
      </w:r>
      <w:r>
        <w:rPr>
          <w:rFonts w:hint="eastAsia" w:ascii="Times New Roman" w:hAnsi="Times New Roman" w:eastAsia="宋体"/>
          <w:color w:val="auto"/>
          <w:kern w:val="0"/>
          <w:sz w:val="24"/>
          <w:highlight w:val="none"/>
          <w:lang w:val="en-US" w:eastAsia="zh-CN" w:bidi="ar"/>
        </w:rPr>
        <w:t>2511.2</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bidi="ar"/>
        </w:rPr>
        <w:t>，污泥产生量按污水量的</w:t>
      </w:r>
      <w:r>
        <w:rPr>
          <w:rFonts w:ascii="Times New Roman" w:hAnsi="Times New Roman" w:eastAsia="宋体"/>
          <w:color w:val="auto"/>
          <w:kern w:val="0"/>
          <w:sz w:val="24"/>
          <w:highlight w:val="none"/>
          <w:lang w:bidi="ar"/>
        </w:rPr>
        <w:t>0.3‰</w:t>
      </w:r>
      <w:r>
        <w:rPr>
          <w:rFonts w:hint="eastAsia" w:ascii="Times New Roman" w:hAnsi="Times New Roman" w:eastAsia="宋体" w:cs="宋体"/>
          <w:color w:val="auto"/>
          <w:kern w:val="0"/>
          <w:sz w:val="24"/>
          <w:highlight w:val="none"/>
          <w:lang w:bidi="ar"/>
        </w:rPr>
        <w:t>核算（污水停留时间很长，大部分污泥已消化分解）</w:t>
      </w:r>
      <w:r>
        <w:rPr>
          <w:rFonts w:hint="eastAsia" w:ascii="Times New Roman" w:hAnsi="Times New Roman" w:eastAsia="宋体"/>
          <w:color w:val="auto"/>
          <w:kern w:val="0"/>
          <w:sz w:val="24"/>
          <w:highlight w:val="none"/>
          <w:lang w:eastAsia="zh-CN" w:bidi="ar"/>
        </w:rPr>
        <w:t>，污泥</w:t>
      </w:r>
      <w:r>
        <w:rPr>
          <w:rFonts w:hint="eastAsia" w:ascii="Times New Roman" w:hAnsi="Times New Roman" w:eastAsia="宋体"/>
          <w:color w:val="auto"/>
          <w:kern w:val="0"/>
          <w:sz w:val="24"/>
          <w:highlight w:val="none"/>
          <w:lang w:val="en-US" w:eastAsia="zh-CN" w:bidi="ar"/>
        </w:rPr>
        <w:t>产生量7.53</w:t>
      </w:r>
      <w:r>
        <w:rPr>
          <w:rFonts w:ascii="Times New Roman" w:hAnsi="Times New Roman" w:eastAsia="宋体"/>
          <w:color w:val="auto"/>
          <w:kern w:val="0"/>
          <w:sz w:val="24"/>
          <w:highlight w:val="none"/>
          <w:lang w:bidi="ar"/>
        </w:rPr>
        <w:t>m</w:t>
      </w:r>
      <w:r>
        <w:rPr>
          <w:rFonts w:ascii="Times New Roman" w:hAnsi="Times New Roman" w:eastAsia="宋体"/>
          <w:color w:val="auto"/>
          <w:kern w:val="0"/>
          <w:sz w:val="24"/>
          <w:szCs w:val="13"/>
          <w:highlight w:val="none"/>
          <w:vertAlign w:val="superscript"/>
          <w:lang w:bidi="ar"/>
        </w:rPr>
        <w:t>3</w:t>
      </w:r>
      <w:r>
        <w:rPr>
          <w:rFonts w:ascii="Times New Roman" w:hAnsi="Times New Roman" w:eastAsia="宋体"/>
          <w:color w:val="auto"/>
          <w:kern w:val="0"/>
          <w:sz w:val="24"/>
          <w:highlight w:val="none"/>
          <w:lang w:bidi="ar"/>
        </w:rPr>
        <w:t>/a</w:t>
      </w:r>
      <w:r>
        <w:rPr>
          <w:rFonts w:hint="eastAsia" w:ascii="Times New Roman" w:hAnsi="Times New Roman" w:eastAsia="宋体" w:cs="宋体"/>
          <w:color w:val="auto"/>
          <w:kern w:val="0"/>
          <w:sz w:val="24"/>
          <w:highlight w:val="none"/>
          <w:lang w:eastAsia="zh-CN" w:bidi="ar"/>
        </w:rPr>
        <w:t>，</w:t>
      </w:r>
      <w:r>
        <w:rPr>
          <w:rFonts w:hint="eastAsia" w:ascii="Times New Roman" w:hAnsi="Times New Roman" w:eastAsia="宋体" w:cs="宋体"/>
          <w:color w:val="auto"/>
          <w:kern w:val="0"/>
          <w:sz w:val="24"/>
          <w:highlight w:val="none"/>
          <w:lang w:val="en-US" w:eastAsia="zh-CN" w:bidi="ar"/>
        </w:rPr>
        <w:t>定期</w:t>
      </w:r>
      <w:r>
        <w:rPr>
          <w:rFonts w:hint="eastAsia" w:ascii="Times New Roman" w:hAnsi="Times New Roman" w:eastAsia="宋体" w:cs="宋体"/>
          <w:strike w:val="0"/>
          <w:dstrike w:val="0"/>
          <w:color w:val="auto"/>
          <w:spacing w:val="0"/>
          <w:kern w:val="0"/>
          <w:sz w:val="24"/>
          <w:szCs w:val="24"/>
          <w:highlight w:val="none"/>
          <w:lang w:val="en-US" w:eastAsia="zh-CN"/>
        </w:rPr>
        <w:t>运至堆肥场，经过处理后作为同骆驼粪便一同作为有机肥外售</w:t>
      </w:r>
      <w:r>
        <w:rPr>
          <w:rFonts w:hint="eastAsia" w:ascii="Times New Roman" w:hAnsi="Times New Roman" w:eastAsia="宋体" w:cs="宋体"/>
          <w:color w:val="auto"/>
          <w:kern w:val="0"/>
          <w:sz w:val="24"/>
          <w:highlight w:val="none"/>
          <w:lang w:bidi="ar"/>
        </w:rPr>
        <w:t>。</w:t>
      </w:r>
    </w:p>
    <w:p w14:paraId="2ED474A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hint="eastAsia" w:ascii="Times New Roman" w:hAnsi="Times New Roman" w:eastAsia="宋体" w:cs="宋体"/>
          <w:strike w:val="0"/>
          <w:dstrike w:val="0"/>
          <w:color w:val="auto"/>
          <w:spacing w:val="0"/>
          <w:kern w:val="0"/>
          <w:sz w:val="24"/>
          <w:szCs w:val="24"/>
          <w:highlight w:val="none"/>
          <w:lang w:eastAsia="zh-CN"/>
        </w:rPr>
        <w:t>（</w:t>
      </w:r>
      <w:r>
        <w:rPr>
          <w:rFonts w:hint="eastAsia" w:ascii="Times New Roman" w:hAnsi="Times New Roman" w:eastAsia="宋体" w:cs="Times New Roman"/>
          <w:strike w:val="0"/>
          <w:dstrike w:val="0"/>
          <w:color w:val="auto"/>
          <w:spacing w:val="0"/>
          <w:kern w:val="0"/>
          <w:sz w:val="24"/>
          <w:szCs w:val="24"/>
          <w:highlight w:val="none"/>
          <w:lang w:val="en-US" w:eastAsia="zh-CN"/>
        </w:rPr>
        <w:t>6</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医疗废物</w:t>
      </w:r>
    </w:p>
    <w:p w14:paraId="41C17F41">
      <w:pPr>
        <w:keepNext w:val="0"/>
        <w:keepLines w:val="0"/>
        <w:pageBreakBefore w:val="0"/>
        <w:widowControl w:val="0"/>
        <w:kinsoku/>
        <w:wordWrap/>
        <w:overflowPunct/>
        <w:topLinePunct w:val="0"/>
        <w:autoSpaceDE/>
        <w:autoSpaceDN/>
        <w:bidi w:val="0"/>
        <w:adjustRightInd/>
        <w:snapToGrid/>
        <w:spacing w:line="360" w:lineRule="auto"/>
        <w:ind w:left="0" w:right="0" w:firstLine="481"/>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宋体"/>
          <w:strike w:val="0"/>
          <w:dstrike w:val="0"/>
          <w:color w:val="auto"/>
          <w:spacing w:val="0"/>
          <w:kern w:val="0"/>
          <w:sz w:val="24"/>
          <w:szCs w:val="24"/>
          <w:highlight w:val="none"/>
        </w:rPr>
        <w:t>本项目对</w:t>
      </w:r>
      <w:r>
        <w:rPr>
          <w:rFonts w:hint="eastAsia" w:ascii="Times New Roman" w:hAnsi="Times New Roman" w:eastAsia="宋体" w:cs="宋体"/>
          <w:strike w:val="0"/>
          <w:dstrike w:val="0"/>
          <w:color w:val="auto"/>
          <w:spacing w:val="0"/>
          <w:kern w:val="0"/>
          <w:sz w:val="24"/>
          <w:szCs w:val="24"/>
          <w:highlight w:val="none"/>
          <w:lang w:eastAsia="zh-CN"/>
        </w:rPr>
        <w:t>骆驼</w:t>
      </w:r>
      <w:r>
        <w:rPr>
          <w:rFonts w:ascii="Times New Roman" w:hAnsi="Times New Roman" w:eastAsia="宋体" w:cs="宋体"/>
          <w:strike w:val="0"/>
          <w:dstrike w:val="0"/>
          <w:color w:val="auto"/>
          <w:spacing w:val="0"/>
          <w:kern w:val="0"/>
          <w:sz w:val="24"/>
          <w:szCs w:val="24"/>
          <w:highlight w:val="none"/>
        </w:rPr>
        <w:t>进行防疫、治疗过程中产生少量废弃药品、废针管等，产生量约为</w:t>
      </w:r>
      <w:r>
        <w:rPr>
          <w:rFonts w:ascii="Times New Roman" w:hAnsi="Times New Roman" w:eastAsia="宋体" w:cs="Times New Roman"/>
          <w:strike w:val="0"/>
          <w:dstrike w:val="0"/>
          <w:color w:val="auto"/>
          <w:spacing w:val="0"/>
          <w:kern w:val="0"/>
          <w:sz w:val="24"/>
          <w:szCs w:val="24"/>
          <w:highlight w:val="none"/>
        </w:rPr>
        <w:t>0.03t/a</w:t>
      </w:r>
      <w:r>
        <w:rPr>
          <w:rFonts w:ascii="Times New Roman" w:hAnsi="Times New Roman" w:eastAsia="宋体" w:cs="宋体"/>
          <w:strike w:val="0"/>
          <w:dstrike w:val="0"/>
          <w:color w:val="auto"/>
          <w:spacing w:val="0"/>
          <w:kern w:val="0"/>
          <w:sz w:val="24"/>
          <w:szCs w:val="24"/>
          <w:highlight w:val="none"/>
        </w:rPr>
        <w:t>，医疗废物属于</w:t>
      </w:r>
      <w:r>
        <w:rPr>
          <w:rFonts w:ascii="Times New Roman" w:hAnsi="Times New Roman" w:eastAsia="宋体" w:cs="Times New Roman"/>
          <w:strike w:val="0"/>
          <w:dstrike w:val="0"/>
          <w:color w:val="auto"/>
          <w:spacing w:val="0"/>
          <w:kern w:val="0"/>
          <w:sz w:val="24"/>
          <w:szCs w:val="24"/>
          <w:highlight w:val="none"/>
        </w:rPr>
        <w:t>HW01</w:t>
      </w:r>
      <w:r>
        <w:rPr>
          <w:rFonts w:ascii="Times New Roman" w:hAnsi="Times New Roman" w:eastAsia="宋体" w:cs="宋体"/>
          <w:strike w:val="0"/>
          <w:dstrike w:val="0"/>
          <w:color w:val="auto"/>
          <w:spacing w:val="0"/>
          <w:kern w:val="0"/>
          <w:sz w:val="24"/>
          <w:szCs w:val="24"/>
          <w:highlight w:val="none"/>
        </w:rPr>
        <w:t>类危险废物，储存于</w:t>
      </w:r>
      <w:r>
        <w:rPr>
          <w:rFonts w:hint="eastAsia" w:ascii="Times New Roman" w:hAnsi="Times New Roman" w:eastAsia="宋体" w:cs="宋体"/>
          <w:strike w:val="0"/>
          <w:dstrike w:val="0"/>
          <w:color w:val="auto"/>
          <w:spacing w:val="0"/>
          <w:kern w:val="0"/>
          <w:sz w:val="24"/>
          <w:szCs w:val="24"/>
          <w:highlight w:val="none"/>
          <w:lang w:eastAsia="zh-CN"/>
        </w:rPr>
        <w:t>医疗废物暂存间</w:t>
      </w:r>
      <w:r>
        <w:rPr>
          <w:rFonts w:ascii="Times New Roman" w:hAnsi="Times New Roman" w:eastAsia="宋体" w:cs="宋体"/>
          <w:strike w:val="0"/>
          <w:dstrike w:val="0"/>
          <w:color w:val="auto"/>
          <w:spacing w:val="0"/>
          <w:kern w:val="0"/>
          <w:sz w:val="24"/>
          <w:szCs w:val="24"/>
          <w:highlight w:val="none"/>
        </w:rPr>
        <w:t>，交由有资质的单位进行处置</w:t>
      </w:r>
      <w:r>
        <w:rPr>
          <w:rFonts w:hint="eastAsia" w:ascii="Times New Roman" w:hAnsi="Times New Roman" w:eastAsia="宋体" w:cs="宋体"/>
          <w:strike w:val="0"/>
          <w:dstrike w:val="0"/>
          <w:color w:val="auto"/>
          <w:spacing w:val="0"/>
          <w:kern w:val="0"/>
          <w:sz w:val="24"/>
          <w:szCs w:val="24"/>
          <w:highlight w:val="none"/>
          <w:lang w:eastAsia="zh-CN"/>
        </w:rPr>
        <w:t>。</w:t>
      </w:r>
    </w:p>
    <w:p w14:paraId="01C0AABA">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宋体"/>
          <w:strike w:val="0"/>
          <w:dstrike w:val="0"/>
          <w:color w:val="auto"/>
          <w:spacing w:val="0"/>
          <w:kern w:val="0"/>
          <w:sz w:val="24"/>
          <w:szCs w:val="24"/>
          <w:highlight w:val="none"/>
        </w:rPr>
        <w:t>根据《医疗废物集中处置技术规范</w:t>
      </w:r>
      <w:r>
        <w:rPr>
          <w:rFonts w:hint="eastAsia" w:ascii="Times New Roman" w:hAnsi="Times New Roman" w:eastAsia="宋体" w:cs="Times New Roman"/>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试行</w:t>
      </w:r>
      <w:r>
        <w:rPr>
          <w:rFonts w:hint="eastAsia" w:ascii="Times New Roman" w:hAnsi="Times New Roman" w:eastAsia="宋体" w:cs="Times New Roman"/>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》、《医疗废物管理条例》</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国务院令第</w:t>
      </w:r>
      <w:r>
        <w:rPr>
          <w:rFonts w:ascii="Times New Roman" w:hAnsi="Times New Roman" w:eastAsia="宋体" w:cs="Times New Roman"/>
          <w:strike w:val="0"/>
          <w:dstrike w:val="0"/>
          <w:color w:val="auto"/>
          <w:spacing w:val="0"/>
          <w:kern w:val="0"/>
          <w:sz w:val="24"/>
          <w:szCs w:val="24"/>
          <w:highlight w:val="none"/>
        </w:rPr>
        <w:t>380</w:t>
      </w:r>
      <w:r>
        <w:rPr>
          <w:rFonts w:ascii="Times New Roman" w:hAnsi="Times New Roman" w:eastAsia="宋体" w:cs="宋体"/>
          <w:strike w:val="0"/>
          <w:dstrike w:val="0"/>
          <w:color w:val="auto"/>
          <w:spacing w:val="0"/>
          <w:kern w:val="0"/>
          <w:sz w:val="24"/>
          <w:szCs w:val="24"/>
          <w:highlight w:val="none"/>
        </w:rPr>
        <w:t>号</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和《医疗卫生机构医疗废物管理办法》</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卫生部令</w:t>
      </w:r>
      <w:r>
        <w:rPr>
          <w:rFonts w:ascii="Times New Roman" w:hAnsi="Times New Roman" w:eastAsia="宋体" w:cs="Times New Roman"/>
          <w:strike w:val="0"/>
          <w:dstrike w:val="0"/>
          <w:color w:val="auto"/>
          <w:spacing w:val="0"/>
          <w:kern w:val="0"/>
          <w:sz w:val="24"/>
          <w:szCs w:val="24"/>
          <w:highlight w:val="none"/>
        </w:rPr>
        <w:t>36</w:t>
      </w:r>
      <w:r>
        <w:rPr>
          <w:rFonts w:ascii="Times New Roman" w:hAnsi="Times New Roman" w:eastAsia="宋体" w:cs="宋体"/>
          <w:strike w:val="0"/>
          <w:dstrike w:val="0"/>
          <w:color w:val="auto"/>
          <w:spacing w:val="0"/>
          <w:kern w:val="0"/>
          <w:sz w:val="24"/>
          <w:szCs w:val="24"/>
          <w:highlight w:val="none"/>
        </w:rPr>
        <w:t>号</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cs="宋体"/>
          <w:strike w:val="0"/>
          <w:dstrike w:val="0"/>
          <w:color w:val="auto"/>
          <w:spacing w:val="0"/>
          <w:kern w:val="0"/>
          <w:sz w:val="24"/>
          <w:szCs w:val="24"/>
          <w:highlight w:val="none"/>
        </w:rPr>
        <w:t>和</w:t>
      </w:r>
      <w:r>
        <w:rPr>
          <w:rFonts w:hint="eastAsia" w:ascii="Times New Roman" w:hAnsi="Times New Roman" w:eastAsia="宋体" w:cs="Times New Roman"/>
          <w:strike w:val="0"/>
          <w:dstrike w:val="0"/>
          <w:color w:val="auto"/>
          <w:spacing w:val="0"/>
          <w:kern w:val="0"/>
          <w:sz w:val="24"/>
          <w:szCs w:val="24"/>
          <w:highlight w:val="none"/>
          <w:lang w:eastAsia="zh-CN"/>
        </w:rPr>
        <w:t>《医疗废物处理处置污染控制标准》（GB 39707—2020）</w:t>
      </w:r>
      <w:r>
        <w:rPr>
          <w:rFonts w:ascii="Times New Roman" w:hAnsi="Times New Roman" w:eastAsia="宋体" w:cs="宋体"/>
          <w:strike w:val="0"/>
          <w:dstrike w:val="0"/>
          <w:color w:val="auto"/>
          <w:spacing w:val="0"/>
          <w:kern w:val="0"/>
          <w:sz w:val="24"/>
          <w:szCs w:val="24"/>
          <w:highlight w:val="none"/>
        </w:rPr>
        <w:t>中相关要求，本次评价要求建设单位按照相关规定要求做到以下几点：</w:t>
      </w:r>
    </w:p>
    <w:p w14:paraId="36B6925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宋体"/>
          <w:strike w:val="0"/>
          <w:dstrike w:val="0"/>
          <w:color w:val="auto"/>
          <w:spacing w:val="0"/>
          <w:kern w:val="0"/>
          <w:sz w:val="24"/>
          <w:szCs w:val="24"/>
          <w:highlight w:val="none"/>
        </w:rPr>
        <w:t>①医疗废物收集要求</w:t>
      </w:r>
    </w:p>
    <w:p w14:paraId="079E7A2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A</w:t>
      </w:r>
      <w:r>
        <w:rPr>
          <w:rFonts w:ascii="Times New Roman" w:hAnsi="Times New Roman" w:eastAsia="宋体" w:cs="宋体"/>
          <w:strike w:val="0"/>
          <w:dstrike w:val="0"/>
          <w:color w:val="auto"/>
          <w:spacing w:val="0"/>
          <w:kern w:val="0"/>
          <w:sz w:val="24"/>
          <w:szCs w:val="24"/>
          <w:highlight w:val="none"/>
        </w:rPr>
        <w:t>、根据医疗废物的类别，将医疗废物分置于符合《医疗废物专用包装物、容器的标准和警示标识的规定》的包装物或者容器内；在每个容器上应当说明医疗废物产生单位、产生日期、类别及特别说明等；</w:t>
      </w:r>
    </w:p>
    <w:p w14:paraId="656A659D">
      <w:pPr>
        <w:keepNext w:val="0"/>
        <w:keepLines w:val="0"/>
        <w:pageBreakBefore w:val="0"/>
        <w:widowControl w:val="0"/>
        <w:kinsoku/>
        <w:wordWrap/>
        <w:overflowPunct/>
        <w:topLinePunct w:val="0"/>
        <w:autoSpaceDE/>
        <w:autoSpaceDN/>
        <w:bidi w:val="0"/>
        <w:adjustRightInd/>
        <w:snapToGrid/>
        <w:spacing w:line="360" w:lineRule="auto"/>
        <w:ind w:left="0" w:right="0" w:firstLine="474"/>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B</w:t>
      </w:r>
      <w:r>
        <w:rPr>
          <w:rFonts w:ascii="Times New Roman" w:hAnsi="Times New Roman" w:eastAsia="宋体" w:cs="宋体"/>
          <w:strike w:val="0"/>
          <w:dstrike w:val="0"/>
          <w:color w:val="auto"/>
          <w:spacing w:val="0"/>
          <w:kern w:val="0"/>
          <w:sz w:val="24"/>
          <w:szCs w:val="24"/>
          <w:highlight w:val="none"/>
        </w:rPr>
        <w:t>、在盛装医疗废物前，应当对医疗废物包装物或者容器进行认真检查，确保无破损、渗漏和其它缺陷；</w:t>
      </w:r>
    </w:p>
    <w:p w14:paraId="2E167F94">
      <w:pPr>
        <w:keepNext w:val="0"/>
        <w:keepLines w:val="0"/>
        <w:pageBreakBefore w:val="0"/>
        <w:widowControl w:val="0"/>
        <w:kinsoku/>
        <w:wordWrap/>
        <w:overflowPunct/>
        <w:topLinePunct w:val="0"/>
        <w:autoSpaceDE/>
        <w:autoSpaceDN/>
        <w:bidi w:val="0"/>
        <w:adjustRightInd/>
        <w:snapToGrid/>
        <w:spacing w:line="360" w:lineRule="auto"/>
        <w:ind w:left="0" w:right="0" w:firstLine="479"/>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C</w:t>
      </w:r>
      <w:r>
        <w:rPr>
          <w:rFonts w:ascii="Times New Roman" w:hAnsi="Times New Roman" w:eastAsia="宋体" w:cs="宋体"/>
          <w:strike w:val="0"/>
          <w:dstrike w:val="0"/>
          <w:color w:val="auto"/>
          <w:spacing w:val="0"/>
          <w:kern w:val="0"/>
          <w:sz w:val="24"/>
          <w:szCs w:val="24"/>
          <w:highlight w:val="none"/>
        </w:rPr>
        <w:t>、感染性废物、药物性废物不能混合收集；少量的药物性废物可以混入感染性废物，但应当在标签上注明；</w:t>
      </w:r>
    </w:p>
    <w:p w14:paraId="36D3D6D4">
      <w:pPr>
        <w:keepNext w:val="0"/>
        <w:keepLines w:val="0"/>
        <w:pageBreakBefore w:val="0"/>
        <w:widowControl w:val="0"/>
        <w:kinsoku/>
        <w:wordWrap/>
        <w:overflowPunct/>
        <w:topLinePunct w:val="0"/>
        <w:autoSpaceDE/>
        <w:autoSpaceDN/>
        <w:bidi w:val="0"/>
        <w:adjustRightInd/>
        <w:snapToGrid/>
        <w:spacing w:line="360" w:lineRule="auto"/>
        <w:ind w:left="0" w:right="0" w:firstLine="475"/>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D</w:t>
      </w:r>
      <w:r>
        <w:rPr>
          <w:rFonts w:ascii="Times New Roman" w:hAnsi="Times New Roman" w:eastAsia="宋体" w:cs="宋体"/>
          <w:strike w:val="0"/>
          <w:dstrike w:val="0"/>
          <w:color w:val="auto"/>
          <w:spacing w:val="0"/>
          <w:kern w:val="0"/>
          <w:sz w:val="24"/>
          <w:szCs w:val="24"/>
          <w:highlight w:val="none"/>
        </w:rPr>
        <w:t>、对于能够刺伤或割伤人体的废弃医用锐器，按照类别分置于防渗漏、防锐器穿透的专用密闭的容器内，设置有明显的标识，防止转运人员被锐器割伤引起疾病感染；</w:t>
      </w:r>
    </w:p>
    <w:p w14:paraId="5240AFA4">
      <w:pPr>
        <w:keepNext w:val="0"/>
        <w:keepLines w:val="0"/>
        <w:pageBreakBefore w:val="0"/>
        <w:widowControl w:val="0"/>
        <w:kinsoku/>
        <w:wordWrap/>
        <w:overflowPunct/>
        <w:topLinePunct w:val="0"/>
        <w:autoSpaceDE/>
        <w:autoSpaceDN/>
        <w:bidi w:val="0"/>
        <w:adjustRightInd/>
        <w:snapToGrid/>
        <w:spacing w:line="360" w:lineRule="auto"/>
        <w:ind w:left="0" w:right="0" w:firstLine="475"/>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Times New Roman"/>
          <w:strike w:val="0"/>
          <w:dstrike w:val="0"/>
          <w:color w:val="auto"/>
          <w:spacing w:val="0"/>
          <w:kern w:val="0"/>
          <w:sz w:val="24"/>
          <w:szCs w:val="24"/>
          <w:highlight w:val="none"/>
        </w:rPr>
        <w:t>E</w:t>
      </w:r>
      <w:r>
        <w:rPr>
          <w:rFonts w:ascii="Times New Roman" w:hAnsi="Times New Roman" w:eastAsia="宋体" w:cs="宋体"/>
          <w:strike w:val="0"/>
          <w:dstrike w:val="0"/>
          <w:color w:val="auto"/>
          <w:spacing w:val="0"/>
          <w:kern w:val="0"/>
          <w:sz w:val="24"/>
          <w:szCs w:val="24"/>
          <w:highlight w:val="none"/>
        </w:rPr>
        <w:t>、医疗废物收集袋的颜色为黄色，印有医疗废物的文字说明和警示标示，根据盛装的医疗废物达到</w:t>
      </w:r>
      <w:r>
        <w:rPr>
          <w:rFonts w:ascii="Times New Roman" w:hAnsi="Times New Roman" w:eastAsia="宋体" w:cs="Times New Roman"/>
          <w:strike w:val="0"/>
          <w:dstrike w:val="0"/>
          <w:color w:val="auto"/>
          <w:spacing w:val="0"/>
          <w:kern w:val="0"/>
          <w:sz w:val="24"/>
          <w:szCs w:val="24"/>
          <w:highlight w:val="none"/>
        </w:rPr>
        <w:t>3/4</w:t>
      </w:r>
      <w:r>
        <w:rPr>
          <w:rFonts w:ascii="Times New Roman" w:hAnsi="Times New Roman" w:eastAsia="宋体" w:cs="宋体"/>
          <w:strike w:val="0"/>
          <w:dstrike w:val="0"/>
          <w:color w:val="auto"/>
          <w:spacing w:val="0"/>
          <w:kern w:val="0"/>
          <w:sz w:val="24"/>
          <w:szCs w:val="24"/>
          <w:highlight w:val="none"/>
        </w:rPr>
        <w:t>时，应当使用有效的封口方式，清运至医疗废物暂存桶</w:t>
      </w:r>
      <w:r>
        <w:rPr>
          <w:rFonts w:hint="eastAsia" w:ascii="Times New Roman" w:hAnsi="Times New Roman" w:eastAsia="宋体" w:cs="宋体"/>
          <w:strike w:val="0"/>
          <w:dstrike w:val="0"/>
          <w:color w:val="auto"/>
          <w:spacing w:val="0"/>
          <w:kern w:val="0"/>
          <w:sz w:val="24"/>
          <w:szCs w:val="24"/>
          <w:highlight w:val="none"/>
          <w:lang w:eastAsia="zh-CN"/>
        </w:rPr>
        <w:t>。</w:t>
      </w:r>
    </w:p>
    <w:p w14:paraId="1BB2850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宋体"/>
          <w:strike w:val="0"/>
          <w:dstrike w:val="0"/>
          <w:color w:val="auto"/>
          <w:spacing w:val="0"/>
          <w:kern w:val="0"/>
          <w:sz w:val="24"/>
          <w:szCs w:val="24"/>
          <w:highlight w:val="none"/>
        </w:rPr>
        <w:t>②医疗废物暂存要求</w:t>
      </w:r>
    </w:p>
    <w:p w14:paraId="7ABBBA20">
      <w:pPr>
        <w:keepNext w:val="0"/>
        <w:keepLines w:val="0"/>
        <w:pageBreakBefore w:val="0"/>
        <w:widowControl w:val="0"/>
        <w:kinsoku/>
        <w:wordWrap/>
        <w:overflowPunct/>
        <w:topLinePunct w:val="0"/>
        <w:autoSpaceDE/>
        <w:autoSpaceDN/>
        <w:bidi w:val="0"/>
        <w:adjustRightInd/>
        <w:snapToGrid/>
        <w:spacing w:line="360" w:lineRule="auto"/>
        <w:ind w:left="0" w:right="0" w:firstLine="472"/>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A</w:t>
      </w:r>
      <w:r>
        <w:rPr>
          <w:rFonts w:ascii="Times New Roman" w:hAnsi="Times New Roman" w:eastAsia="宋体" w:cs="宋体"/>
          <w:strike w:val="0"/>
          <w:dstrike w:val="0"/>
          <w:color w:val="auto"/>
          <w:spacing w:val="0"/>
          <w:kern w:val="0"/>
          <w:sz w:val="24"/>
          <w:szCs w:val="24"/>
          <w:highlight w:val="none"/>
        </w:rPr>
        <w:t>、医疗卫生机构应当建立医疗废物的暂时贮存设施、设备，不得露天存放医疗废物；</w:t>
      </w:r>
    </w:p>
    <w:p w14:paraId="7900B207">
      <w:pPr>
        <w:keepNext w:val="0"/>
        <w:keepLines w:val="0"/>
        <w:pageBreakBefore w:val="0"/>
        <w:widowControl w:val="0"/>
        <w:kinsoku/>
        <w:wordWrap/>
        <w:overflowPunct/>
        <w:topLinePunct w:val="0"/>
        <w:autoSpaceDE/>
        <w:autoSpaceDN/>
        <w:bidi w:val="0"/>
        <w:adjustRightInd/>
        <w:snapToGrid/>
        <w:spacing w:line="360" w:lineRule="auto"/>
        <w:ind w:left="0" w:right="0" w:firstLine="459"/>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B</w:t>
      </w:r>
      <w:r>
        <w:rPr>
          <w:rFonts w:ascii="Times New Roman" w:hAnsi="Times New Roman" w:eastAsia="宋体" w:cs="宋体"/>
          <w:strike w:val="0"/>
          <w:dstrike w:val="0"/>
          <w:color w:val="auto"/>
          <w:spacing w:val="0"/>
          <w:kern w:val="0"/>
          <w:sz w:val="24"/>
          <w:szCs w:val="24"/>
          <w:highlight w:val="none"/>
        </w:rPr>
        <w:t>、医疗废物的暂时贮存设施、设备，应当远离医疗区、食品加工区和人员活动区以及生活垃圾存放场所，并设置明显的警示标识和防渗漏、防鼠、防蚊蝇、防蟑螂、防盗以及预防儿童接触等安全措施；</w:t>
      </w:r>
    </w:p>
    <w:p w14:paraId="2D042205">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s="宋体"/>
          <w:strike w:val="0"/>
          <w:dstrike w:val="0"/>
          <w:color w:val="auto"/>
          <w:spacing w:val="0"/>
          <w:kern w:val="0"/>
          <w:sz w:val="24"/>
          <w:szCs w:val="24"/>
          <w:highlight w:val="none"/>
        </w:rPr>
      </w:pPr>
      <w:r>
        <w:rPr>
          <w:rFonts w:ascii="Times New Roman" w:hAnsi="Times New Roman" w:eastAsia="宋体" w:cs="Times New Roman"/>
          <w:strike w:val="0"/>
          <w:dstrike w:val="0"/>
          <w:color w:val="auto"/>
          <w:spacing w:val="0"/>
          <w:kern w:val="0"/>
          <w:sz w:val="24"/>
          <w:szCs w:val="24"/>
          <w:highlight w:val="none"/>
        </w:rPr>
        <w:t>C</w:t>
      </w:r>
      <w:r>
        <w:rPr>
          <w:rFonts w:ascii="Times New Roman" w:hAnsi="Times New Roman" w:eastAsia="宋体" w:cs="宋体"/>
          <w:strike w:val="0"/>
          <w:dstrike w:val="0"/>
          <w:color w:val="auto"/>
          <w:spacing w:val="0"/>
          <w:kern w:val="0"/>
          <w:sz w:val="24"/>
          <w:szCs w:val="24"/>
          <w:highlight w:val="none"/>
        </w:rPr>
        <w:t>、医疗废物转交出去后，应当对暂时贮存地点、设施及时进行清洁和消毒处理，冲洗暂存地点和设施的废水必须经过消毒池处理后排放；</w:t>
      </w:r>
    </w:p>
    <w:p w14:paraId="67674D0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Times New Roman" w:hAnsi="Times New Roman" w:eastAsia="宋体" w:cs="宋体"/>
          <w:strike w:val="0"/>
          <w:dstrike w:val="0"/>
          <w:color w:val="auto"/>
          <w:spacing w:val="0"/>
          <w:kern w:val="0"/>
          <w:sz w:val="24"/>
          <w:szCs w:val="24"/>
          <w:highlight w:val="none"/>
          <w:lang w:eastAsia="zh-CN"/>
        </w:rPr>
      </w:pPr>
      <w:r>
        <w:rPr>
          <w:rFonts w:ascii="Times New Roman" w:hAnsi="Times New Roman" w:eastAsia="宋体" w:cs="Times New Roman"/>
          <w:strike w:val="0"/>
          <w:dstrike w:val="0"/>
          <w:color w:val="auto"/>
          <w:spacing w:val="0"/>
          <w:kern w:val="0"/>
          <w:sz w:val="24"/>
          <w:szCs w:val="24"/>
          <w:highlight w:val="none"/>
        </w:rPr>
        <w:t>D</w:t>
      </w:r>
      <w:r>
        <w:rPr>
          <w:rFonts w:ascii="Times New Roman" w:hAnsi="Times New Roman" w:eastAsia="宋体" w:cs="宋体"/>
          <w:strike w:val="0"/>
          <w:dstrike w:val="0"/>
          <w:color w:val="auto"/>
          <w:spacing w:val="0"/>
          <w:kern w:val="0"/>
          <w:sz w:val="24"/>
          <w:szCs w:val="24"/>
          <w:highlight w:val="none"/>
        </w:rPr>
        <w:t>、医疗废物暂时贮存的时间不得超过</w:t>
      </w:r>
      <w:r>
        <w:rPr>
          <w:rFonts w:ascii="Times New Roman" w:hAnsi="Times New Roman" w:eastAsia="宋体" w:cs="Times New Roman"/>
          <w:strike w:val="0"/>
          <w:dstrike w:val="0"/>
          <w:color w:val="auto"/>
          <w:spacing w:val="0"/>
          <w:kern w:val="0"/>
          <w:sz w:val="24"/>
          <w:szCs w:val="24"/>
          <w:highlight w:val="none"/>
        </w:rPr>
        <w:t>2</w:t>
      </w:r>
      <w:r>
        <w:rPr>
          <w:rFonts w:ascii="Times New Roman" w:hAnsi="Times New Roman" w:eastAsia="宋体" w:cs="宋体"/>
          <w:strike w:val="0"/>
          <w:dstrike w:val="0"/>
          <w:color w:val="auto"/>
          <w:spacing w:val="0"/>
          <w:kern w:val="0"/>
          <w:sz w:val="24"/>
          <w:szCs w:val="24"/>
          <w:highlight w:val="none"/>
        </w:rPr>
        <w:t>天，尽量做到日产日清</w:t>
      </w:r>
      <w:r>
        <w:rPr>
          <w:rFonts w:hint="eastAsia" w:ascii="Times New Roman" w:hAnsi="Times New Roman" w:eastAsia="宋体" w:cs="宋体"/>
          <w:strike w:val="0"/>
          <w:dstrike w:val="0"/>
          <w:color w:val="auto"/>
          <w:spacing w:val="0"/>
          <w:kern w:val="0"/>
          <w:sz w:val="24"/>
          <w:szCs w:val="24"/>
          <w:highlight w:val="none"/>
          <w:lang w:eastAsia="zh-CN"/>
        </w:rPr>
        <w:t>。</w:t>
      </w:r>
    </w:p>
    <w:p w14:paraId="76F3FA20">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strike w:val="0"/>
          <w:dstrike w:val="0"/>
          <w:color w:val="auto"/>
          <w:spacing w:val="0"/>
          <w:kern w:val="0"/>
          <w:sz w:val="24"/>
          <w:highlight w:val="none"/>
          <w:lang w:eastAsia="zh-CN"/>
        </w:rPr>
      </w:pPr>
      <w:r>
        <w:rPr>
          <w:rFonts w:ascii="Times New Roman" w:hAnsi="Times New Roman" w:eastAsia="宋体" w:cs="宋体"/>
          <w:strike w:val="0"/>
          <w:dstrike w:val="0"/>
          <w:color w:val="auto"/>
          <w:spacing w:val="0"/>
          <w:kern w:val="0"/>
          <w:sz w:val="24"/>
          <w:szCs w:val="24"/>
          <w:highlight w:val="none"/>
        </w:rPr>
        <w:t>综上所述，本项目产生的固体废物在采取上述处置措施后，均得到合理处置与利用，对周围环境影响较小</w:t>
      </w:r>
      <w:r>
        <w:rPr>
          <w:rFonts w:hint="eastAsia" w:ascii="Times New Roman" w:hAnsi="Times New Roman" w:eastAsia="宋体" w:cs="宋体"/>
          <w:strike w:val="0"/>
          <w:dstrike w:val="0"/>
          <w:color w:val="auto"/>
          <w:spacing w:val="0"/>
          <w:kern w:val="0"/>
          <w:sz w:val="24"/>
          <w:szCs w:val="24"/>
          <w:highlight w:val="none"/>
          <w:lang w:eastAsia="zh-CN"/>
        </w:rPr>
        <w:t>。</w:t>
      </w:r>
    </w:p>
    <w:p w14:paraId="234F2162">
      <w:pPr>
        <w:pStyle w:val="4"/>
        <w:rPr>
          <w:rFonts w:ascii="Times New Roman" w:hAnsi="Times New Roman" w:eastAsia="宋体"/>
          <w:strike w:val="0"/>
          <w:dstrike w:val="0"/>
          <w:color w:val="auto"/>
          <w:highlight w:val="none"/>
        </w:rPr>
      </w:pPr>
      <w:bookmarkStart w:id="258" w:name="_Toc8826"/>
      <w:bookmarkStart w:id="259" w:name="_Toc106663504"/>
      <w:r>
        <w:rPr>
          <w:rFonts w:hint="eastAsia" w:ascii="Times New Roman" w:hAnsi="Times New Roman" w:eastAsia="宋体"/>
          <w:strike w:val="0"/>
          <w:dstrike w:val="0"/>
          <w:color w:val="auto"/>
          <w:highlight w:val="none"/>
        </w:rPr>
        <w:t>5.2.5土壤环境影响分析</w:t>
      </w:r>
      <w:bookmarkEnd w:id="258"/>
      <w:bookmarkEnd w:id="259"/>
    </w:p>
    <w:p w14:paraId="3DE0A56D">
      <w:pPr>
        <w:pStyle w:val="5"/>
        <w:ind w:firstLine="0" w:firstLineChars="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5.2.5.1</w:t>
      </w:r>
      <w:r>
        <w:rPr>
          <w:rFonts w:hint="eastAsia" w:ascii="Times New Roman" w:hAnsi="Times New Roman" w:eastAsia="宋体"/>
          <w:strike w:val="0"/>
          <w:dstrike w:val="0"/>
          <w:color w:val="auto"/>
          <w:highlight w:val="none"/>
        </w:rPr>
        <w:t>土壤现状</w:t>
      </w:r>
    </w:p>
    <w:p w14:paraId="4CDA5BEE">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.1土壤区域性质简述</w:t>
      </w:r>
    </w:p>
    <w:p w14:paraId="37C128D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土质以轻壤、中壤为主，其次是沙壤、重壤、粘土等，土壤有机质含量为</w:t>
      </w:r>
      <w:r>
        <w:rPr>
          <w:rFonts w:ascii="Times New Roman" w:hAnsi="Times New Roman" w:eastAsia="宋体" w:cs="Times New Roman"/>
          <w:strike w:val="0"/>
          <w:dstrike w:val="0"/>
          <w:color w:val="auto"/>
          <w:spacing w:val="0"/>
          <w:sz w:val="24"/>
          <w:szCs w:val="24"/>
          <w:highlight w:val="none"/>
        </w:rPr>
        <w:t>2.39%</w:t>
      </w:r>
      <w:r>
        <w:rPr>
          <w:rFonts w:ascii="Times New Roman" w:hAnsi="Times New Roman" w:eastAsia="宋体" w:cs="宋体"/>
          <w:strike w:val="0"/>
          <w:dstrike w:val="0"/>
          <w:color w:val="auto"/>
          <w:spacing w:val="0"/>
          <w:sz w:val="24"/>
          <w:szCs w:val="24"/>
          <w:highlight w:val="none"/>
        </w:rPr>
        <w:t>，含氮</w:t>
      </w:r>
      <w:r>
        <w:rPr>
          <w:rFonts w:ascii="Times New Roman" w:hAnsi="Times New Roman" w:eastAsia="宋体" w:cs="Times New Roman"/>
          <w:strike w:val="0"/>
          <w:dstrike w:val="0"/>
          <w:color w:val="auto"/>
          <w:spacing w:val="0"/>
          <w:sz w:val="24"/>
          <w:szCs w:val="24"/>
          <w:highlight w:val="none"/>
        </w:rPr>
        <w:t>0.14%</w:t>
      </w:r>
      <w:r>
        <w:rPr>
          <w:rFonts w:ascii="Times New Roman" w:hAnsi="Times New Roman" w:eastAsia="宋体" w:cs="宋体"/>
          <w:strike w:val="0"/>
          <w:dstrike w:val="0"/>
          <w:color w:val="auto"/>
          <w:spacing w:val="0"/>
          <w:sz w:val="24"/>
          <w:szCs w:val="24"/>
          <w:highlight w:val="none"/>
        </w:rPr>
        <w:t>、含磷</w:t>
      </w:r>
      <w:r>
        <w:rPr>
          <w:rFonts w:ascii="Times New Roman" w:hAnsi="Times New Roman" w:eastAsia="宋体" w:cs="Times New Roman"/>
          <w:strike w:val="0"/>
          <w:dstrike w:val="0"/>
          <w:color w:val="auto"/>
          <w:spacing w:val="0"/>
          <w:sz w:val="24"/>
          <w:szCs w:val="24"/>
          <w:highlight w:val="none"/>
        </w:rPr>
        <w:t>0.18%</w:t>
      </w:r>
      <w:r>
        <w:rPr>
          <w:rFonts w:ascii="Times New Roman" w:hAnsi="Times New Roman" w:eastAsia="宋体" w:cs="宋体"/>
          <w:strike w:val="0"/>
          <w:dstrike w:val="0"/>
          <w:color w:val="auto"/>
          <w:spacing w:val="0"/>
          <w:sz w:val="24"/>
          <w:szCs w:val="24"/>
          <w:highlight w:val="none"/>
        </w:rPr>
        <w:t>、碳酸钙</w:t>
      </w:r>
      <w:r>
        <w:rPr>
          <w:rFonts w:ascii="Times New Roman" w:hAnsi="Times New Roman" w:eastAsia="宋体" w:cs="Times New Roman"/>
          <w:strike w:val="0"/>
          <w:dstrike w:val="0"/>
          <w:color w:val="auto"/>
          <w:spacing w:val="0"/>
          <w:sz w:val="24"/>
          <w:szCs w:val="24"/>
          <w:highlight w:val="none"/>
        </w:rPr>
        <w:t>14.9%</w:t>
      </w:r>
      <w:r>
        <w:rPr>
          <w:rFonts w:ascii="Times New Roman" w:hAnsi="Times New Roman" w:eastAsia="宋体" w:cs="宋体"/>
          <w:strike w:val="0"/>
          <w:dstrike w:val="0"/>
          <w:color w:val="auto"/>
          <w:spacing w:val="0"/>
          <w:sz w:val="24"/>
          <w:szCs w:val="24"/>
          <w:highlight w:val="none"/>
        </w:rPr>
        <w:t>，土壤</w:t>
      </w:r>
      <w:r>
        <w:rPr>
          <w:rFonts w:ascii="Times New Roman" w:hAnsi="Times New Roman" w:eastAsia="宋体" w:cs="Times New Roman"/>
          <w:strike w:val="0"/>
          <w:dstrike w:val="0"/>
          <w:color w:val="auto"/>
          <w:spacing w:val="0"/>
          <w:sz w:val="24"/>
          <w:szCs w:val="24"/>
          <w:highlight w:val="none"/>
        </w:rPr>
        <w:t>PH</w:t>
      </w:r>
      <w:r>
        <w:rPr>
          <w:rFonts w:ascii="Times New Roman" w:hAnsi="Times New Roman" w:eastAsia="宋体" w:cs="宋体"/>
          <w:strike w:val="0"/>
          <w:dstrike w:val="0"/>
          <w:color w:val="auto"/>
          <w:spacing w:val="0"/>
          <w:sz w:val="24"/>
          <w:szCs w:val="24"/>
          <w:highlight w:val="none"/>
        </w:rPr>
        <w:t>值为</w:t>
      </w:r>
      <w:r>
        <w:rPr>
          <w:rFonts w:ascii="Times New Roman" w:hAnsi="Times New Roman" w:eastAsia="宋体" w:cs="Times New Roman"/>
          <w:strike w:val="0"/>
          <w:dstrike w:val="0"/>
          <w:color w:val="auto"/>
          <w:spacing w:val="0"/>
          <w:sz w:val="24"/>
          <w:szCs w:val="24"/>
          <w:highlight w:val="none"/>
        </w:rPr>
        <w:t>5.5</w:t>
      </w:r>
      <w:r>
        <w:rPr>
          <w:rFonts w:ascii="Times New Roman" w:hAnsi="Times New Roman" w:eastAsia="宋体" w:cs="宋体"/>
          <w:strike w:val="0"/>
          <w:dstrike w:val="0"/>
          <w:color w:val="auto"/>
          <w:spacing w:val="0"/>
          <w:sz w:val="24"/>
          <w:szCs w:val="24"/>
          <w:highlight w:val="none"/>
        </w:rPr>
        <w:t>~</w:t>
      </w:r>
      <w:r>
        <w:rPr>
          <w:rFonts w:ascii="Times New Roman" w:hAnsi="Times New Roman" w:eastAsia="宋体" w:cs="Times New Roman"/>
          <w:strike w:val="0"/>
          <w:dstrike w:val="0"/>
          <w:color w:val="auto"/>
          <w:spacing w:val="0"/>
          <w:sz w:val="24"/>
          <w:szCs w:val="24"/>
          <w:highlight w:val="none"/>
        </w:rPr>
        <w:t>6.5</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土壤理化和生物性能良好，土质宜农宜牧</w:t>
      </w:r>
      <w:r>
        <w:rPr>
          <w:rFonts w:hint="eastAsia" w:ascii="Times New Roman" w:hAnsi="Times New Roman" w:eastAsia="宋体" w:cs="宋体"/>
          <w:strike w:val="0"/>
          <w:dstrike w:val="0"/>
          <w:color w:val="auto"/>
          <w:spacing w:val="0"/>
          <w:sz w:val="24"/>
          <w:szCs w:val="24"/>
          <w:highlight w:val="none"/>
          <w:lang w:eastAsia="zh-CN"/>
        </w:rPr>
        <w:t>。</w:t>
      </w:r>
    </w:p>
    <w:p w14:paraId="30A46340">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.2土壤环境质量现状评价</w:t>
      </w:r>
    </w:p>
    <w:p w14:paraId="4DCC803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ascii="Times New Roman" w:hAnsi="Times New Roman" w:eastAsia="宋体" w:cs="宋体"/>
          <w:strike w:val="0"/>
          <w:dstrike w:val="0"/>
          <w:color w:val="auto"/>
          <w:spacing w:val="0"/>
          <w:sz w:val="24"/>
          <w:szCs w:val="24"/>
          <w:highlight w:val="none"/>
        </w:rPr>
        <w:t>本项目土壤现状监测设置3个点位，项目土壤各监测因子浓度均满足《土壤环境质量农用地土壤污染风险管控标准</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试行</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GB15618-2018</w:t>
      </w:r>
      <w:r>
        <w:rPr>
          <w:rFonts w:hint="eastAsia" w:ascii="Times New Roman" w:hAnsi="Times New Roman" w:eastAsia="宋体" w:cs="宋体"/>
          <w:strike w:val="0"/>
          <w:dstrike w:val="0"/>
          <w:color w:val="auto"/>
          <w:spacing w:val="0"/>
          <w:sz w:val="24"/>
          <w:szCs w:val="24"/>
          <w:highlight w:val="none"/>
          <w:lang w:eastAsia="zh-CN"/>
        </w:rPr>
        <w:t>）</w:t>
      </w:r>
      <w:r>
        <w:rPr>
          <w:rFonts w:ascii="Times New Roman" w:hAnsi="Times New Roman" w:eastAsia="宋体" w:cs="宋体"/>
          <w:strike w:val="0"/>
          <w:dstrike w:val="0"/>
          <w:color w:val="auto"/>
          <w:spacing w:val="0"/>
          <w:sz w:val="24"/>
          <w:szCs w:val="24"/>
          <w:highlight w:val="none"/>
        </w:rPr>
        <w:t>中其他</w:t>
      </w:r>
      <w:r>
        <w:rPr>
          <w:rFonts w:hint="eastAsia" w:ascii="Times New Roman" w:hAnsi="Times New Roman" w:eastAsia="宋体" w:cs="宋体"/>
          <w:strike w:val="0"/>
          <w:dstrike w:val="0"/>
          <w:color w:val="auto"/>
          <w:spacing w:val="0"/>
          <w:sz w:val="24"/>
          <w:szCs w:val="24"/>
          <w:highlight w:val="none"/>
          <w:lang w:val="en-US" w:eastAsia="zh-CN"/>
        </w:rPr>
        <w:t>农</w:t>
      </w:r>
      <w:r>
        <w:rPr>
          <w:rFonts w:ascii="Times New Roman" w:hAnsi="Times New Roman" w:eastAsia="宋体" w:cs="宋体"/>
          <w:strike w:val="0"/>
          <w:dstrike w:val="0"/>
          <w:color w:val="auto"/>
          <w:spacing w:val="0"/>
          <w:sz w:val="24"/>
          <w:szCs w:val="24"/>
          <w:highlight w:val="none"/>
        </w:rPr>
        <w:t>用地风险筛选值，当地土壤环境质量较好</w:t>
      </w:r>
    </w:p>
    <w:p w14:paraId="65C7143A">
      <w:pPr>
        <w:pStyle w:val="5"/>
        <w:ind w:firstLine="0" w:firstLineChars="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.3土壤影响</w:t>
      </w:r>
      <w:r>
        <w:rPr>
          <w:rFonts w:hint="eastAsia" w:ascii="Times New Roman" w:hAnsi="Times New Roman" w:eastAsia="宋体"/>
          <w:strike w:val="0"/>
          <w:dstrike w:val="0"/>
          <w:color w:val="auto"/>
          <w:highlight w:val="none"/>
          <w:lang w:val="en-US" w:eastAsia="zh-CN"/>
        </w:rPr>
        <w:t>识别</w:t>
      </w:r>
    </w:p>
    <w:p w14:paraId="3B703E04">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土壤污染是指人类活动所产生的物质（污染物），通过多种途径进入土壤，其数量和速度超过了土壤的容纳能力净化现象</w:t>
      </w:r>
      <w:r>
        <w:rPr>
          <w:rFonts w:hint="eastAsia" w:ascii="Times New Roman" w:hAnsi="Times New Roman" w:eastAsia="宋体" w:cs="宋体"/>
          <w:strike w:val="0"/>
          <w:dstrike w:val="0"/>
          <w:color w:val="auto"/>
          <w:spacing w:val="0"/>
          <w:sz w:val="24"/>
          <w:szCs w:val="24"/>
          <w:highlight w:val="none"/>
          <w:lang w:val="en-US" w:eastAsia="zh-CN"/>
        </w:rPr>
        <w:t>。</w:t>
      </w:r>
      <w:r>
        <w:rPr>
          <w:rFonts w:hint="eastAsia" w:ascii="Times New Roman" w:hAnsi="Times New Roman" w:eastAsia="宋体" w:cs="宋体"/>
          <w:strike w:val="0"/>
          <w:dstrike w:val="0"/>
          <w:color w:val="auto"/>
          <w:spacing w:val="0"/>
          <w:sz w:val="24"/>
          <w:szCs w:val="24"/>
          <w:highlight w:val="none"/>
          <w:lang w:val="en-US" w:eastAsia="zh-CN"/>
        </w:rPr>
        <w:t>土壤污染可使土壤的性质、组成及性状等发生变化，使污染物积累过程逐渐占据优势，破坏了土壤的自然动态平衡，从而导致土壤自然正常功能失调，土壤质量恶化，影响作物的生长发育，以致造成产量和质量的下降，并可通过食物链引起对生物和人类的直接危害，甚至形成对有机生命的超地方性的危害</w:t>
      </w:r>
      <w:r>
        <w:rPr>
          <w:rFonts w:hint="eastAsia" w:ascii="Times New Roman" w:hAnsi="Times New Roman" w:eastAsia="宋体" w:cs="宋体"/>
          <w:strike w:val="0"/>
          <w:dstrike w:val="0"/>
          <w:color w:val="auto"/>
          <w:spacing w:val="0"/>
          <w:sz w:val="24"/>
          <w:szCs w:val="24"/>
          <w:highlight w:val="none"/>
          <w:lang w:val="en-US" w:eastAsia="zh-CN"/>
        </w:rPr>
        <w:t>。</w:t>
      </w:r>
    </w:p>
    <w:p w14:paraId="6A0E78AD">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default" w:ascii="Times New Roman" w:hAnsi="Times New Roman" w:eastAsia="宋体" w:cs="宋体"/>
          <w:strike w:val="0"/>
          <w:dstrike w:val="0"/>
          <w:color w:val="auto"/>
          <w:spacing w:val="0"/>
          <w:sz w:val="24"/>
          <w:szCs w:val="24"/>
          <w:highlight w:val="none"/>
          <w:lang w:val="en-US" w:eastAsia="zh-CN"/>
        </w:rPr>
        <w:t>1</w:t>
      </w:r>
      <w:r>
        <w:rPr>
          <w:rFonts w:hint="eastAsia" w:ascii="Times New Roman" w:hAnsi="Times New Roman" w:eastAsia="宋体" w:cs="宋体"/>
          <w:strike w:val="0"/>
          <w:dstrike w:val="0"/>
          <w:color w:val="auto"/>
          <w:spacing w:val="0"/>
          <w:sz w:val="24"/>
          <w:szCs w:val="24"/>
          <w:highlight w:val="none"/>
          <w:lang w:val="en-US" w:eastAsia="zh-CN"/>
        </w:rPr>
        <w:t>、土壤环境影响类型及途径识别</w:t>
      </w:r>
    </w:p>
    <w:p w14:paraId="252DD0AF">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本项目不会引起土壤环境的酸化、盐化和碱化，不属于生态影响型，污染物如发生泄漏，主要为点状渗漏，可能会通过下渗污染土壤环境质量，因此属于污染影响型，其污染途径主要为垂直入渗，如表</w:t>
      </w:r>
      <w:r>
        <w:rPr>
          <w:rFonts w:hint="default" w:ascii="Times New Roman" w:hAnsi="Times New Roman" w:eastAsia="宋体" w:cs="宋体"/>
          <w:strike w:val="0"/>
          <w:dstrike w:val="0"/>
          <w:color w:val="auto"/>
          <w:spacing w:val="0"/>
          <w:sz w:val="24"/>
          <w:szCs w:val="24"/>
          <w:highlight w:val="none"/>
          <w:lang w:val="en-US" w:eastAsia="zh-CN"/>
        </w:rPr>
        <w:t>5.2-2</w:t>
      </w:r>
      <w:r>
        <w:rPr>
          <w:rFonts w:hint="eastAsia" w:ascii="Times New Roman" w:hAnsi="Times New Roman" w:eastAsia="宋体" w:cs="宋体"/>
          <w:strike w:val="0"/>
          <w:dstrike w:val="0"/>
          <w:color w:val="auto"/>
          <w:spacing w:val="0"/>
          <w:sz w:val="24"/>
          <w:szCs w:val="24"/>
          <w:highlight w:val="none"/>
          <w:lang w:val="en-US" w:eastAsia="zh-CN"/>
        </w:rPr>
        <w:t>0</w:t>
      </w:r>
      <w:r>
        <w:rPr>
          <w:rFonts w:hint="eastAsia" w:ascii="Times New Roman" w:hAnsi="Times New Roman" w:eastAsia="宋体" w:cs="宋体"/>
          <w:strike w:val="0"/>
          <w:dstrike w:val="0"/>
          <w:color w:val="auto"/>
          <w:spacing w:val="0"/>
          <w:sz w:val="24"/>
          <w:szCs w:val="24"/>
          <w:highlight w:val="none"/>
          <w:lang w:val="en-US" w:eastAsia="zh-CN"/>
        </w:rPr>
        <w:t>所示</w:t>
      </w:r>
      <w:r>
        <w:rPr>
          <w:rFonts w:hint="eastAsia" w:ascii="Times New Roman" w:hAnsi="Times New Roman" w:eastAsia="宋体" w:cs="宋体"/>
          <w:strike w:val="0"/>
          <w:dstrike w:val="0"/>
          <w:color w:val="auto"/>
          <w:spacing w:val="0"/>
          <w:sz w:val="24"/>
          <w:szCs w:val="24"/>
          <w:highlight w:val="none"/>
          <w:lang w:val="en-US" w:eastAsia="zh-CN"/>
        </w:rPr>
        <w:t>。</w:t>
      </w:r>
    </w:p>
    <w:p w14:paraId="560677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w:t>
      </w:r>
      <w:r>
        <w:rPr>
          <w:rFonts w:hint="default" w:ascii="Times New Roman" w:hAnsi="Times New Roman" w:eastAsia="宋体"/>
          <w:b/>
          <w:bCs/>
          <w:strike w:val="0"/>
          <w:dstrike w:val="0"/>
          <w:color w:val="auto"/>
          <w:highlight w:val="none"/>
          <w:lang w:val="en-US" w:eastAsia="zh-CN"/>
        </w:rPr>
        <w:t>5.2-2</w:t>
      </w:r>
      <w:r>
        <w:rPr>
          <w:rFonts w:hint="eastAsia" w:ascii="Times New Roman" w:hAnsi="Times New Roman" w:eastAsia="宋体"/>
          <w:b/>
          <w:bCs/>
          <w:strike w:val="0"/>
          <w:dstrike w:val="0"/>
          <w:color w:val="auto"/>
          <w:highlight w:val="none"/>
          <w:lang w:val="en-US" w:eastAsia="zh-CN"/>
        </w:rPr>
        <w:t>0土壤环境影响类型及途径识别一览表</w:t>
      </w:r>
    </w:p>
    <w:tbl>
      <w:tblPr>
        <w:tblStyle w:val="4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1249"/>
        <w:gridCol w:w="1249"/>
        <w:gridCol w:w="1249"/>
        <w:gridCol w:w="759"/>
        <w:gridCol w:w="752"/>
        <w:gridCol w:w="752"/>
        <w:gridCol w:w="752"/>
        <w:gridCol w:w="757"/>
      </w:tblGrid>
      <w:tr w14:paraId="1329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pct"/>
            <w:vMerge w:val="restart"/>
            <w:vAlign w:val="center"/>
          </w:tcPr>
          <w:p w14:paraId="4BA765B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时段</w:t>
            </w:r>
          </w:p>
        </w:tc>
        <w:tc>
          <w:tcPr>
            <w:tcW w:w="2644" w:type="pct"/>
            <w:gridSpan w:val="4"/>
            <w:vAlign w:val="center"/>
          </w:tcPr>
          <w:p w14:paraId="0BE4B47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污染影响型</w:t>
            </w:r>
          </w:p>
        </w:tc>
        <w:tc>
          <w:tcPr>
            <w:tcW w:w="1767" w:type="pct"/>
            <w:gridSpan w:val="4"/>
            <w:vAlign w:val="center"/>
          </w:tcPr>
          <w:p w14:paraId="45D2F90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生态影响型</w:t>
            </w:r>
          </w:p>
        </w:tc>
      </w:tr>
      <w:tr w14:paraId="5ED1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pct"/>
            <w:vMerge w:val="continue"/>
            <w:vAlign w:val="center"/>
          </w:tcPr>
          <w:p w14:paraId="29A575C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33" w:type="pct"/>
            <w:vAlign w:val="center"/>
          </w:tcPr>
          <w:p w14:paraId="4BBF890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大气降尘</w:t>
            </w:r>
          </w:p>
        </w:tc>
        <w:tc>
          <w:tcPr>
            <w:tcW w:w="733" w:type="pct"/>
            <w:vAlign w:val="center"/>
          </w:tcPr>
          <w:p w14:paraId="65069C7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地面漫流</w:t>
            </w:r>
          </w:p>
        </w:tc>
        <w:tc>
          <w:tcPr>
            <w:tcW w:w="733" w:type="pct"/>
            <w:vAlign w:val="center"/>
          </w:tcPr>
          <w:p w14:paraId="75355ED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垂直入渗</w:t>
            </w:r>
          </w:p>
        </w:tc>
        <w:tc>
          <w:tcPr>
            <w:tcW w:w="443" w:type="pct"/>
            <w:vAlign w:val="center"/>
          </w:tcPr>
          <w:p w14:paraId="038D59D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其他</w:t>
            </w:r>
          </w:p>
        </w:tc>
        <w:tc>
          <w:tcPr>
            <w:tcW w:w="441" w:type="pct"/>
            <w:vAlign w:val="center"/>
          </w:tcPr>
          <w:p w14:paraId="0C3F1F4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盐化</w:t>
            </w:r>
          </w:p>
        </w:tc>
        <w:tc>
          <w:tcPr>
            <w:tcW w:w="441" w:type="pct"/>
            <w:vAlign w:val="center"/>
          </w:tcPr>
          <w:p w14:paraId="05830C1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碱化</w:t>
            </w:r>
          </w:p>
        </w:tc>
        <w:tc>
          <w:tcPr>
            <w:tcW w:w="441" w:type="pct"/>
            <w:vAlign w:val="center"/>
          </w:tcPr>
          <w:p w14:paraId="717CE67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酸化</w:t>
            </w:r>
          </w:p>
        </w:tc>
        <w:tc>
          <w:tcPr>
            <w:tcW w:w="442" w:type="pct"/>
            <w:vAlign w:val="center"/>
          </w:tcPr>
          <w:p w14:paraId="1BE5E94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其他</w:t>
            </w:r>
          </w:p>
        </w:tc>
      </w:tr>
      <w:tr w14:paraId="1B39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7" w:type="pct"/>
            <w:vAlign w:val="center"/>
          </w:tcPr>
          <w:p w14:paraId="31C1B91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运营期</w:t>
            </w:r>
          </w:p>
        </w:tc>
        <w:tc>
          <w:tcPr>
            <w:tcW w:w="733" w:type="pct"/>
            <w:vAlign w:val="center"/>
          </w:tcPr>
          <w:p w14:paraId="3BFDD66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733" w:type="pct"/>
            <w:vAlign w:val="center"/>
          </w:tcPr>
          <w:p w14:paraId="12C3483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733" w:type="pct"/>
            <w:vAlign w:val="center"/>
          </w:tcPr>
          <w:p w14:paraId="3A664CF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r>
              <w:rPr>
                <w:rFonts w:hint="default" w:ascii="Times New Roman" w:hAnsi="Times New Roman" w:eastAsia="宋体" w:cs="Arial"/>
                <w:strike w:val="0"/>
                <w:dstrike w:val="0"/>
                <w:color w:val="auto"/>
                <w:spacing w:val="0"/>
                <w:sz w:val="21"/>
                <w:szCs w:val="24"/>
                <w:highlight w:val="none"/>
                <w:vertAlign w:val="baseline"/>
              </w:rPr>
              <w:t>√</w:t>
            </w:r>
          </w:p>
        </w:tc>
        <w:tc>
          <w:tcPr>
            <w:tcW w:w="443" w:type="pct"/>
            <w:vAlign w:val="center"/>
          </w:tcPr>
          <w:p w14:paraId="145D5C7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1" w:type="pct"/>
            <w:vAlign w:val="center"/>
          </w:tcPr>
          <w:p w14:paraId="4CFB78E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1" w:type="pct"/>
            <w:vAlign w:val="center"/>
          </w:tcPr>
          <w:p w14:paraId="0DBEF70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1" w:type="pct"/>
            <w:vAlign w:val="center"/>
          </w:tcPr>
          <w:p w14:paraId="6629D83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442" w:type="pct"/>
            <w:vAlign w:val="center"/>
          </w:tcPr>
          <w:p w14:paraId="30DD2E8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bl>
    <w:p w14:paraId="343B108C">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default" w:ascii="Times New Roman" w:hAnsi="Times New Roman" w:eastAsia="宋体" w:cs="宋体"/>
          <w:strike w:val="0"/>
          <w:dstrike w:val="0"/>
          <w:color w:val="auto"/>
          <w:spacing w:val="0"/>
          <w:sz w:val="24"/>
          <w:szCs w:val="24"/>
          <w:highlight w:val="none"/>
          <w:lang w:val="en-US" w:eastAsia="zh-CN"/>
        </w:rPr>
        <w:t>2</w:t>
      </w:r>
      <w:r>
        <w:rPr>
          <w:rFonts w:hint="eastAsia" w:ascii="Times New Roman" w:hAnsi="Times New Roman" w:eastAsia="宋体" w:cs="宋体"/>
          <w:strike w:val="0"/>
          <w:dstrike w:val="0"/>
          <w:color w:val="auto"/>
          <w:spacing w:val="0"/>
          <w:sz w:val="24"/>
          <w:szCs w:val="24"/>
          <w:highlight w:val="none"/>
          <w:lang w:val="en-US" w:eastAsia="zh-CN"/>
        </w:rPr>
        <w:t>、污染物影响源及影响因子识别</w:t>
      </w:r>
    </w:p>
    <w:p w14:paraId="02D8E7B9">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本项目正常工况下不会对土壤产生不利影响，对土壤的潜在污染源主要为物料泄漏或污水泄漏</w:t>
      </w:r>
      <w:r>
        <w:rPr>
          <w:rFonts w:hint="eastAsia" w:ascii="Times New Roman" w:hAnsi="Times New Roman" w:eastAsia="宋体" w:cs="宋体"/>
          <w:strike w:val="0"/>
          <w:dstrike w:val="0"/>
          <w:color w:val="auto"/>
          <w:spacing w:val="0"/>
          <w:sz w:val="24"/>
          <w:szCs w:val="24"/>
          <w:highlight w:val="none"/>
          <w:lang w:val="en-US" w:eastAsia="zh-CN"/>
        </w:rPr>
        <w:t>。</w:t>
      </w:r>
    </w:p>
    <w:p w14:paraId="613DAC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w:t>
      </w:r>
      <w:r>
        <w:rPr>
          <w:rFonts w:hint="default" w:ascii="Times New Roman" w:hAnsi="Times New Roman" w:eastAsia="宋体"/>
          <w:b/>
          <w:bCs/>
          <w:strike w:val="0"/>
          <w:dstrike w:val="0"/>
          <w:color w:val="auto"/>
          <w:highlight w:val="none"/>
          <w:lang w:val="en-US" w:eastAsia="zh-CN"/>
        </w:rPr>
        <w:t>5.2-2</w:t>
      </w:r>
      <w:r>
        <w:rPr>
          <w:rFonts w:hint="eastAsia" w:ascii="Times New Roman" w:hAnsi="Times New Roman" w:eastAsia="宋体"/>
          <w:b/>
          <w:bCs/>
          <w:strike w:val="0"/>
          <w:dstrike w:val="0"/>
          <w:color w:val="auto"/>
          <w:highlight w:val="none"/>
          <w:lang w:val="en-US" w:eastAsia="zh-CN"/>
        </w:rPr>
        <w:t>1项目土壤环境影响源及影响因子识别一览表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863"/>
        <w:gridCol w:w="1608"/>
        <w:gridCol w:w="1351"/>
        <w:gridCol w:w="1768"/>
        <w:gridCol w:w="1141"/>
        <w:gridCol w:w="1078"/>
      </w:tblGrid>
      <w:tr w14:paraId="7982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gridSpan w:val="2"/>
            <w:vAlign w:val="center"/>
          </w:tcPr>
          <w:p w14:paraId="5DD407B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污染源</w:t>
            </w:r>
          </w:p>
        </w:tc>
        <w:tc>
          <w:tcPr>
            <w:tcW w:w="943" w:type="pct"/>
            <w:vAlign w:val="center"/>
          </w:tcPr>
          <w:p w14:paraId="5D50948E">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工艺流程/节点</w:t>
            </w:r>
          </w:p>
        </w:tc>
        <w:tc>
          <w:tcPr>
            <w:tcW w:w="792" w:type="pct"/>
            <w:vAlign w:val="center"/>
          </w:tcPr>
          <w:p w14:paraId="2AAFB7D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污染途径</w:t>
            </w:r>
          </w:p>
        </w:tc>
        <w:tc>
          <w:tcPr>
            <w:tcW w:w="1037" w:type="pct"/>
            <w:vAlign w:val="center"/>
          </w:tcPr>
          <w:p w14:paraId="2CDF919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全部污染物指标</w:t>
            </w:r>
          </w:p>
        </w:tc>
        <w:tc>
          <w:tcPr>
            <w:tcW w:w="669" w:type="pct"/>
            <w:vAlign w:val="center"/>
          </w:tcPr>
          <w:p w14:paraId="5812D1E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特征因子</w:t>
            </w:r>
          </w:p>
        </w:tc>
        <w:tc>
          <w:tcPr>
            <w:tcW w:w="632" w:type="pct"/>
            <w:vAlign w:val="center"/>
          </w:tcPr>
          <w:p w14:paraId="6B4344A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备注</w:t>
            </w:r>
          </w:p>
        </w:tc>
      </w:tr>
      <w:tr w14:paraId="0672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restart"/>
            <w:vAlign w:val="center"/>
          </w:tcPr>
          <w:p w14:paraId="78D9C5D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运营期</w:t>
            </w:r>
          </w:p>
        </w:tc>
        <w:tc>
          <w:tcPr>
            <w:tcW w:w="506" w:type="pct"/>
            <w:vMerge w:val="restart"/>
            <w:vAlign w:val="center"/>
          </w:tcPr>
          <w:p w14:paraId="435D60A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储运设施</w:t>
            </w:r>
          </w:p>
        </w:tc>
        <w:tc>
          <w:tcPr>
            <w:tcW w:w="943" w:type="pct"/>
            <w:vMerge w:val="restart"/>
            <w:vAlign w:val="center"/>
          </w:tcPr>
          <w:p w14:paraId="5659B03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r>
              <w:rPr>
                <w:rFonts w:hint="eastAsia" w:ascii="Times New Roman" w:hAnsi="Times New Roman" w:eastAsia="宋体" w:cs="宋体"/>
                <w:strike w:val="0"/>
                <w:dstrike w:val="0"/>
                <w:color w:val="auto"/>
                <w:kern w:val="0"/>
                <w:sz w:val="21"/>
                <w:szCs w:val="20"/>
                <w:lang w:val="en-US" w:eastAsia="zh-CN" w:bidi="ar"/>
              </w:rPr>
              <w:t>黑膜池</w:t>
            </w:r>
          </w:p>
        </w:tc>
        <w:tc>
          <w:tcPr>
            <w:tcW w:w="792" w:type="pct"/>
            <w:vAlign w:val="center"/>
          </w:tcPr>
          <w:p w14:paraId="5F2A3A1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大气降尘</w:t>
            </w:r>
          </w:p>
        </w:tc>
        <w:tc>
          <w:tcPr>
            <w:tcW w:w="1037" w:type="pct"/>
            <w:vAlign w:val="center"/>
          </w:tcPr>
          <w:p w14:paraId="0AA3AF56">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69" w:type="pct"/>
            <w:vAlign w:val="center"/>
          </w:tcPr>
          <w:p w14:paraId="4E6F767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5C36EDDD">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r w14:paraId="5B60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vAlign w:val="center"/>
          </w:tcPr>
          <w:p w14:paraId="2A17580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506" w:type="pct"/>
            <w:vMerge w:val="continue"/>
            <w:vAlign w:val="center"/>
          </w:tcPr>
          <w:p w14:paraId="12C01197">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943" w:type="pct"/>
            <w:vMerge w:val="continue"/>
            <w:vAlign w:val="center"/>
          </w:tcPr>
          <w:p w14:paraId="572E1F3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92" w:type="pct"/>
            <w:vAlign w:val="center"/>
          </w:tcPr>
          <w:p w14:paraId="2A857D49">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地面漫流</w:t>
            </w:r>
          </w:p>
        </w:tc>
        <w:tc>
          <w:tcPr>
            <w:tcW w:w="1037" w:type="pct"/>
            <w:vAlign w:val="center"/>
          </w:tcPr>
          <w:p w14:paraId="22408A03">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69" w:type="pct"/>
            <w:vAlign w:val="center"/>
          </w:tcPr>
          <w:p w14:paraId="5C223A1A">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60BFFAC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r w14:paraId="7CC7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vAlign w:val="center"/>
          </w:tcPr>
          <w:p w14:paraId="6165ACA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506" w:type="pct"/>
            <w:vMerge w:val="continue"/>
            <w:vAlign w:val="center"/>
          </w:tcPr>
          <w:p w14:paraId="6BEA726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943" w:type="pct"/>
            <w:vMerge w:val="continue"/>
            <w:vAlign w:val="center"/>
          </w:tcPr>
          <w:p w14:paraId="09C36F2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92" w:type="pct"/>
            <w:vAlign w:val="center"/>
          </w:tcPr>
          <w:p w14:paraId="63967CFF">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垂直入渗</w:t>
            </w:r>
          </w:p>
        </w:tc>
        <w:tc>
          <w:tcPr>
            <w:tcW w:w="1037" w:type="pct"/>
            <w:vAlign w:val="center"/>
          </w:tcPr>
          <w:p w14:paraId="7C3763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r>
              <w:rPr>
                <w:rFonts w:hint="default" w:ascii="Times New Roman" w:hAnsi="Times New Roman" w:eastAsia="宋体" w:cs="Times New Roman"/>
                <w:strike w:val="0"/>
                <w:dstrike w:val="0"/>
                <w:color w:val="auto"/>
                <w:kern w:val="0"/>
                <w:sz w:val="21"/>
                <w:szCs w:val="20"/>
                <w:lang w:val="en-US" w:eastAsia="zh-CN" w:bidi="ar"/>
              </w:rPr>
              <w:t>COD</w:t>
            </w:r>
            <w:r>
              <w:rPr>
                <w:rFonts w:hint="eastAsia" w:ascii="Times New Roman" w:hAnsi="Times New Roman" w:eastAsia="宋体" w:cs="宋体"/>
                <w:strike w:val="0"/>
                <w:dstrike w:val="0"/>
                <w:color w:val="auto"/>
                <w:kern w:val="0"/>
                <w:sz w:val="21"/>
                <w:szCs w:val="20"/>
                <w:lang w:val="en-US" w:eastAsia="zh-CN" w:bidi="ar"/>
              </w:rPr>
              <w:t>、</w:t>
            </w:r>
            <w:r>
              <w:rPr>
                <w:rFonts w:hint="default" w:ascii="Times New Roman" w:hAnsi="Times New Roman" w:eastAsia="宋体" w:cs="Times New Roman"/>
                <w:strike w:val="0"/>
                <w:dstrike w:val="0"/>
                <w:color w:val="auto"/>
                <w:kern w:val="0"/>
                <w:sz w:val="21"/>
                <w:szCs w:val="20"/>
                <w:lang w:val="en-US" w:eastAsia="zh-CN" w:bidi="ar"/>
              </w:rPr>
              <w:t>BOD</w:t>
            </w:r>
            <w:r>
              <w:rPr>
                <w:rFonts w:hint="eastAsia" w:ascii="Times New Roman" w:hAnsi="Times New Roman" w:eastAsia="宋体" w:cs="宋体"/>
                <w:strike w:val="0"/>
                <w:dstrike w:val="0"/>
                <w:color w:val="auto"/>
                <w:kern w:val="0"/>
                <w:sz w:val="21"/>
                <w:szCs w:val="20"/>
                <w:lang w:val="en-US" w:eastAsia="zh-CN" w:bidi="ar"/>
              </w:rPr>
              <w:t>、</w:t>
            </w:r>
            <w:r>
              <w:rPr>
                <w:rFonts w:hint="default" w:ascii="Times New Roman" w:hAnsi="Times New Roman" w:eastAsia="宋体" w:cs="Times New Roman"/>
                <w:strike w:val="0"/>
                <w:dstrike w:val="0"/>
                <w:color w:val="auto"/>
                <w:kern w:val="0"/>
                <w:sz w:val="21"/>
                <w:szCs w:val="20"/>
                <w:lang w:val="en-US" w:eastAsia="zh-CN" w:bidi="ar"/>
              </w:rPr>
              <w:t>SS</w:t>
            </w:r>
            <w:r>
              <w:rPr>
                <w:rFonts w:hint="eastAsia" w:ascii="Times New Roman" w:hAnsi="Times New Roman" w:eastAsia="宋体" w:cs="宋体"/>
                <w:strike w:val="0"/>
                <w:dstrike w:val="0"/>
                <w:color w:val="auto"/>
                <w:kern w:val="0"/>
                <w:sz w:val="21"/>
                <w:szCs w:val="20"/>
                <w:lang w:val="en-US" w:eastAsia="zh-CN" w:bidi="ar"/>
              </w:rPr>
              <w:t>、氨氮</w:t>
            </w:r>
          </w:p>
        </w:tc>
        <w:tc>
          <w:tcPr>
            <w:tcW w:w="669" w:type="pct"/>
            <w:vAlign w:val="center"/>
          </w:tcPr>
          <w:p w14:paraId="7AC19374">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6E180E80">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default"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事故状态</w:t>
            </w:r>
          </w:p>
        </w:tc>
      </w:tr>
      <w:tr w14:paraId="3CC6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8" w:type="pct"/>
            <w:vMerge w:val="continue"/>
            <w:vAlign w:val="center"/>
          </w:tcPr>
          <w:p w14:paraId="0293A6E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506" w:type="pct"/>
            <w:vMerge w:val="continue"/>
            <w:vAlign w:val="center"/>
          </w:tcPr>
          <w:p w14:paraId="504B2258">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943" w:type="pct"/>
            <w:vMerge w:val="continue"/>
            <w:vAlign w:val="center"/>
          </w:tcPr>
          <w:p w14:paraId="68A942BC">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ascii="Times New Roman" w:hAnsi="Times New Roman" w:eastAsia="宋体" w:cs="宋体"/>
                <w:strike w:val="0"/>
                <w:dstrike w:val="0"/>
                <w:color w:val="auto"/>
                <w:spacing w:val="0"/>
                <w:sz w:val="21"/>
                <w:szCs w:val="24"/>
                <w:highlight w:val="none"/>
                <w:vertAlign w:val="baseline"/>
              </w:rPr>
            </w:pPr>
          </w:p>
        </w:tc>
        <w:tc>
          <w:tcPr>
            <w:tcW w:w="792" w:type="pct"/>
            <w:vAlign w:val="center"/>
          </w:tcPr>
          <w:p w14:paraId="6A63C3F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其他</w:t>
            </w:r>
          </w:p>
        </w:tc>
        <w:tc>
          <w:tcPr>
            <w:tcW w:w="1037" w:type="pct"/>
            <w:vAlign w:val="center"/>
          </w:tcPr>
          <w:p w14:paraId="05709A51">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69" w:type="pct"/>
            <w:vAlign w:val="center"/>
          </w:tcPr>
          <w:p w14:paraId="11EC2AA5">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c>
          <w:tcPr>
            <w:tcW w:w="632" w:type="pct"/>
            <w:vAlign w:val="center"/>
          </w:tcPr>
          <w:p w14:paraId="2BC22BB2">
            <w:pPr>
              <w:keepNext w:val="0"/>
              <w:keepLines w:val="0"/>
              <w:pageBreakBefore w:val="0"/>
              <w:widowControl w:val="0"/>
              <w:kinsoku/>
              <w:wordWrap/>
              <w:overflowPunct/>
              <w:topLinePunct w:val="0"/>
              <w:autoSpaceDE/>
              <w:autoSpaceDN/>
              <w:bidi w:val="0"/>
              <w:adjustRightInd/>
              <w:snapToGrid/>
              <w:spacing w:line="360" w:lineRule="auto"/>
              <w:ind w:right="0" w:firstLine="0" w:firstLineChars="0"/>
              <w:jc w:val="center"/>
              <w:textAlignment w:val="auto"/>
              <w:rPr>
                <w:rFonts w:hint="eastAsia" w:ascii="Times New Roman" w:hAnsi="Times New Roman" w:eastAsia="宋体" w:cs="宋体"/>
                <w:strike w:val="0"/>
                <w:dstrike w:val="0"/>
                <w:color w:val="auto"/>
                <w:spacing w:val="0"/>
                <w:sz w:val="21"/>
                <w:szCs w:val="24"/>
                <w:highlight w:val="none"/>
                <w:vertAlign w:val="baseline"/>
                <w:lang w:val="en-US" w:eastAsia="zh-CN"/>
              </w:rPr>
            </w:pPr>
            <w:r>
              <w:rPr>
                <w:rFonts w:hint="eastAsia" w:ascii="Times New Roman" w:hAnsi="Times New Roman" w:eastAsia="宋体" w:cs="宋体"/>
                <w:strike w:val="0"/>
                <w:dstrike w:val="0"/>
                <w:color w:val="auto"/>
                <w:spacing w:val="0"/>
                <w:sz w:val="21"/>
                <w:szCs w:val="24"/>
                <w:highlight w:val="none"/>
                <w:vertAlign w:val="baseline"/>
                <w:lang w:val="en-US" w:eastAsia="zh-CN"/>
              </w:rPr>
              <w:t>/</w:t>
            </w:r>
          </w:p>
        </w:tc>
      </w:tr>
    </w:tbl>
    <w:p w14:paraId="25315754">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val="en-US" w:eastAsia="zh-CN"/>
        </w:rPr>
        <w:t>5</w:t>
      </w:r>
      <w:r>
        <w:rPr>
          <w:rFonts w:ascii="Times New Roman" w:hAnsi="Times New Roman" w:eastAsia="宋体"/>
          <w:strike w:val="0"/>
          <w:dstrike w:val="0"/>
          <w:color w:val="auto"/>
          <w:highlight w:val="none"/>
        </w:rPr>
        <w:t>.3土壤影响分析</w:t>
      </w:r>
    </w:p>
    <w:p w14:paraId="795F5A8E">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本项目施工期结束后大部分开挖面将由建筑（构）物所取代，工程施工对土壤和生态环境的影响会逐渐降低</w:t>
      </w:r>
      <w:r>
        <w:rPr>
          <w:rFonts w:hint="eastAsia" w:ascii="Times New Roman" w:hAnsi="Times New Roman" w:eastAsia="宋体" w:cs="宋体"/>
          <w:strike w:val="0"/>
          <w:dstrike w:val="0"/>
          <w:color w:val="auto"/>
          <w:spacing w:val="0"/>
          <w:sz w:val="24"/>
          <w:szCs w:val="24"/>
          <w:highlight w:val="none"/>
          <w:lang w:val="en-US" w:eastAsia="zh-CN"/>
        </w:rPr>
        <w:t>。</w:t>
      </w:r>
      <w:r>
        <w:rPr>
          <w:rFonts w:hint="eastAsia" w:ascii="Times New Roman" w:hAnsi="Times New Roman" w:eastAsia="宋体" w:cs="宋体"/>
          <w:strike w:val="0"/>
          <w:dstrike w:val="0"/>
          <w:color w:val="auto"/>
          <w:spacing w:val="0"/>
          <w:sz w:val="24"/>
          <w:szCs w:val="24"/>
          <w:highlight w:val="none"/>
          <w:lang w:val="en-US" w:eastAsia="zh-CN"/>
        </w:rPr>
        <w:t>本项目地面构筑物分布较多，主要管道位于地下，随着植被恢复措施的落实施工期影响消失</w:t>
      </w:r>
      <w:r>
        <w:rPr>
          <w:rFonts w:hint="eastAsia" w:ascii="Times New Roman" w:hAnsi="Times New Roman" w:eastAsia="宋体" w:cs="宋体"/>
          <w:strike w:val="0"/>
          <w:dstrike w:val="0"/>
          <w:color w:val="auto"/>
          <w:spacing w:val="0"/>
          <w:sz w:val="24"/>
          <w:szCs w:val="24"/>
          <w:highlight w:val="none"/>
          <w:lang w:val="en-US" w:eastAsia="zh-CN"/>
        </w:rPr>
        <w:t>。</w:t>
      </w:r>
    </w:p>
    <w:p w14:paraId="1E63BA6E">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本项目运营期对土壤环境的影响主要集中在土壤污染方面，废水、固废的随意排放、累积影响以及事故情况下污水渗漏，均可能会对土壤造成污染</w:t>
      </w:r>
      <w:r>
        <w:rPr>
          <w:rFonts w:hint="eastAsia" w:ascii="Times New Roman" w:hAnsi="Times New Roman" w:eastAsia="宋体" w:cs="宋体"/>
          <w:strike w:val="0"/>
          <w:dstrike w:val="0"/>
          <w:color w:val="auto"/>
          <w:spacing w:val="0"/>
          <w:sz w:val="24"/>
          <w:szCs w:val="24"/>
          <w:highlight w:val="none"/>
          <w:lang w:val="en-US" w:eastAsia="zh-CN"/>
        </w:rPr>
        <w:t>。</w:t>
      </w:r>
      <w:r>
        <w:rPr>
          <w:rFonts w:hint="eastAsia" w:ascii="Times New Roman" w:hAnsi="Times New Roman" w:eastAsia="宋体" w:cs="宋体"/>
          <w:strike w:val="0"/>
          <w:dstrike w:val="0"/>
          <w:color w:val="auto"/>
          <w:spacing w:val="0"/>
          <w:sz w:val="24"/>
          <w:szCs w:val="24"/>
          <w:highlight w:val="none"/>
          <w:lang w:val="en-US" w:eastAsia="zh-CN"/>
        </w:rPr>
        <w:t>本项目废气主要污染因子为</w:t>
      </w:r>
      <w:r>
        <w:rPr>
          <w:rFonts w:hint="default" w:ascii="Times New Roman" w:hAnsi="Times New Roman" w:eastAsia="宋体" w:cs="宋体"/>
          <w:strike w:val="0"/>
          <w:dstrike w:val="0"/>
          <w:color w:val="auto"/>
          <w:spacing w:val="0"/>
          <w:sz w:val="24"/>
          <w:szCs w:val="24"/>
          <w:highlight w:val="none"/>
          <w:lang w:val="en-US" w:eastAsia="zh-CN"/>
        </w:rPr>
        <w:t>H</w:t>
      </w:r>
      <w:r>
        <w:rPr>
          <w:rFonts w:hint="default" w:ascii="Times New Roman" w:hAnsi="Times New Roman" w:eastAsia="宋体" w:cs="宋体"/>
          <w:strike w:val="0"/>
          <w:dstrike w:val="0"/>
          <w:color w:val="auto"/>
          <w:spacing w:val="0"/>
          <w:sz w:val="24"/>
          <w:szCs w:val="24"/>
          <w:highlight w:val="none"/>
          <w:vertAlign w:val="subscript"/>
          <w:lang w:val="en-US" w:eastAsia="zh-CN"/>
        </w:rPr>
        <w:t>2</w:t>
      </w:r>
      <w:r>
        <w:rPr>
          <w:rFonts w:hint="default" w:ascii="Times New Roman" w:hAnsi="Times New Roman" w:eastAsia="宋体" w:cs="宋体"/>
          <w:strike w:val="0"/>
          <w:dstrike w:val="0"/>
          <w:color w:val="auto"/>
          <w:spacing w:val="0"/>
          <w:sz w:val="24"/>
          <w:szCs w:val="24"/>
          <w:highlight w:val="none"/>
          <w:lang w:val="en-US" w:eastAsia="zh-CN"/>
        </w:rPr>
        <w:t>S</w:t>
      </w:r>
      <w:r>
        <w:rPr>
          <w:rFonts w:hint="eastAsia" w:ascii="Times New Roman" w:hAnsi="Times New Roman" w:eastAsia="宋体" w:cs="宋体"/>
          <w:strike w:val="0"/>
          <w:dstrike w:val="0"/>
          <w:color w:val="auto"/>
          <w:spacing w:val="0"/>
          <w:sz w:val="24"/>
          <w:szCs w:val="24"/>
          <w:highlight w:val="none"/>
          <w:lang w:val="en-US" w:eastAsia="zh-CN"/>
        </w:rPr>
        <w:t>和</w:t>
      </w:r>
      <w:r>
        <w:rPr>
          <w:rFonts w:hint="default" w:ascii="Times New Roman" w:hAnsi="Times New Roman" w:eastAsia="宋体" w:cs="宋体"/>
          <w:strike w:val="0"/>
          <w:dstrike w:val="0"/>
          <w:color w:val="auto"/>
          <w:spacing w:val="0"/>
          <w:sz w:val="24"/>
          <w:szCs w:val="24"/>
          <w:highlight w:val="none"/>
          <w:lang w:val="en-US" w:eastAsia="zh-CN"/>
        </w:rPr>
        <w:t>NH</w:t>
      </w:r>
      <w:r>
        <w:rPr>
          <w:rFonts w:hint="default" w:ascii="Times New Roman" w:hAnsi="Times New Roman" w:eastAsia="宋体" w:cs="宋体"/>
          <w:strike w:val="0"/>
          <w:dstrike w:val="0"/>
          <w:color w:val="auto"/>
          <w:spacing w:val="0"/>
          <w:sz w:val="24"/>
          <w:szCs w:val="24"/>
          <w:highlight w:val="none"/>
          <w:vertAlign w:val="subscript"/>
          <w:lang w:val="en-US" w:eastAsia="zh-CN"/>
        </w:rPr>
        <w:t>3</w:t>
      </w:r>
      <w:r>
        <w:rPr>
          <w:rFonts w:hint="eastAsia" w:ascii="Times New Roman" w:hAnsi="Times New Roman" w:eastAsia="宋体" w:cs="宋体"/>
          <w:strike w:val="0"/>
          <w:dstrike w:val="0"/>
          <w:color w:val="auto"/>
          <w:spacing w:val="0"/>
          <w:sz w:val="24"/>
          <w:szCs w:val="24"/>
          <w:highlight w:val="none"/>
          <w:lang w:val="en-US" w:eastAsia="zh-CN"/>
        </w:rPr>
        <w:t>，排放量较少</w:t>
      </w:r>
      <w:r>
        <w:rPr>
          <w:rFonts w:hint="eastAsia" w:ascii="Times New Roman" w:hAnsi="Times New Roman" w:eastAsia="宋体" w:cs="宋体"/>
          <w:strike w:val="0"/>
          <w:dstrike w:val="0"/>
          <w:color w:val="auto"/>
          <w:spacing w:val="0"/>
          <w:sz w:val="24"/>
          <w:szCs w:val="24"/>
          <w:highlight w:val="none"/>
          <w:lang w:val="en-US" w:eastAsia="zh-CN"/>
        </w:rPr>
        <w:t>。</w:t>
      </w:r>
      <w:r>
        <w:rPr>
          <w:rFonts w:hint="eastAsia" w:ascii="Times New Roman" w:hAnsi="Times New Roman" w:eastAsia="宋体" w:cs="宋体"/>
          <w:strike w:val="0"/>
          <w:dstrike w:val="0"/>
          <w:color w:val="auto"/>
          <w:spacing w:val="0"/>
          <w:sz w:val="24"/>
          <w:szCs w:val="24"/>
          <w:highlight w:val="none"/>
          <w:lang w:val="en-US" w:eastAsia="zh-CN"/>
        </w:rPr>
        <w:t>该类废气污染因子大部分在空气中会与尘埃等颗粒物结合或被其他物质分解，极少量会降落至地面，随着时间的推移被土壤自行分解，不会发生富集现象，因此，废气对土壤环境影响很小</w:t>
      </w:r>
      <w:r>
        <w:rPr>
          <w:rFonts w:hint="eastAsia" w:ascii="Times New Roman" w:hAnsi="Times New Roman" w:eastAsia="宋体" w:cs="宋体"/>
          <w:strike w:val="0"/>
          <w:dstrike w:val="0"/>
          <w:color w:val="auto"/>
          <w:spacing w:val="0"/>
          <w:sz w:val="24"/>
          <w:szCs w:val="24"/>
          <w:highlight w:val="none"/>
          <w:lang w:val="en-US" w:eastAsia="zh-CN"/>
        </w:rPr>
        <w:t>。</w:t>
      </w:r>
    </w:p>
    <w:p w14:paraId="77498DB6">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ascii="Times New Roman" w:hAnsi="Times New Roman" w:eastAsia="宋体" w:cs="宋体"/>
          <w:strike w:val="0"/>
          <w:dstrike w:val="0"/>
          <w:color w:val="auto"/>
          <w:spacing w:val="0"/>
          <w:sz w:val="24"/>
          <w:szCs w:val="24"/>
          <w:highlight w:val="none"/>
        </w:rPr>
      </w:pPr>
      <w:r>
        <w:rPr>
          <w:rFonts w:hint="eastAsia" w:ascii="Times New Roman" w:hAnsi="Times New Roman" w:eastAsia="宋体" w:cs="宋体"/>
          <w:strike w:val="0"/>
          <w:dstrike w:val="0"/>
          <w:color w:val="auto"/>
          <w:spacing w:val="0"/>
          <w:sz w:val="24"/>
          <w:szCs w:val="24"/>
          <w:highlight w:val="none"/>
          <w:lang w:val="en-US" w:eastAsia="zh-CN"/>
        </w:rPr>
        <w:t>本项目废水主要为</w:t>
      </w:r>
      <w:r>
        <w:rPr>
          <w:rFonts w:hint="eastAsia" w:ascii="Times New Roman" w:hAnsi="Times New Roman" w:eastAsia="宋体" w:cs="宋体"/>
          <w:strike w:val="0"/>
          <w:dstrike w:val="0"/>
          <w:color w:val="auto"/>
          <w:spacing w:val="0"/>
          <w:sz w:val="24"/>
          <w:szCs w:val="24"/>
          <w:highlight w:val="none"/>
          <w:lang w:val="en-US" w:eastAsia="zh-CN"/>
        </w:rPr>
        <w:t>生活污水和生产废水</w:t>
      </w:r>
      <w:r>
        <w:rPr>
          <w:rFonts w:hint="eastAsia" w:ascii="Times New Roman" w:hAnsi="Times New Roman" w:eastAsia="宋体" w:cs="宋体"/>
          <w:strike w:val="0"/>
          <w:dstrike w:val="0"/>
          <w:color w:val="auto"/>
          <w:spacing w:val="0"/>
          <w:sz w:val="24"/>
          <w:szCs w:val="24"/>
          <w:highlight w:val="none"/>
          <w:lang w:val="en-US" w:eastAsia="zh-CN"/>
        </w:rPr>
        <w:t>，主要污染因子</w:t>
      </w:r>
      <w:r>
        <w:rPr>
          <w:rFonts w:hint="default" w:ascii="Times New Roman" w:hAnsi="Times New Roman" w:eastAsia="宋体" w:cs="宋体"/>
          <w:strike w:val="0"/>
          <w:dstrike w:val="0"/>
          <w:color w:val="auto"/>
          <w:spacing w:val="0"/>
          <w:sz w:val="24"/>
          <w:szCs w:val="24"/>
          <w:highlight w:val="none"/>
          <w:lang w:val="en-US" w:eastAsia="zh-CN"/>
        </w:rPr>
        <w:t>pH</w:t>
      </w:r>
      <w:r>
        <w:rPr>
          <w:rFonts w:hint="eastAsia" w:ascii="Times New Roman" w:hAnsi="Times New Roman" w:eastAsia="宋体" w:cs="宋体"/>
          <w:strike w:val="0"/>
          <w:dstrike w:val="0"/>
          <w:color w:val="auto"/>
          <w:spacing w:val="0"/>
          <w:sz w:val="24"/>
          <w:szCs w:val="24"/>
          <w:highlight w:val="none"/>
          <w:lang w:val="en-US" w:eastAsia="zh-CN"/>
        </w:rPr>
        <w:t>、</w:t>
      </w:r>
      <w:r>
        <w:rPr>
          <w:rFonts w:hint="default" w:ascii="Times New Roman" w:hAnsi="Times New Roman" w:eastAsia="宋体" w:cs="宋体"/>
          <w:strike w:val="0"/>
          <w:dstrike w:val="0"/>
          <w:color w:val="auto"/>
          <w:spacing w:val="0"/>
          <w:sz w:val="24"/>
          <w:szCs w:val="24"/>
          <w:highlight w:val="none"/>
          <w:lang w:val="en-US" w:eastAsia="zh-CN"/>
        </w:rPr>
        <w:t>COD</w:t>
      </w:r>
      <w:r>
        <w:rPr>
          <w:rFonts w:hint="eastAsia" w:ascii="Times New Roman" w:hAnsi="Times New Roman" w:eastAsia="宋体" w:cs="宋体"/>
          <w:strike w:val="0"/>
          <w:dstrike w:val="0"/>
          <w:color w:val="auto"/>
          <w:spacing w:val="0"/>
          <w:sz w:val="24"/>
          <w:szCs w:val="24"/>
          <w:highlight w:val="none"/>
          <w:lang w:val="en-US" w:eastAsia="zh-CN"/>
        </w:rPr>
        <w:t>、</w:t>
      </w:r>
      <w:r>
        <w:rPr>
          <w:rFonts w:hint="default" w:ascii="Times New Roman" w:hAnsi="Times New Roman" w:eastAsia="宋体" w:cs="宋体"/>
          <w:strike w:val="0"/>
          <w:dstrike w:val="0"/>
          <w:color w:val="auto"/>
          <w:spacing w:val="0"/>
          <w:sz w:val="24"/>
          <w:szCs w:val="24"/>
          <w:highlight w:val="none"/>
          <w:lang w:val="en-US" w:eastAsia="zh-CN"/>
        </w:rPr>
        <w:t>BOD</w:t>
      </w:r>
      <w:r>
        <w:rPr>
          <w:rFonts w:hint="default" w:ascii="Times New Roman" w:hAnsi="Times New Roman" w:eastAsia="宋体" w:cs="宋体"/>
          <w:strike w:val="0"/>
          <w:dstrike w:val="0"/>
          <w:color w:val="auto"/>
          <w:spacing w:val="0"/>
          <w:sz w:val="24"/>
          <w:szCs w:val="24"/>
          <w:highlight w:val="none"/>
          <w:vertAlign w:val="subscript"/>
          <w:lang w:val="en-US" w:eastAsia="zh-CN"/>
        </w:rPr>
        <w:t>5</w:t>
      </w:r>
      <w:r>
        <w:rPr>
          <w:rFonts w:hint="eastAsia" w:ascii="Times New Roman" w:hAnsi="Times New Roman" w:eastAsia="宋体" w:cs="宋体"/>
          <w:strike w:val="0"/>
          <w:dstrike w:val="0"/>
          <w:color w:val="auto"/>
          <w:spacing w:val="0"/>
          <w:sz w:val="24"/>
          <w:szCs w:val="24"/>
          <w:highlight w:val="none"/>
          <w:lang w:val="en-US" w:eastAsia="zh-CN"/>
        </w:rPr>
        <w:t>、氨氮等</w:t>
      </w:r>
      <w:r>
        <w:rPr>
          <w:rFonts w:hint="eastAsia" w:ascii="Times New Roman" w:hAnsi="Times New Roman" w:eastAsia="宋体" w:cs="宋体"/>
          <w:strike w:val="0"/>
          <w:dstrike w:val="0"/>
          <w:color w:val="auto"/>
          <w:spacing w:val="0"/>
          <w:sz w:val="24"/>
          <w:szCs w:val="24"/>
          <w:highlight w:val="none"/>
          <w:lang w:val="en-US" w:eastAsia="zh-CN"/>
        </w:rPr>
        <w:t>。</w:t>
      </w:r>
      <w:r>
        <w:rPr>
          <w:rFonts w:hint="eastAsia" w:ascii="Times New Roman" w:hAnsi="Times New Roman" w:eastAsia="宋体" w:cs="宋体"/>
          <w:strike w:val="0"/>
          <w:dstrike w:val="0"/>
          <w:color w:val="auto"/>
          <w:spacing w:val="0"/>
          <w:sz w:val="24"/>
          <w:szCs w:val="24"/>
          <w:highlight w:val="none"/>
          <w:lang w:val="en-US" w:eastAsia="zh-CN"/>
        </w:rPr>
        <w:t>全厂严格按照设计规范要求采取防渗措施，将少量跑冒滴漏的渗漏废水污染物截留，正常情况下不会污染土壤；如若发生防渗失效等非正常情况，污染物可能会透过防渗层从而污染土壤</w:t>
      </w:r>
      <w:r>
        <w:rPr>
          <w:rFonts w:hint="eastAsia" w:ascii="Times New Roman" w:hAnsi="Times New Roman" w:eastAsia="宋体" w:cs="宋体"/>
          <w:strike w:val="0"/>
          <w:dstrike w:val="0"/>
          <w:color w:val="auto"/>
          <w:spacing w:val="0"/>
          <w:sz w:val="24"/>
          <w:szCs w:val="24"/>
          <w:highlight w:val="none"/>
          <w:lang w:val="en-US" w:eastAsia="zh-CN"/>
        </w:rPr>
        <w:t>。</w:t>
      </w:r>
      <w:r>
        <w:rPr>
          <w:rFonts w:hint="eastAsia" w:ascii="Times New Roman" w:hAnsi="Times New Roman" w:eastAsia="宋体" w:cs="宋体"/>
          <w:strike w:val="0"/>
          <w:dstrike w:val="0"/>
          <w:color w:val="auto"/>
          <w:spacing w:val="0"/>
          <w:sz w:val="24"/>
          <w:szCs w:val="24"/>
          <w:highlight w:val="none"/>
          <w:lang w:val="en-US" w:eastAsia="zh-CN"/>
        </w:rPr>
        <w:t>因此建设单位应该采取严格有效的防渗及应急措施，一旦发生非正常情况，立即采取相应的应急处理措施，切断污染源，将事故影响减小至最低</w:t>
      </w:r>
      <w:r>
        <w:rPr>
          <w:rFonts w:hint="eastAsia" w:ascii="Times New Roman" w:hAnsi="Times New Roman" w:eastAsia="宋体" w:cs="宋体"/>
          <w:strike w:val="0"/>
          <w:dstrike w:val="0"/>
          <w:color w:val="auto"/>
          <w:spacing w:val="0"/>
          <w:sz w:val="24"/>
          <w:szCs w:val="24"/>
          <w:highlight w:val="none"/>
          <w:lang w:val="en-US" w:eastAsia="zh-CN"/>
        </w:rPr>
        <w:t>。</w:t>
      </w:r>
    </w:p>
    <w:p w14:paraId="44D22F96">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hint="eastAsia" w:ascii="Times New Roman" w:hAnsi="Times New Roman" w:eastAsia="宋体" w:cs="宋体"/>
          <w:strike w:val="0"/>
          <w:dstrike w:val="0"/>
          <w:color w:val="auto"/>
          <w:spacing w:val="0"/>
          <w:sz w:val="24"/>
          <w:szCs w:val="24"/>
          <w:highlight w:val="none"/>
          <w:lang w:eastAsia="zh-CN"/>
        </w:rPr>
        <w:t>本项目生活污水和生产废水经黑膜池发酵处理后用于项目区周边林带施肥。</w:t>
      </w:r>
      <w:r>
        <w:rPr>
          <w:rFonts w:ascii="Times New Roman" w:hAnsi="Times New Roman" w:eastAsia="宋体" w:cs="宋体"/>
          <w:strike w:val="0"/>
          <w:dstrike w:val="0"/>
          <w:color w:val="auto"/>
          <w:spacing w:val="0"/>
          <w:sz w:val="24"/>
          <w:szCs w:val="24"/>
          <w:highlight w:val="none"/>
        </w:rPr>
        <w:t>通过评价分析，本项目产生的废水不会对土壤环境造成大的影响</w:t>
      </w:r>
      <w:r>
        <w:rPr>
          <w:rFonts w:hint="eastAsia" w:ascii="Times New Roman" w:hAnsi="Times New Roman" w:eastAsia="宋体" w:cs="宋体"/>
          <w:strike w:val="0"/>
          <w:dstrike w:val="0"/>
          <w:color w:val="auto"/>
          <w:spacing w:val="0"/>
          <w:sz w:val="24"/>
          <w:szCs w:val="24"/>
          <w:highlight w:val="none"/>
          <w:lang w:eastAsia="zh-CN"/>
        </w:rPr>
        <w:t>。</w:t>
      </w:r>
    </w:p>
    <w:p w14:paraId="12C0E393">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因此企业要严格实施环评提及的各项废水、固废防治措施治理，实现污水、固废的零排放，使其对周围土壤环境影响降至最低</w:t>
      </w:r>
      <w:r>
        <w:rPr>
          <w:rFonts w:hint="eastAsia" w:ascii="Times New Roman" w:hAnsi="Times New Roman" w:eastAsia="宋体" w:cs="宋体"/>
          <w:strike w:val="0"/>
          <w:dstrike w:val="0"/>
          <w:color w:val="auto"/>
          <w:spacing w:val="0"/>
          <w:sz w:val="24"/>
          <w:szCs w:val="24"/>
          <w:highlight w:val="none"/>
          <w:lang w:eastAsia="zh-CN"/>
        </w:rPr>
        <w:t>。</w:t>
      </w:r>
    </w:p>
    <w:p w14:paraId="7728D721">
      <w:pPr>
        <w:keepNext w:val="0"/>
        <w:keepLines w:val="0"/>
        <w:pageBreakBefore w:val="0"/>
        <w:widowControl w:val="0"/>
        <w:kinsoku/>
        <w:wordWrap/>
        <w:overflowPunct/>
        <w:topLinePunct w:val="0"/>
        <w:autoSpaceDE/>
        <w:autoSpaceDN/>
        <w:bidi w:val="0"/>
        <w:adjustRightInd/>
        <w:snapToGrid/>
        <w:spacing w:line="360" w:lineRule="auto"/>
        <w:ind w:left="0" w:right="0" w:firstLine="480"/>
        <w:textAlignment w:val="auto"/>
        <w:rPr>
          <w:rFonts w:hint="eastAsia" w:ascii="Times New Roman" w:hAnsi="Times New Roman" w:eastAsia="宋体" w:cs="宋体"/>
          <w:strike w:val="0"/>
          <w:dstrike w:val="0"/>
          <w:color w:val="auto"/>
          <w:spacing w:val="0"/>
          <w:sz w:val="24"/>
          <w:szCs w:val="24"/>
          <w:highlight w:val="none"/>
          <w:lang w:eastAsia="zh-CN"/>
        </w:rPr>
      </w:pPr>
      <w:r>
        <w:rPr>
          <w:rFonts w:ascii="Times New Roman" w:hAnsi="Times New Roman" w:eastAsia="宋体" w:cs="宋体"/>
          <w:strike w:val="0"/>
          <w:dstrike w:val="0"/>
          <w:color w:val="auto"/>
          <w:spacing w:val="0"/>
          <w:sz w:val="24"/>
          <w:szCs w:val="24"/>
          <w:highlight w:val="none"/>
        </w:rPr>
        <w:t>土壤环境影响评价自查表见表</w:t>
      </w:r>
      <w:r>
        <w:rPr>
          <w:rFonts w:hint="eastAsia" w:ascii="Times New Roman" w:hAnsi="Times New Roman" w:eastAsia="宋体" w:cs="宋体"/>
          <w:strike w:val="0"/>
          <w:dstrike w:val="0"/>
          <w:color w:val="auto"/>
          <w:spacing w:val="0"/>
          <w:sz w:val="24"/>
          <w:szCs w:val="24"/>
          <w:highlight w:val="none"/>
          <w:lang w:val="en-US" w:eastAsia="zh-CN"/>
        </w:rPr>
        <w:t>5</w:t>
      </w:r>
      <w:r>
        <w:rPr>
          <w:rFonts w:ascii="Times New Roman" w:hAnsi="Times New Roman" w:eastAsia="宋体" w:cs="宋体"/>
          <w:strike w:val="0"/>
          <w:dstrike w:val="0"/>
          <w:color w:val="auto"/>
          <w:spacing w:val="0"/>
          <w:sz w:val="24"/>
          <w:szCs w:val="24"/>
          <w:highlight w:val="none"/>
        </w:rPr>
        <w:t>.2-</w:t>
      </w:r>
      <w:r>
        <w:rPr>
          <w:rFonts w:hint="eastAsia" w:ascii="Times New Roman" w:hAnsi="Times New Roman" w:eastAsia="宋体" w:cs="宋体"/>
          <w:strike w:val="0"/>
          <w:dstrike w:val="0"/>
          <w:color w:val="auto"/>
          <w:spacing w:val="0"/>
          <w:sz w:val="24"/>
          <w:szCs w:val="24"/>
          <w:highlight w:val="none"/>
          <w:lang w:val="en-US" w:eastAsia="zh-CN"/>
        </w:rPr>
        <w:t>22</w:t>
      </w:r>
      <w:r>
        <w:rPr>
          <w:rFonts w:hint="eastAsia" w:ascii="Times New Roman" w:hAnsi="Times New Roman" w:eastAsia="宋体" w:cs="宋体"/>
          <w:strike w:val="0"/>
          <w:dstrike w:val="0"/>
          <w:color w:val="auto"/>
          <w:spacing w:val="0"/>
          <w:sz w:val="24"/>
          <w:szCs w:val="24"/>
          <w:highlight w:val="none"/>
          <w:lang w:eastAsia="zh-CN"/>
        </w:rPr>
        <w:t>。</w:t>
      </w:r>
    </w:p>
    <w:p w14:paraId="6645F0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表5.2-22土壤环境影响评价自查表</w:t>
      </w:r>
    </w:p>
    <w:tbl>
      <w:tblPr>
        <w:tblStyle w:val="183"/>
        <w:tblW w:w="499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4"/>
        <w:gridCol w:w="1484"/>
        <w:gridCol w:w="1248"/>
        <w:gridCol w:w="1351"/>
        <w:gridCol w:w="954"/>
        <w:gridCol w:w="382"/>
        <w:gridCol w:w="1376"/>
        <w:gridCol w:w="1021"/>
      </w:tblGrid>
      <w:tr w14:paraId="6A22C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1190" w:type="pct"/>
            <w:gridSpan w:val="2"/>
            <w:tcBorders>
              <w:tl2br w:val="nil"/>
              <w:tr2bl w:val="nil"/>
            </w:tcBorders>
            <w:vAlign w:val="center"/>
          </w:tcPr>
          <w:p w14:paraId="0EF16D2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工作内容</w:t>
            </w:r>
          </w:p>
        </w:tc>
        <w:tc>
          <w:tcPr>
            <w:tcW w:w="3196" w:type="pct"/>
            <w:gridSpan w:val="5"/>
            <w:tcBorders>
              <w:tl2br w:val="nil"/>
              <w:tr2bl w:val="nil"/>
            </w:tcBorders>
            <w:vAlign w:val="center"/>
          </w:tcPr>
          <w:p w14:paraId="3DF2E2E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完成情况</w:t>
            </w:r>
          </w:p>
        </w:tc>
        <w:tc>
          <w:tcPr>
            <w:tcW w:w="613" w:type="pct"/>
            <w:tcBorders>
              <w:tl2br w:val="nil"/>
              <w:tr2bl w:val="nil"/>
            </w:tcBorders>
            <w:vAlign w:val="center"/>
          </w:tcPr>
          <w:p w14:paraId="6510AB5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备注</w:t>
            </w:r>
          </w:p>
        </w:tc>
      </w:tr>
      <w:tr w14:paraId="2561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restart"/>
            <w:tcBorders>
              <w:tl2br w:val="nil"/>
              <w:tr2bl w:val="nil"/>
            </w:tcBorders>
            <w:vAlign w:val="center"/>
          </w:tcPr>
          <w:p w14:paraId="205C02A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影响识别</w:t>
            </w:r>
          </w:p>
        </w:tc>
        <w:tc>
          <w:tcPr>
            <w:tcW w:w="892" w:type="pct"/>
            <w:tcBorders>
              <w:tl2br w:val="nil"/>
              <w:tr2bl w:val="nil"/>
            </w:tcBorders>
            <w:vAlign w:val="center"/>
          </w:tcPr>
          <w:p w14:paraId="465FD37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影响类型</w:t>
            </w:r>
          </w:p>
        </w:tc>
        <w:tc>
          <w:tcPr>
            <w:tcW w:w="3196" w:type="pct"/>
            <w:gridSpan w:val="5"/>
            <w:tcBorders>
              <w:tl2br w:val="nil"/>
              <w:tr2bl w:val="nil"/>
            </w:tcBorders>
            <w:vAlign w:val="center"/>
          </w:tcPr>
          <w:p w14:paraId="0170565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污染影响型</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；生态影响型</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；两种兼有</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0734644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00AB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119582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1EE144E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土地利用类型</w:t>
            </w:r>
          </w:p>
        </w:tc>
        <w:tc>
          <w:tcPr>
            <w:tcW w:w="3196" w:type="pct"/>
            <w:gridSpan w:val="5"/>
            <w:tcBorders>
              <w:tl2br w:val="nil"/>
              <w:tr2bl w:val="nil"/>
            </w:tcBorders>
            <w:vAlign w:val="center"/>
          </w:tcPr>
          <w:p w14:paraId="27391D7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建设用地</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；农用地</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；未利用地</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5FA2EE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6E02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continue"/>
            <w:tcBorders>
              <w:tl2br w:val="nil"/>
              <w:tr2bl w:val="nil"/>
            </w:tcBorders>
            <w:textDirection w:val="tbRlV"/>
            <w:vAlign w:val="center"/>
          </w:tcPr>
          <w:p w14:paraId="41CCE68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7344DD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占地规模</w:t>
            </w:r>
          </w:p>
        </w:tc>
        <w:tc>
          <w:tcPr>
            <w:tcW w:w="3196" w:type="pct"/>
            <w:gridSpan w:val="5"/>
            <w:tcBorders>
              <w:tl2br w:val="nil"/>
              <w:tr2bl w:val="nil"/>
            </w:tcBorders>
            <w:vAlign w:val="center"/>
          </w:tcPr>
          <w:p w14:paraId="690FF8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13.487</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hm</w:t>
            </w:r>
            <w:r>
              <w:rPr>
                <w:rFonts w:ascii="Times New Roman" w:hAnsi="Times New Roman" w:eastAsia="宋体" w:cs="Times New Roman"/>
                <w:strike w:val="0"/>
                <w:dstrike w:val="0"/>
                <w:color w:val="auto"/>
                <w:spacing w:val="0"/>
                <w:position w:val="0"/>
                <w:sz w:val="21"/>
                <w:szCs w:val="21"/>
                <w:highlight w:val="none"/>
                <w:vertAlign w:val="superscript"/>
              </w:rPr>
              <w:t>2</w:t>
            </w:r>
          </w:p>
        </w:tc>
        <w:tc>
          <w:tcPr>
            <w:tcW w:w="613" w:type="pct"/>
            <w:tcBorders>
              <w:tl2br w:val="nil"/>
              <w:tr2bl w:val="nil"/>
            </w:tcBorders>
            <w:vAlign w:val="center"/>
          </w:tcPr>
          <w:p w14:paraId="0C41DF3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90E97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1AB455E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1C204B5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敏感目标信息</w:t>
            </w:r>
          </w:p>
        </w:tc>
        <w:tc>
          <w:tcPr>
            <w:tcW w:w="3196" w:type="pct"/>
            <w:gridSpan w:val="5"/>
            <w:tcBorders>
              <w:tl2br w:val="nil"/>
              <w:tr2bl w:val="nil"/>
            </w:tcBorders>
            <w:vAlign w:val="center"/>
          </w:tcPr>
          <w:p w14:paraId="21E1C11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敏感目标</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、方位</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、距离</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4827EC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92D9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97" w:type="pct"/>
            <w:vMerge w:val="continue"/>
            <w:tcBorders>
              <w:tl2br w:val="nil"/>
              <w:tr2bl w:val="nil"/>
            </w:tcBorders>
            <w:textDirection w:val="tbRlV"/>
            <w:vAlign w:val="center"/>
          </w:tcPr>
          <w:p w14:paraId="7BC817C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2A470C0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影响途径</w:t>
            </w:r>
          </w:p>
        </w:tc>
        <w:tc>
          <w:tcPr>
            <w:tcW w:w="3196" w:type="pct"/>
            <w:gridSpan w:val="5"/>
            <w:tcBorders>
              <w:tl2br w:val="nil"/>
              <w:tr2bl w:val="nil"/>
            </w:tcBorders>
            <w:vAlign w:val="center"/>
          </w:tcPr>
          <w:p w14:paraId="1040790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大气沉降</w:t>
            </w:r>
            <w:r>
              <w:rPr>
                <w:rFonts w:hint="eastAsia" w:ascii="Times New Roman" w:hAnsi="Times New Roman" w:eastAsia="宋体" w:cs="MS Gothic"/>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；地面漫流</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；垂直入渗</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；地下水位</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598F12F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D7E5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297" w:type="pct"/>
            <w:vMerge w:val="continue"/>
            <w:tcBorders>
              <w:tl2br w:val="nil"/>
              <w:tr2bl w:val="nil"/>
            </w:tcBorders>
            <w:textDirection w:val="tbRlV"/>
            <w:vAlign w:val="center"/>
          </w:tcPr>
          <w:p w14:paraId="16EDD4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791710E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全部污染物</w:t>
            </w:r>
          </w:p>
        </w:tc>
        <w:tc>
          <w:tcPr>
            <w:tcW w:w="3196" w:type="pct"/>
            <w:gridSpan w:val="5"/>
            <w:tcBorders>
              <w:tl2br w:val="nil"/>
              <w:tr2bl w:val="nil"/>
            </w:tcBorders>
            <w:vAlign w:val="center"/>
          </w:tcPr>
          <w:p w14:paraId="55C70D4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06B8FDC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BD96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297" w:type="pct"/>
            <w:vMerge w:val="continue"/>
            <w:tcBorders>
              <w:tl2br w:val="nil"/>
              <w:tr2bl w:val="nil"/>
            </w:tcBorders>
            <w:textDirection w:val="tbRlV"/>
            <w:vAlign w:val="center"/>
          </w:tcPr>
          <w:p w14:paraId="56F3A99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50C9AB9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特征因子</w:t>
            </w:r>
          </w:p>
        </w:tc>
        <w:tc>
          <w:tcPr>
            <w:tcW w:w="3196" w:type="pct"/>
            <w:gridSpan w:val="5"/>
            <w:tcBorders>
              <w:tl2br w:val="nil"/>
              <w:tr2bl w:val="nil"/>
            </w:tcBorders>
            <w:vAlign w:val="center"/>
          </w:tcPr>
          <w:p w14:paraId="242FE28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1F1A86B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C682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jc w:val="center"/>
        </w:trPr>
        <w:tc>
          <w:tcPr>
            <w:tcW w:w="297" w:type="pct"/>
            <w:vMerge w:val="continue"/>
            <w:tcBorders>
              <w:tl2br w:val="nil"/>
              <w:tr2bl w:val="nil"/>
            </w:tcBorders>
            <w:textDirection w:val="tbRlV"/>
            <w:vAlign w:val="center"/>
          </w:tcPr>
          <w:p w14:paraId="035723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1C1B96E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所属土壤环境</w:t>
            </w:r>
          </w:p>
          <w:p w14:paraId="5A412FC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影响评价项目</w:t>
            </w:r>
          </w:p>
          <w:p w14:paraId="476871D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类别</w:t>
            </w:r>
          </w:p>
        </w:tc>
        <w:tc>
          <w:tcPr>
            <w:tcW w:w="3196" w:type="pct"/>
            <w:gridSpan w:val="5"/>
            <w:tcBorders>
              <w:tl2br w:val="nil"/>
              <w:tr2bl w:val="nil"/>
            </w:tcBorders>
            <w:vAlign w:val="center"/>
          </w:tcPr>
          <w:p w14:paraId="0D5C73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p w14:paraId="19E5AC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Ⅰ类</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；Ⅱ类</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；Ⅲ类</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；Ⅳ类</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4960981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E1F8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1010E3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75036DB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敏感程度</w:t>
            </w:r>
          </w:p>
        </w:tc>
        <w:tc>
          <w:tcPr>
            <w:tcW w:w="3196" w:type="pct"/>
            <w:gridSpan w:val="5"/>
            <w:tcBorders>
              <w:tl2br w:val="nil"/>
              <w:tr2bl w:val="nil"/>
            </w:tcBorders>
            <w:vAlign w:val="center"/>
          </w:tcPr>
          <w:p w14:paraId="3648BA7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敏感</w:t>
            </w:r>
            <w:r>
              <w:rPr>
                <w:rFonts w:hint="eastAsia" w:ascii="Times New Roman" w:hAnsi="Times New Roman" w:eastAsia="宋体" w:cs="MS Gothic"/>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；较敏感</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；不敏感</w:t>
            </w:r>
            <w:r>
              <w:rPr>
                <w:rFonts w:hint="eastAsia" w:ascii="Times New Roman" w:hAnsi="Times New Roman" w:eastAsia="宋体" w:cs="Times New Roman"/>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74E52EC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AAA9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190" w:type="pct"/>
            <w:gridSpan w:val="2"/>
            <w:tcBorders>
              <w:tl2br w:val="nil"/>
              <w:tr2bl w:val="nil"/>
            </w:tcBorders>
            <w:vAlign w:val="center"/>
          </w:tcPr>
          <w:p w14:paraId="79E4C6C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评价工作等级</w:t>
            </w:r>
          </w:p>
        </w:tc>
        <w:tc>
          <w:tcPr>
            <w:tcW w:w="3196" w:type="pct"/>
            <w:gridSpan w:val="5"/>
            <w:tcBorders>
              <w:tl2br w:val="nil"/>
              <w:tr2bl w:val="nil"/>
            </w:tcBorders>
            <w:vAlign w:val="center"/>
          </w:tcPr>
          <w:p w14:paraId="58F95C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Segoe UI Symbol"/>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一级</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；二级</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；三级</w:t>
            </w:r>
            <w:r>
              <w:rPr>
                <w:rFonts w:ascii="Times New Roman" w:hAnsi="Times New Roman" w:eastAsia="宋体" w:cs="Segoe UI Symbol"/>
                <w:strike w:val="0"/>
                <w:dstrike w:val="0"/>
                <w:color w:val="auto"/>
                <w:spacing w:val="0"/>
                <w:position w:val="0"/>
                <w:sz w:val="21"/>
                <w:szCs w:val="21"/>
                <w:highlight w:val="none"/>
              </w:rPr>
              <w:t>☑</w:t>
            </w:r>
          </w:p>
        </w:tc>
        <w:tc>
          <w:tcPr>
            <w:tcW w:w="613" w:type="pct"/>
            <w:tcBorders>
              <w:tl2br w:val="nil"/>
              <w:tr2bl w:val="nil"/>
            </w:tcBorders>
            <w:vAlign w:val="center"/>
          </w:tcPr>
          <w:p w14:paraId="2EAA60F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FD31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restart"/>
            <w:tcBorders>
              <w:tl2br w:val="nil"/>
              <w:tr2bl w:val="nil"/>
            </w:tcBorders>
            <w:vAlign w:val="center"/>
          </w:tcPr>
          <w:p w14:paraId="3843211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现状调查内容</w:t>
            </w:r>
          </w:p>
        </w:tc>
        <w:tc>
          <w:tcPr>
            <w:tcW w:w="892" w:type="pct"/>
            <w:tcBorders>
              <w:tl2br w:val="nil"/>
              <w:tr2bl w:val="nil"/>
            </w:tcBorders>
            <w:vAlign w:val="center"/>
          </w:tcPr>
          <w:p w14:paraId="0C0888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资料收集</w:t>
            </w:r>
          </w:p>
        </w:tc>
        <w:tc>
          <w:tcPr>
            <w:tcW w:w="3196" w:type="pct"/>
            <w:gridSpan w:val="5"/>
            <w:tcBorders>
              <w:tl2br w:val="nil"/>
              <w:tr2bl w:val="nil"/>
            </w:tcBorders>
            <w:vAlign w:val="center"/>
          </w:tcPr>
          <w:p w14:paraId="71049FF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MS Gothic"/>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c</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d</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MS Gothic"/>
                <w:strike w:val="0"/>
                <w:dstrike w:val="0"/>
                <w:color w:val="auto"/>
                <w:spacing w:val="0"/>
                <w:position w:val="0"/>
                <w:sz w:val="21"/>
                <w:szCs w:val="21"/>
                <w:highlight w:val="none"/>
              </w:rPr>
              <w:t>☑</w:t>
            </w:r>
          </w:p>
        </w:tc>
        <w:tc>
          <w:tcPr>
            <w:tcW w:w="613" w:type="pct"/>
            <w:tcBorders>
              <w:tl2br w:val="nil"/>
              <w:tr2bl w:val="nil"/>
            </w:tcBorders>
            <w:vAlign w:val="center"/>
          </w:tcPr>
          <w:p w14:paraId="17F1000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1D163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jc w:val="center"/>
        </w:trPr>
        <w:tc>
          <w:tcPr>
            <w:tcW w:w="297" w:type="pct"/>
            <w:vMerge w:val="continue"/>
            <w:tcBorders>
              <w:tl2br w:val="nil"/>
              <w:tr2bl w:val="nil"/>
            </w:tcBorders>
            <w:textDirection w:val="tbRlV"/>
            <w:vAlign w:val="center"/>
          </w:tcPr>
          <w:p w14:paraId="1DD7495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0223BA3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理化特性</w:t>
            </w:r>
          </w:p>
        </w:tc>
        <w:tc>
          <w:tcPr>
            <w:tcW w:w="3196" w:type="pct"/>
            <w:gridSpan w:val="5"/>
            <w:tcBorders>
              <w:tl2br w:val="nil"/>
              <w:tr2bl w:val="nil"/>
            </w:tcBorders>
            <w:vAlign w:val="center"/>
          </w:tcPr>
          <w:p w14:paraId="1E650A9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无酸化或碱化的中度盐化土</w:t>
            </w:r>
          </w:p>
        </w:tc>
        <w:tc>
          <w:tcPr>
            <w:tcW w:w="613" w:type="pct"/>
            <w:tcBorders>
              <w:tl2br w:val="nil"/>
              <w:tr2bl w:val="nil"/>
            </w:tcBorders>
            <w:vAlign w:val="center"/>
          </w:tcPr>
          <w:p w14:paraId="020FBBC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同附录</w:t>
            </w:r>
            <w:r>
              <w:rPr>
                <w:rFonts w:ascii="Times New Roman" w:hAnsi="Times New Roman" w:eastAsia="宋体" w:cs="Times New Roman"/>
                <w:strike w:val="0"/>
                <w:dstrike w:val="0"/>
                <w:color w:val="auto"/>
                <w:spacing w:val="0"/>
                <w:position w:val="0"/>
                <w:sz w:val="21"/>
                <w:szCs w:val="21"/>
                <w:highlight w:val="none"/>
              </w:rPr>
              <w:t>C</w:t>
            </w:r>
          </w:p>
        </w:tc>
      </w:tr>
      <w:tr w14:paraId="1224F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3E69BC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restart"/>
            <w:tcBorders>
              <w:tl2br w:val="nil"/>
              <w:tr2bl w:val="nil"/>
            </w:tcBorders>
            <w:vAlign w:val="center"/>
          </w:tcPr>
          <w:p w14:paraId="7EC83E5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现状监测点位</w:t>
            </w:r>
          </w:p>
        </w:tc>
        <w:tc>
          <w:tcPr>
            <w:tcW w:w="751" w:type="pct"/>
            <w:tcBorders>
              <w:tl2br w:val="nil"/>
              <w:tr2bl w:val="nil"/>
            </w:tcBorders>
            <w:vAlign w:val="center"/>
          </w:tcPr>
          <w:p w14:paraId="4CDB6F0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13" w:type="pct"/>
            <w:tcBorders>
              <w:tl2br w:val="nil"/>
              <w:tr2bl w:val="nil"/>
            </w:tcBorders>
            <w:vAlign w:val="center"/>
          </w:tcPr>
          <w:p w14:paraId="74779B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占地范围内</w:t>
            </w:r>
          </w:p>
        </w:tc>
        <w:tc>
          <w:tcPr>
            <w:tcW w:w="804" w:type="pct"/>
            <w:gridSpan w:val="2"/>
            <w:tcBorders>
              <w:tl2br w:val="nil"/>
              <w:tr2bl w:val="nil"/>
            </w:tcBorders>
            <w:vAlign w:val="center"/>
          </w:tcPr>
          <w:p w14:paraId="56D8481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占地范围外</w:t>
            </w:r>
          </w:p>
        </w:tc>
        <w:tc>
          <w:tcPr>
            <w:tcW w:w="826" w:type="pct"/>
            <w:tcBorders>
              <w:tl2br w:val="nil"/>
              <w:tr2bl w:val="nil"/>
            </w:tcBorders>
            <w:vAlign w:val="center"/>
          </w:tcPr>
          <w:p w14:paraId="66993E8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深度</w:t>
            </w:r>
          </w:p>
        </w:tc>
        <w:tc>
          <w:tcPr>
            <w:tcW w:w="613" w:type="pct"/>
            <w:vMerge w:val="restart"/>
            <w:tcBorders>
              <w:tl2br w:val="nil"/>
              <w:tr2bl w:val="nil"/>
            </w:tcBorders>
            <w:vAlign w:val="center"/>
          </w:tcPr>
          <w:p w14:paraId="7BF6406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点位布置图</w:t>
            </w:r>
          </w:p>
        </w:tc>
      </w:tr>
      <w:tr w14:paraId="6F991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continue"/>
            <w:tcBorders>
              <w:tl2br w:val="nil"/>
              <w:tr2bl w:val="nil"/>
            </w:tcBorders>
            <w:textDirection w:val="tbRlV"/>
            <w:vAlign w:val="center"/>
          </w:tcPr>
          <w:p w14:paraId="1FD410A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continue"/>
            <w:tcBorders>
              <w:tl2br w:val="nil"/>
              <w:tr2bl w:val="nil"/>
            </w:tcBorders>
            <w:vAlign w:val="center"/>
          </w:tcPr>
          <w:p w14:paraId="507C7A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51" w:type="pct"/>
            <w:tcBorders>
              <w:tl2br w:val="nil"/>
              <w:tr2bl w:val="nil"/>
            </w:tcBorders>
            <w:vAlign w:val="center"/>
          </w:tcPr>
          <w:p w14:paraId="074528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表层样点数</w:t>
            </w:r>
          </w:p>
        </w:tc>
        <w:tc>
          <w:tcPr>
            <w:tcW w:w="813" w:type="pct"/>
            <w:tcBorders>
              <w:tl2br w:val="nil"/>
              <w:tr2bl w:val="nil"/>
            </w:tcBorders>
            <w:vAlign w:val="center"/>
          </w:tcPr>
          <w:p w14:paraId="234BD7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3</w:t>
            </w:r>
          </w:p>
        </w:tc>
        <w:tc>
          <w:tcPr>
            <w:tcW w:w="804" w:type="pct"/>
            <w:gridSpan w:val="2"/>
            <w:tcBorders>
              <w:tl2br w:val="nil"/>
              <w:tr2bl w:val="nil"/>
            </w:tcBorders>
            <w:vAlign w:val="center"/>
          </w:tcPr>
          <w:p w14:paraId="6533A6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26" w:type="pct"/>
            <w:tcBorders>
              <w:tl2br w:val="nil"/>
              <w:tr2bl w:val="nil"/>
            </w:tcBorders>
            <w:vAlign w:val="center"/>
          </w:tcPr>
          <w:p w14:paraId="7969BF9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0.2m</w:t>
            </w:r>
          </w:p>
        </w:tc>
        <w:tc>
          <w:tcPr>
            <w:tcW w:w="613" w:type="pct"/>
            <w:vMerge w:val="continue"/>
            <w:tcBorders>
              <w:tl2br w:val="nil"/>
              <w:tr2bl w:val="nil"/>
            </w:tcBorders>
            <w:vAlign w:val="center"/>
          </w:tcPr>
          <w:p w14:paraId="28E7712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25AF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74891E9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continue"/>
            <w:tcBorders>
              <w:tl2br w:val="nil"/>
              <w:tr2bl w:val="nil"/>
            </w:tcBorders>
            <w:vAlign w:val="center"/>
          </w:tcPr>
          <w:p w14:paraId="4041655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51" w:type="pct"/>
            <w:tcBorders>
              <w:tl2br w:val="nil"/>
              <w:tr2bl w:val="nil"/>
            </w:tcBorders>
            <w:vAlign w:val="center"/>
          </w:tcPr>
          <w:p w14:paraId="6F5C64E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柱状样点数</w:t>
            </w:r>
          </w:p>
        </w:tc>
        <w:tc>
          <w:tcPr>
            <w:tcW w:w="813" w:type="pct"/>
            <w:tcBorders>
              <w:tl2br w:val="nil"/>
              <w:tr2bl w:val="nil"/>
            </w:tcBorders>
            <w:vAlign w:val="center"/>
          </w:tcPr>
          <w:p w14:paraId="281B776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04" w:type="pct"/>
            <w:gridSpan w:val="2"/>
            <w:tcBorders>
              <w:tl2br w:val="nil"/>
              <w:tr2bl w:val="nil"/>
            </w:tcBorders>
            <w:vAlign w:val="center"/>
          </w:tcPr>
          <w:p w14:paraId="74D37B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26" w:type="pct"/>
            <w:tcBorders>
              <w:tl2br w:val="nil"/>
              <w:tr2bl w:val="nil"/>
            </w:tcBorders>
            <w:vAlign w:val="center"/>
          </w:tcPr>
          <w:p w14:paraId="78BCBBD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13" w:type="pct"/>
            <w:vMerge w:val="continue"/>
            <w:tcBorders>
              <w:tl2br w:val="nil"/>
              <w:tr2bl w:val="nil"/>
            </w:tcBorders>
            <w:vAlign w:val="center"/>
          </w:tcPr>
          <w:p w14:paraId="4D5DB2B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E282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297" w:type="pct"/>
            <w:vMerge w:val="continue"/>
            <w:tcBorders>
              <w:tl2br w:val="nil"/>
              <w:tr2bl w:val="nil"/>
            </w:tcBorders>
            <w:textDirection w:val="tbRlV"/>
            <w:vAlign w:val="center"/>
          </w:tcPr>
          <w:p w14:paraId="00C9C0C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0C6B640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现状监测因子</w:t>
            </w:r>
          </w:p>
        </w:tc>
        <w:tc>
          <w:tcPr>
            <w:tcW w:w="3196" w:type="pct"/>
            <w:gridSpan w:val="5"/>
            <w:tcBorders>
              <w:tl2br w:val="nil"/>
              <w:tr2bl w:val="nil"/>
            </w:tcBorders>
            <w:vAlign w:val="center"/>
          </w:tcPr>
          <w:p w14:paraId="50FA5FD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3D5EA1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427E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297" w:type="pct"/>
            <w:vMerge w:val="restart"/>
            <w:tcBorders>
              <w:tl2br w:val="nil"/>
              <w:tr2bl w:val="nil"/>
            </w:tcBorders>
            <w:vAlign w:val="center"/>
          </w:tcPr>
          <w:p w14:paraId="3981123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现状评价</w:t>
            </w:r>
          </w:p>
        </w:tc>
        <w:tc>
          <w:tcPr>
            <w:tcW w:w="892" w:type="pct"/>
            <w:tcBorders>
              <w:tl2br w:val="nil"/>
              <w:tr2bl w:val="nil"/>
            </w:tcBorders>
            <w:vAlign w:val="center"/>
          </w:tcPr>
          <w:p w14:paraId="349FF05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评价因子</w:t>
            </w:r>
          </w:p>
        </w:tc>
        <w:tc>
          <w:tcPr>
            <w:tcW w:w="3196" w:type="pct"/>
            <w:gridSpan w:val="5"/>
            <w:tcBorders>
              <w:tl2br w:val="nil"/>
              <w:tr2bl w:val="nil"/>
            </w:tcBorders>
            <w:vAlign w:val="center"/>
          </w:tcPr>
          <w:p w14:paraId="300851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镉、汞、砷、铅、铬、铜、镍、锌、</w:t>
            </w:r>
            <w:r>
              <w:rPr>
                <w:rFonts w:ascii="Times New Roman" w:hAnsi="Times New Roman" w:eastAsia="宋体" w:cs="Times New Roman"/>
                <w:strike w:val="0"/>
                <w:dstrike w:val="0"/>
                <w:color w:val="auto"/>
                <w:spacing w:val="0"/>
                <w:position w:val="0"/>
                <w:sz w:val="21"/>
                <w:szCs w:val="21"/>
                <w:highlight w:val="none"/>
              </w:rPr>
              <w:t>PH</w:t>
            </w:r>
          </w:p>
        </w:tc>
        <w:tc>
          <w:tcPr>
            <w:tcW w:w="613" w:type="pct"/>
            <w:tcBorders>
              <w:tl2br w:val="nil"/>
              <w:tr2bl w:val="nil"/>
            </w:tcBorders>
            <w:vAlign w:val="center"/>
          </w:tcPr>
          <w:p w14:paraId="47A9082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E58B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97" w:type="pct"/>
            <w:vMerge w:val="continue"/>
            <w:tcBorders>
              <w:tl2br w:val="nil"/>
              <w:tr2bl w:val="nil"/>
            </w:tcBorders>
            <w:textDirection w:val="tbRlV"/>
            <w:vAlign w:val="center"/>
          </w:tcPr>
          <w:p w14:paraId="77155A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24BEEAD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评价标准</w:t>
            </w:r>
          </w:p>
        </w:tc>
        <w:tc>
          <w:tcPr>
            <w:tcW w:w="3196" w:type="pct"/>
            <w:gridSpan w:val="5"/>
            <w:tcBorders>
              <w:tl2br w:val="nil"/>
              <w:tr2bl w:val="nil"/>
            </w:tcBorders>
            <w:vAlign w:val="center"/>
          </w:tcPr>
          <w:p w14:paraId="153BDF0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GB15618</w:t>
            </w:r>
            <w:r>
              <w:rPr>
                <w:rFonts w:ascii="Times New Roman" w:hAnsi="Times New Roman" w:eastAsia="宋体" w:cs="MS Gothic"/>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GB36600□</w:t>
            </w:r>
            <w:r>
              <w:rPr>
                <w:rFonts w:ascii="Times New Roman" w:hAnsi="Times New Roman" w:eastAsia="宋体" w:cs="宋体"/>
                <w:strike w:val="0"/>
                <w:dstrike w:val="0"/>
                <w:color w:val="auto"/>
                <w:spacing w:val="0"/>
                <w:position w:val="0"/>
                <w:sz w:val="21"/>
                <w:szCs w:val="21"/>
                <w:highlight w:val="none"/>
              </w:rPr>
              <w:t>；表</w:t>
            </w:r>
            <w:r>
              <w:rPr>
                <w:rFonts w:ascii="Times New Roman" w:hAnsi="Times New Roman" w:eastAsia="宋体" w:cs="Times New Roman"/>
                <w:strike w:val="0"/>
                <w:dstrike w:val="0"/>
                <w:color w:val="auto"/>
                <w:spacing w:val="0"/>
                <w:position w:val="0"/>
                <w:sz w:val="21"/>
                <w:szCs w:val="21"/>
                <w:highlight w:val="none"/>
              </w:rPr>
              <w:t>D.1□</w:t>
            </w:r>
            <w:r>
              <w:rPr>
                <w:rFonts w:ascii="Times New Roman" w:hAnsi="Times New Roman" w:eastAsia="宋体" w:cs="宋体"/>
                <w:strike w:val="0"/>
                <w:dstrike w:val="0"/>
                <w:color w:val="auto"/>
                <w:spacing w:val="0"/>
                <w:position w:val="0"/>
                <w:sz w:val="21"/>
                <w:szCs w:val="21"/>
                <w:highlight w:val="none"/>
              </w:rPr>
              <w:t>；表</w:t>
            </w:r>
            <w:r>
              <w:rPr>
                <w:rFonts w:ascii="Times New Roman" w:hAnsi="Times New Roman" w:eastAsia="宋体" w:cs="Times New Roman"/>
                <w:strike w:val="0"/>
                <w:dstrike w:val="0"/>
                <w:color w:val="auto"/>
                <w:spacing w:val="0"/>
                <w:position w:val="0"/>
                <w:sz w:val="21"/>
                <w:szCs w:val="21"/>
                <w:highlight w:val="none"/>
              </w:rPr>
              <w:t>D.2□</w:t>
            </w:r>
            <w:r>
              <w:rPr>
                <w:rFonts w:ascii="Times New Roman" w:hAnsi="Times New Roman" w:eastAsia="宋体" w:cs="宋体"/>
                <w:strike w:val="0"/>
                <w:dstrike w:val="0"/>
                <w:color w:val="auto"/>
                <w:spacing w:val="0"/>
                <w:position w:val="0"/>
                <w:sz w:val="21"/>
                <w:szCs w:val="21"/>
                <w:highlight w:val="none"/>
              </w:rPr>
              <w:t>；其他</w:t>
            </w:r>
          </w:p>
          <w:p w14:paraId="1C51F86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HJ568-2010</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362DFB4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B0A4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Merge w:val="continue"/>
            <w:tcBorders>
              <w:tl2br w:val="nil"/>
              <w:tr2bl w:val="nil"/>
            </w:tcBorders>
            <w:textDirection w:val="tbRlV"/>
            <w:vAlign w:val="center"/>
          </w:tcPr>
          <w:p w14:paraId="6E447EE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0FA323D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现状评价结论</w:t>
            </w:r>
          </w:p>
        </w:tc>
        <w:tc>
          <w:tcPr>
            <w:tcW w:w="3196" w:type="pct"/>
            <w:gridSpan w:val="5"/>
            <w:tcBorders>
              <w:tl2br w:val="nil"/>
              <w:tr2bl w:val="nil"/>
            </w:tcBorders>
            <w:vAlign w:val="center"/>
          </w:tcPr>
          <w:p w14:paraId="7B10F74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项目区周边各监测点各监测因子浓度均满足《土壤环境质量农用地土壤污染风险管控标准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试行</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GB15618-2018</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风险筛选值</w:t>
            </w:r>
          </w:p>
        </w:tc>
        <w:tc>
          <w:tcPr>
            <w:tcW w:w="613" w:type="pct"/>
            <w:tcBorders>
              <w:tl2br w:val="nil"/>
              <w:tr2bl w:val="nil"/>
            </w:tcBorders>
            <w:vAlign w:val="center"/>
          </w:tcPr>
          <w:p w14:paraId="742E36A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EA68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restart"/>
            <w:tcBorders>
              <w:tl2br w:val="nil"/>
              <w:tr2bl w:val="nil"/>
            </w:tcBorders>
            <w:vAlign w:val="center"/>
          </w:tcPr>
          <w:p w14:paraId="4DCACDF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影响</w:t>
            </w:r>
          </w:p>
          <w:p w14:paraId="59EBD54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w:t>
            </w:r>
          </w:p>
        </w:tc>
        <w:tc>
          <w:tcPr>
            <w:tcW w:w="892" w:type="pct"/>
            <w:tcBorders>
              <w:tl2br w:val="nil"/>
              <w:tr2bl w:val="nil"/>
            </w:tcBorders>
            <w:vAlign w:val="center"/>
          </w:tcPr>
          <w:p w14:paraId="1F213B6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预测因子</w:t>
            </w:r>
          </w:p>
        </w:tc>
        <w:tc>
          <w:tcPr>
            <w:tcW w:w="3196" w:type="pct"/>
            <w:gridSpan w:val="5"/>
            <w:tcBorders>
              <w:tl2br w:val="nil"/>
              <w:tr2bl w:val="nil"/>
            </w:tcBorders>
            <w:vAlign w:val="center"/>
          </w:tcPr>
          <w:p w14:paraId="53A1BD0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strike w:val="0"/>
                <w:dstrike w:val="0"/>
                <w:color w:val="auto"/>
                <w:spacing w:val="0"/>
                <w:position w:val="0"/>
                <w:sz w:val="21"/>
                <w:highlight w:val="none"/>
                <w:lang w:val="en-US" w:eastAsia="zh-CN"/>
              </w:rPr>
            </w:pPr>
            <w:r>
              <w:rPr>
                <w:rFonts w:hint="eastAsia" w:ascii="Times New Roman" w:hAnsi="Times New Roman" w:eastAsia="宋体"/>
                <w:strike w:val="0"/>
                <w:dstrike w:val="0"/>
                <w:color w:val="auto"/>
                <w:spacing w:val="0"/>
                <w:position w:val="0"/>
                <w:sz w:val="21"/>
                <w:highlight w:val="none"/>
                <w:lang w:val="en-US" w:eastAsia="zh-CN"/>
              </w:rPr>
              <w:t>/</w:t>
            </w:r>
          </w:p>
        </w:tc>
        <w:tc>
          <w:tcPr>
            <w:tcW w:w="613" w:type="pct"/>
            <w:tcBorders>
              <w:tl2br w:val="nil"/>
              <w:tr2bl w:val="nil"/>
            </w:tcBorders>
            <w:vAlign w:val="center"/>
          </w:tcPr>
          <w:p w14:paraId="6D8B65B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24BC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272D805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3F77D2A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预测方法</w:t>
            </w:r>
          </w:p>
        </w:tc>
        <w:tc>
          <w:tcPr>
            <w:tcW w:w="3196" w:type="pct"/>
            <w:gridSpan w:val="5"/>
            <w:tcBorders>
              <w:tl2br w:val="nil"/>
              <w:tr2bl w:val="nil"/>
            </w:tcBorders>
            <w:vAlign w:val="center"/>
          </w:tcPr>
          <w:p w14:paraId="7C21ADE2">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Segoe UI Symbol"/>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附录</w:t>
            </w:r>
            <w:r>
              <w:rPr>
                <w:rFonts w:ascii="Times New Roman" w:hAnsi="Times New Roman" w:eastAsia="宋体" w:cs="Times New Roman"/>
                <w:strike w:val="0"/>
                <w:dstrike w:val="0"/>
                <w:color w:val="auto"/>
                <w:spacing w:val="0"/>
                <w:position w:val="0"/>
                <w:sz w:val="21"/>
                <w:szCs w:val="21"/>
                <w:highlight w:val="none"/>
              </w:rPr>
              <w:t>E□</w:t>
            </w:r>
            <w:r>
              <w:rPr>
                <w:rFonts w:ascii="Times New Roman" w:hAnsi="Times New Roman" w:eastAsia="宋体" w:cs="宋体"/>
                <w:strike w:val="0"/>
                <w:dstrike w:val="0"/>
                <w:color w:val="auto"/>
                <w:spacing w:val="0"/>
                <w:position w:val="0"/>
                <w:sz w:val="21"/>
                <w:szCs w:val="21"/>
                <w:highlight w:val="none"/>
              </w:rPr>
              <w:t>；附录</w:t>
            </w:r>
            <w:r>
              <w:rPr>
                <w:rFonts w:ascii="Times New Roman" w:hAnsi="Times New Roman" w:eastAsia="宋体" w:cs="Times New Roman"/>
                <w:strike w:val="0"/>
                <w:dstrike w:val="0"/>
                <w:color w:val="auto"/>
                <w:spacing w:val="0"/>
                <w:position w:val="0"/>
                <w:sz w:val="21"/>
                <w:szCs w:val="21"/>
                <w:highlight w:val="none"/>
              </w:rPr>
              <w:t>F□</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类比法</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Segoe UI Symbol"/>
                <w:strike w:val="0"/>
                <w:dstrike w:val="0"/>
                <w:color w:val="auto"/>
                <w:spacing w:val="0"/>
                <w:position w:val="0"/>
                <w:sz w:val="21"/>
                <w:szCs w:val="21"/>
                <w:highlight w:val="none"/>
              </w:rPr>
              <w:t>☑</w:t>
            </w:r>
          </w:p>
        </w:tc>
        <w:tc>
          <w:tcPr>
            <w:tcW w:w="613" w:type="pct"/>
            <w:tcBorders>
              <w:tl2br w:val="nil"/>
              <w:tr2bl w:val="nil"/>
            </w:tcBorders>
            <w:vAlign w:val="center"/>
          </w:tcPr>
          <w:p w14:paraId="46603B8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66CC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97" w:type="pct"/>
            <w:vMerge w:val="continue"/>
            <w:tcBorders>
              <w:tl2br w:val="nil"/>
              <w:tr2bl w:val="nil"/>
            </w:tcBorders>
            <w:textDirection w:val="tbRlV"/>
            <w:vAlign w:val="center"/>
          </w:tcPr>
          <w:p w14:paraId="12F08D5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3B47957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预测分析内容</w:t>
            </w:r>
          </w:p>
        </w:tc>
        <w:tc>
          <w:tcPr>
            <w:tcW w:w="3196" w:type="pct"/>
            <w:gridSpan w:val="5"/>
            <w:tcBorders>
              <w:tl2br w:val="nil"/>
              <w:tr2bl w:val="nil"/>
            </w:tcBorders>
            <w:vAlign w:val="center"/>
          </w:tcPr>
          <w:p w14:paraId="69CBB7CC">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影响范围</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厂界外</w:t>
            </w:r>
            <w:r>
              <w:rPr>
                <w:rFonts w:ascii="Times New Roman" w:hAnsi="Times New Roman" w:eastAsia="宋体" w:cs="Times New Roman"/>
                <w:strike w:val="0"/>
                <w:dstrike w:val="0"/>
                <w:color w:val="auto"/>
                <w:spacing w:val="0"/>
                <w:position w:val="0"/>
                <w:sz w:val="21"/>
                <w:szCs w:val="21"/>
                <w:highlight w:val="none"/>
              </w:rPr>
              <w:t>50m</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；影响程度</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较小</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0C1776C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48EF2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297" w:type="pct"/>
            <w:vMerge w:val="continue"/>
            <w:tcBorders>
              <w:tl2br w:val="nil"/>
              <w:tr2bl w:val="nil"/>
            </w:tcBorders>
            <w:textDirection w:val="tbRlV"/>
            <w:vAlign w:val="center"/>
          </w:tcPr>
          <w:p w14:paraId="4AB4F7D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892" w:type="pct"/>
            <w:tcBorders>
              <w:tl2br w:val="nil"/>
              <w:tr2bl w:val="nil"/>
            </w:tcBorders>
            <w:vAlign w:val="center"/>
          </w:tcPr>
          <w:p w14:paraId="3955279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预测结论</w:t>
            </w:r>
          </w:p>
        </w:tc>
        <w:tc>
          <w:tcPr>
            <w:tcW w:w="3196" w:type="pct"/>
            <w:gridSpan w:val="5"/>
            <w:tcBorders>
              <w:tl2br w:val="nil"/>
              <w:tr2bl w:val="nil"/>
            </w:tcBorders>
            <w:vAlign w:val="center"/>
          </w:tcPr>
          <w:p w14:paraId="27419E0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达标结论：</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c</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不达标结论：</w:t>
            </w:r>
            <w:r>
              <w:rPr>
                <w:rFonts w:ascii="Times New Roman" w:hAnsi="Times New Roman" w:eastAsia="宋体" w:cs="Times New Roman"/>
                <w:strike w:val="0"/>
                <w:dstrike w:val="0"/>
                <w:color w:val="auto"/>
                <w:spacing w:val="0"/>
                <w:position w:val="0"/>
                <w:sz w:val="21"/>
                <w:szCs w:val="21"/>
                <w:highlight w:val="none"/>
              </w:rPr>
              <w:t>a</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b</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p>
        </w:tc>
        <w:tc>
          <w:tcPr>
            <w:tcW w:w="613" w:type="pct"/>
            <w:tcBorders>
              <w:tl2br w:val="nil"/>
              <w:tr2bl w:val="nil"/>
            </w:tcBorders>
            <w:vAlign w:val="center"/>
          </w:tcPr>
          <w:p w14:paraId="7549231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E859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297" w:type="pct"/>
            <w:vMerge w:val="restart"/>
            <w:tcBorders>
              <w:tl2br w:val="nil"/>
              <w:tr2bl w:val="nil"/>
            </w:tcBorders>
            <w:vAlign w:val="center"/>
          </w:tcPr>
          <w:p w14:paraId="78C2F5F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防治措施</w:t>
            </w:r>
          </w:p>
        </w:tc>
        <w:tc>
          <w:tcPr>
            <w:tcW w:w="892" w:type="pct"/>
            <w:tcBorders>
              <w:tl2br w:val="nil"/>
              <w:tr2bl w:val="nil"/>
            </w:tcBorders>
            <w:vAlign w:val="center"/>
          </w:tcPr>
          <w:p w14:paraId="032FCFE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防控措施</w:t>
            </w:r>
          </w:p>
        </w:tc>
        <w:tc>
          <w:tcPr>
            <w:tcW w:w="3196" w:type="pct"/>
            <w:gridSpan w:val="5"/>
            <w:tcBorders>
              <w:tl2br w:val="nil"/>
              <w:tr2bl w:val="nil"/>
            </w:tcBorders>
            <w:vAlign w:val="center"/>
          </w:tcPr>
          <w:p w14:paraId="39C9DAA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土壤环境质量现状保障</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；源头控制</w:t>
            </w:r>
            <w:r>
              <w:rPr>
                <w:rFonts w:ascii="Times New Roman" w:hAnsi="Times New Roman" w:eastAsia="宋体" w:cs="Segoe UI Symbol"/>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；过程防控</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；其他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613" w:type="pct"/>
            <w:tcBorders>
              <w:tl2br w:val="nil"/>
              <w:tr2bl w:val="nil"/>
            </w:tcBorders>
            <w:vAlign w:val="center"/>
          </w:tcPr>
          <w:p w14:paraId="034571E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77163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3DD8CE2F">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restart"/>
            <w:tcBorders>
              <w:tl2br w:val="nil"/>
              <w:tr2bl w:val="nil"/>
            </w:tcBorders>
            <w:vAlign w:val="center"/>
          </w:tcPr>
          <w:p w14:paraId="4AD9F1AA">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跟踪监测</w:t>
            </w:r>
          </w:p>
        </w:tc>
        <w:tc>
          <w:tcPr>
            <w:tcW w:w="751" w:type="pct"/>
            <w:tcBorders>
              <w:tl2br w:val="nil"/>
              <w:tr2bl w:val="nil"/>
            </w:tcBorders>
            <w:vAlign w:val="center"/>
          </w:tcPr>
          <w:p w14:paraId="7EDC1E4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监测点数</w:t>
            </w:r>
          </w:p>
        </w:tc>
        <w:tc>
          <w:tcPr>
            <w:tcW w:w="1387" w:type="pct"/>
            <w:gridSpan w:val="2"/>
            <w:tcBorders>
              <w:tl2br w:val="nil"/>
              <w:tr2bl w:val="nil"/>
            </w:tcBorders>
            <w:vAlign w:val="center"/>
          </w:tcPr>
          <w:p w14:paraId="529844D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监测指标</w:t>
            </w:r>
          </w:p>
        </w:tc>
        <w:tc>
          <w:tcPr>
            <w:tcW w:w="1057" w:type="pct"/>
            <w:gridSpan w:val="2"/>
            <w:tcBorders>
              <w:tl2br w:val="nil"/>
              <w:tr2bl w:val="nil"/>
            </w:tcBorders>
            <w:vAlign w:val="center"/>
          </w:tcPr>
          <w:p w14:paraId="182C0994">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监测频次</w:t>
            </w:r>
          </w:p>
        </w:tc>
        <w:tc>
          <w:tcPr>
            <w:tcW w:w="613" w:type="pct"/>
            <w:vMerge w:val="restart"/>
            <w:tcBorders>
              <w:tl2br w:val="nil"/>
              <w:tr2bl w:val="nil"/>
            </w:tcBorders>
            <w:vAlign w:val="center"/>
          </w:tcPr>
          <w:p w14:paraId="7938C12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C325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97" w:type="pct"/>
            <w:vMerge w:val="continue"/>
            <w:tcBorders>
              <w:tl2br w:val="nil"/>
              <w:tr2bl w:val="nil"/>
            </w:tcBorders>
            <w:textDirection w:val="tbRlV"/>
            <w:vAlign w:val="center"/>
          </w:tcPr>
          <w:p w14:paraId="1189F0F6">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vMerge w:val="continue"/>
            <w:tcBorders>
              <w:tl2br w:val="nil"/>
              <w:tr2bl w:val="nil"/>
            </w:tcBorders>
            <w:vAlign w:val="center"/>
          </w:tcPr>
          <w:p w14:paraId="2190B9D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51" w:type="pct"/>
            <w:tcBorders>
              <w:tl2br w:val="nil"/>
              <w:tr2bl w:val="nil"/>
            </w:tcBorders>
            <w:vAlign w:val="center"/>
          </w:tcPr>
          <w:p w14:paraId="69A56A11">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387" w:type="pct"/>
            <w:gridSpan w:val="2"/>
            <w:tcBorders>
              <w:tl2br w:val="nil"/>
              <w:tr2bl w:val="nil"/>
            </w:tcBorders>
            <w:vAlign w:val="center"/>
          </w:tcPr>
          <w:p w14:paraId="579434A3">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1057" w:type="pct"/>
            <w:gridSpan w:val="2"/>
            <w:tcBorders>
              <w:tl2br w:val="nil"/>
              <w:tr2bl w:val="nil"/>
            </w:tcBorders>
            <w:vAlign w:val="center"/>
          </w:tcPr>
          <w:p w14:paraId="676B3989">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613" w:type="pct"/>
            <w:vMerge w:val="continue"/>
            <w:tcBorders>
              <w:tl2br w:val="nil"/>
              <w:tr2bl w:val="nil"/>
            </w:tcBorders>
            <w:vAlign w:val="center"/>
          </w:tcPr>
          <w:p w14:paraId="02EEE4A8">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42E9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97" w:type="pct"/>
            <w:vMerge w:val="continue"/>
            <w:tcBorders>
              <w:tl2br w:val="nil"/>
              <w:tr2bl w:val="nil"/>
            </w:tcBorders>
            <w:textDirection w:val="tbRlV"/>
            <w:vAlign w:val="center"/>
          </w:tcPr>
          <w:p w14:paraId="21974BB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892" w:type="pct"/>
            <w:tcBorders>
              <w:tl2br w:val="nil"/>
              <w:tr2bl w:val="nil"/>
            </w:tcBorders>
            <w:vAlign w:val="center"/>
          </w:tcPr>
          <w:p w14:paraId="300D8D35">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信息公开指标</w:t>
            </w:r>
          </w:p>
        </w:tc>
        <w:tc>
          <w:tcPr>
            <w:tcW w:w="3196" w:type="pct"/>
            <w:gridSpan w:val="5"/>
            <w:tcBorders>
              <w:tl2br w:val="nil"/>
              <w:tr2bl w:val="nil"/>
            </w:tcBorders>
            <w:vAlign w:val="center"/>
          </w:tcPr>
          <w:p w14:paraId="122AF5FB">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c>
          <w:tcPr>
            <w:tcW w:w="613" w:type="pct"/>
            <w:vMerge w:val="continue"/>
            <w:tcBorders>
              <w:tl2br w:val="nil"/>
              <w:tr2bl w:val="nil"/>
            </w:tcBorders>
            <w:vAlign w:val="center"/>
          </w:tcPr>
          <w:p w14:paraId="236119AE">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E58A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1190" w:type="pct"/>
            <w:gridSpan w:val="2"/>
            <w:tcBorders>
              <w:tl2br w:val="nil"/>
              <w:tr2bl w:val="nil"/>
            </w:tcBorders>
            <w:vAlign w:val="center"/>
          </w:tcPr>
          <w:p w14:paraId="7E55DA70">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评价结论</w:t>
            </w:r>
          </w:p>
        </w:tc>
        <w:tc>
          <w:tcPr>
            <w:tcW w:w="3196" w:type="pct"/>
            <w:gridSpan w:val="5"/>
            <w:tcBorders>
              <w:tl2br w:val="nil"/>
              <w:tr2bl w:val="nil"/>
            </w:tcBorders>
            <w:vAlign w:val="center"/>
          </w:tcPr>
          <w:p w14:paraId="11EF5C9D">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项目建设对土壤环境影响可接受</w:t>
            </w:r>
          </w:p>
        </w:tc>
        <w:tc>
          <w:tcPr>
            <w:tcW w:w="613" w:type="pct"/>
            <w:tcBorders>
              <w:tl2br w:val="nil"/>
              <w:tr2bl w:val="nil"/>
            </w:tcBorders>
            <w:vAlign w:val="center"/>
          </w:tcPr>
          <w:p w14:paraId="3B36348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10FB5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5000" w:type="pct"/>
            <w:gridSpan w:val="8"/>
            <w:tcBorders>
              <w:tl2br w:val="nil"/>
              <w:tr2bl w:val="nil"/>
            </w:tcBorders>
            <w:vAlign w:val="center"/>
          </w:tcPr>
          <w:p w14:paraId="56440A67">
            <w:pPr>
              <w:keepNext w:val="0"/>
              <w:keepLines w:val="0"/>
              <w:pageBreakBefore w:val="0"/>
              <w:widowControl w:val="0"/>
              <w:kinsoku/>
              <w:wordWrap/>
              <w:overflowPunct/>
              <w:topLinePunct w:val="0"/>
              <w:autoSpaceDE/>
              <w:autoSpaceDN/>
              <w:bidi w:val="0"/>
              <w:adjustRightInd/>
              <w:snapToGrid/>
              <w:spacing w:line="36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注</w:t>
            </w: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为勾选项，可</w:t>
            </w:r>
            <w:r>
              <w:rPr>
                <w:rFonts w:ascii="Times New Roman" w:hAnsi="Times New Roman" w:eastAsia="宋体" w:cs="Times New Roman"/>
                <w:strike w:val="0"/>
                <w:dstrike w:val="0"/>
                <w:color w:val="auto"/>
                <w:spacing w:val="0"/>
                <w:position w:val="0"/>
                <w:sz w:val="21"/>
                <w:szCs w:val="21"/>
                <w:highlight w:val="none"/>
              </w:rPr>
              <w:t>√</w:t>
            </w:r>
            <w:r>
              <w:rPr>
                <w:rFonts w:ascii="Times New Roman" w:hAnsi="Times New Roman" w:eastAsia="宋体" w:cs="宋体"/>
                <w:strike w:val="0"/>
                <w:dstrike w:val="0"/>
                <w:color w:val="auto"/>
                <w:spacing w:val="0"/>
                <w:position w:val="0"/>
                <w:sz w:val="21"/>
                <w:szCs w:val="21"/>
                <w:highlight w:val="none"/>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为内容填写项；</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备注</w:t>
            </w:r>
            <w:r>
              <w:rPr>
                <w:rFonts w:hint="eastAsia" w:ascii="Times New Roman" w:hAnsi="Times New Roman" w:eastAsia="宋体" w:cs="Times New Roman"/>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为其他补充内容</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注</w:t>
            </w:r>
            <w:r>
              <w:rPr>
                <w:rFonts w:ascii="Times New Roman" w:hAnsi="Times New Roman" w:eastAsia="宋体" w:cs="Times New Roman"/>
                <w:strike w:val="0"/>
                <w:dstrike w:val="0"/>
                <w:color w:val="auto"/>
                <w:spacing w:val="0"/>
                <w:position w:val="0"/>
                <w:sz w:val="21"/>
                <w:szCs w:val="21"/>
                <w:highlight w:val="none"/>
              </w:rPr>
              <w:t>2</w:t>
            </w:r>
            <w:r>
              <w:rPr>
                <w:rFonts w:ascii="Times New Roman" w:hAnsi="Times New Roman" w:eastAsia="宋体" w:cs="宋体"/>
                <w:strike w:val="0"/>
                <w:dstrike w:val="0"/>
                <w:color w:val="auto"/>
                <w:spacing w:val="0"/>
                <w:position w:val="0"/>
                <w:sz w:val="21"/>
                <w:szCs w:val="21"/>
                <w:highlight w:val="none"/>
              </w:rPr>
              <w:t>：需要分别开展土壤环境影响评级工作的，分别填写自查表</w:t>
            </w:r>
            <w:r>
              <w:rPr>
                <w:rFonts w:hint="eastAsia" w:ascii="Times New Roman" w:hAnsi="Times New Roman" w:eastAsia="宋体" w:cs="宋体"/>
                <w:strike w:val="0"/>
                <w:dstrike w:val="0"/>
                <w:color w:val="auto"/>
                <w:spacing w:val="0"/>
                <w:position w:val="0"/>
                <w:sz w:val="21"/>
                <w:szCs w:val="21"/>
                <w:highlight w:val="none"/>
                <w:lang w:eastAsia="zh-CN"/>
              </w:rPr>
              <w:t>。</w:t>
            </w:r>
          </w:p>
        </w:tc>
      </w:tr>
    </w:tbl>
    <w:p w14:paraId="5C90E1A5">
      <w:pPr>
        <w:pStyle w:val="4"/>
        <w:rPr>
          <w:rFonts w:ascii="Times New Roman" w:hAnsi="Times New Roman" w:eastAsia="宋体"/>
          <w:strike w:val="0"/>
          <w:dstrike w:val="0"/>
          <w:color w:val="auto"/>
          <w:highlight w:val="none"/>
        </w:rPr>
      </w:pPr>
      <w:bookmarkStart w:id="260" w:name="_Toc106663505"/>
      <w:bookmarkStart w:id="261" w:name="_Toc3173"/>
      <w:r>
        <w:rPr>
          <w:rFonts w:hint="eastAsia" w:ascii="Times New Roman" w:hAnsi="Times New Roman" w:eastAsia="宋体"/>
          <w:strike w:val="0"/>
          <w:dstrike w:val="0"/>
          <w:color w:val="auto"/>
          <w:highlight w:val="none"/>
        </w:rPr>
        <w:t>5.2.6生态环境影响分析</w:t>
      </w:r>
      <w:bookmarkEnd w:id="260"/>
      <w:bookmarkEnd w:id="261"/>
    </w:p>
    <w:p w14:paraId="5BD2AB32">
      <w:pPr>
        <w:pStyle w:val="159"/>
        <w:keepNext w:val="0"/>
        <w:keepLines w:val="0"/>
        <w:pageBreakBefore w:val="0"/>
        <w:widowControl w:val="0"/>
        <w:kinsoku/>
        <w:wordWrap/>
        <w:overflowPunct/>
        <w:topLinePunct w:val="0"/>
        <w:autoSpaceDE/>
        <w:autoSpaceDN/>
        <w:bidi w:val="0"/>
        <w:adjustRightInd/>
        <w:snapToGrid/>
        <w:spacing w:line="360" w:lineRule="auto"/>
        <w:ind w:firstLine="480" w:firstLineChars="200"/>
        <w:outlineLvl w:val="9"/>
        <w:rPr>
          <w:rFonts w:ascii="Times New Roman" w:hAnsi="Times New Roman" w:eastAsia="宋体"/>
          <w:b w:val="0"/>
          <w:bCs/>
          <w:strike w:val="0"/>
          <w:dstrike w:val="0"/>
          <w:color w:val="auto"/>
          <w:sz w:val="24"/>
          <w:szCs w:val="18"/>
          <w:highlight w:val="none"/>
        </w:rPr>
      </w:pPr>
      <w:r>
        <w:rPr>
          <w:rFonts w:hint="eastAsia" w:ascii="Times New Roman" w:hAnsi="Times New Roman" w:eastAsia="宋体"/>
          <w:b w:val="0"/>
          <w:bCs/>
          <w:strike w:val="0"/>
          <w:dstrike w:val="0"/>
          <w:color w:val="auto"/>
          <w:sz w:val="24"/>
          <w:szCs w:val="18"/>
          <w:highlight w:val="none"/>
        </w:rPr>
        <w:t>1、评价等级</w:t>
      </w:r>
    </w:p>
    <w:p w14:paraId="1A127F6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根据《环境影响评价技术导则生态影响》（HJ1.9-2022），确定生态环境评价工作等级</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根据生态影响评价工作等级划分内容</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生态影响评价工作等级划分如下原则确定：</w:t>
      </w:r>
    </w:p>
    <w:p w14:paraId="58B77977">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lang w:val="en-US" w:eastAsia="zh-CN"/>
        </w:rPr>
        <w:t>a）</w:t>
      </w:r>
      <w:r>
        <w:rPr>
          <w:rFonts w:hint="eastAsia" w:ascii="Times New Roman" w:hAnsi="Times New Roman" w:eastAsia="宋体"/>
          <w:b w:val="0"/>
          <w:strike w:val="0"/>
          <w:dstrike w:val="0"/>
          <w:color w:val="auto"/>
          <w:sz w:val="24"/>
          <w:highlight w:val="none"/>
        </w:rPr>
        <w:t>涉及国家公园、自然保护区、世界自然遗产、重要生境时，评价等级为一级；</w:t>
      </w:r>
    </w:p>
    <w:p w14:paraId="1059941C">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b）涉及自然公园时，评价等级为二级；</w:t>
      </w:r>
    </w:p>
    <w:p w14:paraId="56DCA2F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c）涉及生态保护红线时，评价等级不低于二级：</w:t>
      </w:r>
    </w:p>
    <w:p w14:paraId="7B18144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d）根据HJ2.3判断属于水文要素影响型且地表水评价等级不低于二级的建设项目，生态影响评价等级不低于二级；</w:t>
      </w:r>
    </w:p>
    <w:p w14:paraId="2BAF6AF3">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e）根据HJ610、HJ964判断地下水水位或土壤影响范围内分布有天然林、公益林、湿地等生态保护目标的建设项目，生态影响评价等级不低于二级；</w:t>
      </w:r>
    </w:p>
    <w:p w14:paraId="5EB10D14">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f）当工程占地规模大于20km</w:t>
      </w:r>
      <w:r>
        <w:rPr>
          <w:rFonts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rPr>
        <w:t>时（包括永久和临时占用陆域和水域），评价等级不低于二级：改扩建项目的占地范围以新增占地（包括陆域和水域）确定；</w:t>
      </w:r>
    </w:p>
    <w:p w14:paraId="27742638">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g）除本条a）、b）、c）、d）、e）、f）以外的情况，评价等级为三级；</w:t>
      </w:r>
    </w:p>
    <w:p w14:paraId="1C04517F">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h）当评价等级判定同时符合上述多种情况时，应采用其中最高的评价等级</w:t>
      </w:r>
      <w:r>
        <w:rPr>
          <w:rFonts w:hint="eastAsia" w:ascii="Times New Roman" w:hAnsi="Times New Roman" w:eastAsia="宋体"/>
          <w:b w:val="0"/>
          <w:strike w:val="0"/>
          <w:dstrike w:val="0"/>
          <w:color w:val="auto"/>
          <w:sz w:val="24"/>
          <w:highlight w:val="none"/>
          <w:lang w:eastAsia="zh-CN"/>
        </w:rPr>
        <w:t>。</w:t>
      </w:r>
    </w:p>
    <w:p w14:paraId="0A2CE6ED">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highlight w:val="none"/>
        </w:rPr>
      </w:pPr>
      <w:r>
        <w:rPr>
          <w:rFonts w:hint="eastAsia" w:ascii="Times New Roman" w:hAnsi="Times New Roman" w:eastAsia="宋体"/>
          <w:b w:val="0"/>
          <w:strike w:val="0"/>
          <w:dstrike w:val="0"/>
          <w:color w:val="auto"/>
          <w:sz w:val="24"/>
          <w:highlight w:val="none"/>
        </w:rPr>
        <w:t>（2）工程占地范围及环境敏感情况</w:t>
      </w:r>
    </w:p>
    <w:p w14:paraId="4ED56B25">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本项目总占地面积</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b w:val="0"/>
          <w:strike w:val="0"/>
          <w:dstrike w:val="0"/>
          <w:color w:val="auto"/>
          <w:sz w:val="24"/>
          <w:highlight w:val="none"/>
        </w:rPr>
        <w:t>m</w:t>
      </w:r>
      <w:r>
        <w:rPr>
          <w:rFonts w:hint="eastAsia"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rPr>
        <w:t>（折</w:t>
      </w:r>
      <w:r>
        <w:rPr>
          <w:rFonts w:hint="eastAsia" w:ascii="Times New Roman" w:hAnsi="Times New Roman" w:eastAsia="宋体"/>
          <w:b w:val="0"/>
          <w:strike w:val="0"/>
          <w:dstrike w:val="0"/>
          <w:color w:val="auto"/>
          <w:sz w:val="24"/>
          <w:highlight w:val="none"/>
          <w:lang w:val="en-US" w:eastAsia="zh-CN"/>
        </w:rPr>
        <w:t>0.13487</w:t>
      </w:r>
      <w:r>
        <w:rPr>
          <w:rFonts w:hint="eastAsia" w:ascii="Times New Roman" w:hAnsi="Times New Roman" w:eastAsia="宋体"/>
          <w:b w:val="0"/>
          <w:strike w:val="0"/>
          <w:dstrike w:val="0"/>
          <w:color w:val="auto"/>
          <w:sz w:val="24"/>
          <w:highlight w:val="none"/>
        </w:rPr>
        <w:t>km</w:t>
      </w:r>
      <w:r>
        <w:rPr>
          <w:rFonts w:hint="eastAsia"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rPr>
        <w:t>），小于2</w:t>
      </w:r>
      <w:r>
        <w:rPr>
          <w:rFonts w:ascii="Times New Roman" w:hAnsi="Times New Roman" w:eastAsia="宋体"/>
          <w:b w:val="0"/>
          <w:strike w:val="0"/>
          <w:dstrike w:val="0"/>
          <w:color w:val="auto"/>
          <w:sz w:val="24"/>
          <w:highlight w:val="none"/>
        </w:rPr>
        <w:t>0</w:t>
      </w:r>
      <w:r>
        <w:rPr>
          <w:rFonts w:hint="eastAsia" w:ascii="Times New Roman" w:hAnsi="Times New Roman" w:eastAsia="宋体"/>
          <w:b w:val="0"/>
          <w:strike w:val="0"/>
          <w:dstrike w:val="0"/>
          <w:color w:val="auto"/>
          <w:sz w:val="24"/>
          <w:highlight w:val="none"/>
        </w:rPr>
        <w:t>km</w:t>
      </w:r>
      <w:r>
        <w:rPr>
          <w:rFonts w:hint="eastAsia" w:ascii="Times New Roman" w:hAnsi="Times New Roman" w:eastAsia="宋体"/>
          <w:b w:val="0"/>
          <w:strike w:val="0"/>
          <w:dstrike w:val="0"/>
          <w:color w:val="auto"/>
          <w:sz w:val="24"/>
          <w:highlight w:val="none"/>
          <w:vertAlign w:val="superscript"/>
        </w:rPr>
        <w:t>2</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本项目周边不涉及国家公园、自然保护区、世界自然遗产、重要生境时，不涉及自然公园，不涉及生态保护红线</w:t>
      </w:r>
      <w:r>
        <w:rPr>
          <w:rFonts w:hint="eastAsia" w:ascii="Times New Roman" w:hAnsi="Times New Roman" w:eastAsia="宋体"/>
          <w:b w:val="0"/>
          <w:strike w:val="0"/>
          <w:dstrike w:val="0"/>
          <w:color w:val="auto"/>
          <w:sz w:val="24"/>
          <w:highlight w:val="none"/>
          <w:lang w:eastAsia="zh-CN"/>
        </w:rPr>
        <w:t>。</w:t>
      </w:r>
    </w:p>
    <w:p w14:paraId="46C01EC7">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综上所述，本项目生态影响评价等级为三级</w:t>
      </w:r>
      <w:r>
        <w:rPr>
          <w:rFonts w:hint="eastAsia" w:ascii="Times New Roman" w:hAnsi="Times New Roman" w:eastAsia="宋体"/>
          <w:b w:val="0"/>
          <w:strike w:val="0"/>
          <w:dstrike w:val="0"/>
          <w:color w:val="auto"/>
          <w:sz w:val="24"/>
          <w:highlight w:val="none"/>
          <w:lang w:eastAsia="zh-CN"/>
        </w:rPr>
        <w:t>。</w:t>
      </w:r>
    </w:p>
    <w:p w14:paraId="639B8953">
      <w:pPr>
        <w:pStyle w:val="159"/>
        <w:keepNext w:val="0"/>
        <w:keepLines w:val="0"/>
        <w:pageBreakBefore w:val="0"/>
        <w:widowControl w:val="0"/>
        <w:kinsoku/>
        <w:wordWrap/>
        <w:overflowPunct/>
        <w:topLinePunct w:val="0"/>
        <w:autoSpaceDE/>
        <w:autoSpaceDN/>
        <w:bidi w:val="0"/>
        <w:adjustRightInd/>
        <w:snapToGrid/>
        <w:spacing w:line="360" w:lineRule="auto"/>
        <w:ind w:firstLine="480" w:firstLineChars="200"/>
        <w:outlineLvl w:val="9"/>
        <w:rPr>
          <w:rFonts w:ascii="Times New Roman" w:hAnsi="Times New Roman" w:eastAsia="宋体"/>
          <w:b w:val="0"/>
          <w:bCs/>
          <w:strike w:val="0"/>
          <w:dstrike w:val="0"/>
          <w:color w:val="auto"/>
          <w:sz w:val="24"/>
          <w:szCs w:val="18"/>
          <w:highlight w:val="none"/>
        </w:rPr>
      </w:pPr>
      <w:r>
        <w:rPr>
          <w:rFonts w:ascii="Times New Roman" w:hAnsi="Times New Roman" w:eastAsia="宋体"/>
          <w:b w:val="0"/>
          <w:bCs/>
          <w:strike w:val="0"/>
          <w:dstrike w:val="0"/>
          <w:color w:val="auto"/>
          <w:sz w:val="24"/>
          <w:szCs w:val="18"/>
          <w:highlight w:val="none"/>
        </w:rPr>
        <w:t>2</w:t>
      </w:r>
      <w:r>
        <w:rPr>
          <w:rFonts w:hint="eastAsia" w:ascii="Times New Roman" w:hAnsi="Times New Roman" w:eastAsia="宋体"/>
          <w:b w:val="0"/>
          <w:bCs/>
          <w:strike w:val="0"/>
          <w:dstrike w:val="0"/>
          <w:color w:val="auto"/>
          <w:sz w:val="24"/>
          <w:szCs w:val="18"/>
          <w:highlight w:val="none"/>
        </w:rPr>
        <w:t>、</w:t>
      </w:r>
      <w:r>
        <w:rPr>
          <w:rFonts w:hint="eastAsia" w:ascii="Times New Roman" w:hAnsi="Times New Roman" w:eastAsia="宋体"/>
          <w:b w:val="0"/>
          <w:bCs/>
          <w:strike w:val="0"/>
          <w:dstrike w:val="0"/>
          <w:color w:val="auto"/>
          <w:sz w:val="24"/>
          <w:szCs w:val="21"/>
          <w:highlight w:val="none"/>
        </w:rPr>
        <w:t>生态环境</w:t>
      </w:r>
      <w:r>
        <w:rPr>
          <w:rFonts w:hint="eastAsia" w:ascii="Times New Roman" w:hAnsi="Times New Roman" w:eastAsia="宋体"/>
          <w:b w:val="0"/>
          <w:bCs/>
          <w:strike w:val="0"/>
          <w:dstrike w:val="0"/>
          <w:color w:val="auto"/>
          <w:sz w:val="24"/>
          <w:szCs w:val="18"/>
          <w:highlight w:val="none"/>
        </w:rPr>
        <w:t>影响评价</w:t>
      </w:r>
    </w:p>
    <w:p w14:paraId="114525AB">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szCs w:val="16"/>
          <w:highlight w:val="none"/>
        </w:rPr>
        <w:t>本项目为三级评价，</w:t>
      </w:r>
      <w:r>
        <w:rPr>
          <w:rFonts w:hint="eastAsia" w:ascii="Times New Roman" w:hAnsi="Times New Roman" w:eastAsia="宋体"/>
          <w:b w:val="0"/>
          <w:strike w:val="0"/>
          <w:dstrike w:val="0"/>
          <w:color w:val="auto"/>
          <w:sz w:val="24"/>
          <w:highlight w:val="none"/>
        </w:rPr>
        <w:t>根据《环境影响评价技术导则生态影响》（HJ1.9-2022）采取生态机理分析法对本项目生态影响进行评价</w:t>
      </w:r>
      <w:r>
        <w:rPr>
          <w:rFonts w:hint="eastAsia" w:ascii="Times New Roman" w:hAnsi="Times New Roman" w:eastAsia="宋体"/>
          <w:b w:val="0"/>
          <w:strike w:val="0"/>
          <w:dstrike w:val="0"/>
          <w:color w:val="auto"/>
          <w:sz w:val="24"/>
          <w:highlight w:val="none"/>
          <w:lang w:eastAsia="zh-CN"/>
        </w:rPr>
        <w:t>。</w:t>
      </w:r>
    </w:p>
    <w:p w14:paraId="2A44977A">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szCs w:val="16"/>
          <w:highlight w:val="none"/>
        </w:rPr>
      </w:pPr>
      <w:r>
        <w:rPr>
          <w:rFonts w:hint="eastAsia" w:ascii="Times New Roman" w:hAnsi="Times New Roman" w:eastAsia="宋体"/>
          <w:b w:val="0"/>
          <w:strike w:val="0"/>
          <w:dstrike w:val="0"/>
          <w:color w:val="auto"/>
          <w:sz w:val="24"/>
          <w:szCs w:val="16"/>
          <w:highlight w:val="none"/>
        </w:rPr>
        <w:t>1）环境背景现状调查</w:t>
      </w:r>
    </w:p>
    <w:p w14:paraId="3817D60A">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szCs w:val="16"/>
          <w:highlight w:val="none"/>
        </w:rPr>
      </w:pPr>
      <w:r>
        <w:rPr>
          <w:rFonts w:hint="eastAsia" w:ascii="Times New Roman" w:hAnsi="Times New Roman" w:eastAsia="宋体"/>
          <w:b w:val="0"/>
          <w:strike w:val="0"/>
          <w:dstrike w:val="0"/>
          <w:color w:val="auto"/>
          <w:sz w:val="24"/>
          <w:szCs w:val="16"/>
          <w:highlight w:val="none"/>
        </w:rPr>
        <w:t>项目拟建养殖场场地植物分布较为单一，没有珍稀植被，项目区建设前土地利用状况为</w:t>
      </w:r>
      <w:r>
        <w:rPr>
          <w:rFonts w:hint="eastAsia" w:ascii="Times New Roman" w:hAnsi="Times New Roman" w:eastAsia="宋体"/>
          <w:b w:val="0"/>
          <w:strike w:val="0"/>
          <w:dstrike w:val="0"/>
          <w:color w:val="auto"/>
          <w:sz w:val="24"/>
          <w:szCs w:val="16"/>
          <w:highlight w:val="none"/>
          <w:lang w:eastAsia="zh-CN"/>
        </w:rPr>
        <w:t>荒草地</w:t>
      </w:r>
      <w:r>
        <w:rPr>
          <w:rFonts w:hint="eastAsia" w:ascii="Times New Roman" w:hAnsi="Times New Roman" w:eastAsia="宋体"/>
          <w:b w:val="0"/>
          <w:strike w:val="0"/>
          <w:dstrike w:val="0"/>
          <w:color w:val="auto"/>
          <w:sz w:val="24"/>
          <w:szCs w:val="16"/>
          <w:highlight w:val="none"/>
        </w:rPr>
        <w:t>；</w:t>
      </w:r>
    </w:p>
    <w:p w14:paraId="26AA9FFF">
      <w:pPr>
        <w:keepNext w:val="0"/>
        <w:keepLines w:val="0"/>
        <w:pageBreakBefore w:val="0"/>
        <w:widowControl w:val="0"/>
        <w:kinsoku/>
        <w:wordWrap/>
        <w:overflowPunct/>
        <w:topLinePunct w:val="0"/>
        <w:autoSpaceDE/>
        <w:autoSpaceDN/>
        <w:bidi w:val="0"/>
        <w:adjustRightInd/>
        <w:snapToGrid/>
        <w:ind w:firstLine="480" w:firstLineChars="200"/>
        <w:outlineLvl w:val="9"/>
        <w:rPr>
          <w:rFonts w:ascii="Times New Roman" w:hAnsi="Times New Roman" w:eastAsia="宋体"/>
          <w:b w:val="0"/>
          <w:strike w:val="0"/>
          <w:dstrike w:val="0"/>
          <w:color w:val="auto"/>
          <w:sz w:val="24"/>
          <w:szCs w:val="16"/>
          <w:highlight w:val="none"/>
        </w:rPr>
      </w:pPr>
      <w:r>
        <w:rPr>
          <w:rFonts w:hint="eastAsia" w:ascii="Times New Roman" w:hAnsi="Times New Roman" w:eastAsia="宋体"/>
          <w:b w:val="0"/>
          <w:strike w:val="0"/>
          <w:dstrike w:val="0"/>
          <w:color w:val="auto"/>
          <w:sz w:val="24"/>
          <w:szCs w:val="16"/>
          <w:highlight w:val="none"/>
        </w:rPr>
        <w:t>2）植物和动物分布</w:t>
      </w:r>
    </w:p>
    <w:p w14:paraId="3D7B6014">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snapToGrid w:val="0"/>
          <w:color w:val="auto"/>
          <w:sz w:val="24"/>
          <w:szCs w:val="22"/>
          <w:highlight w:val="none"/>
        </w:rPr>
        <w:t>经</w:t>
      </w:r>
      <w:r>
        <w:rPr>
          <w:rFonts w:ascii="Times New Roman" w:hAnsi="Times New Roman" w:eastAsia="宋体"/>
          <w:b w:val="0"/>
          <w:strike w:val="0"/>
          <w:dstrike w:val="0"/>
          <w:snapToGrid w:val="0"/>
          <w:color w:val="auto"/>
          <w:sz w:val="24"/>
          <w:szCs w:val="22"/>
          <w:highlight w:val="none"/>
        </w:rPr>
        <w:t>实地调查，评价区</w:t>
      </w:r>
      <w:r>
        <w:rPr>
          <w:rFonts w:hint="eastAsia" w:ascii="Times New Roman" w:hAnsi="Times New Roman" w:eastAsia="宋体"/>
          <w:b w:val="0"/>
          <w:strike w:val="0"/>
          <w:dstrike w:val="0"/>
          <w:snapToGrid w:val="0"/>
          <w:color w:val="auto"/>
          <w:sz w:val="24"/>
          <w:szCs w:val="22"/>
          <w:highlight w:val="none"/>
        </w:rPr>
        <w:t>区域植被类型为温性荒漠类草原，植被主要有绢篙、猪毛菜、叉毛蓬等，植被长势良好</w:t>
      </w:r>
      <w:r>
        <w:rPr>
          <w:rFonts w:hint="eastAsia" w:ascii="Times New Roman" w:hAnsi="Times New Roman" w:eastAsia="宋体"/>
          <w:b w:val="0"/>
          <w:strike w:val="0"/>
          <w:dstrike w:val="0"/>
          <w:snapToGrid w:val="0"/>
          <w:color w:val="auto"/>
          <w:sz w:val="24"/>
          <w:szCs w:val="22"/>
          <w:highlight w:val="none"/>
          <w:lang w:eastAsia="zh-CN"/>
        </w:rPr>
        <w:t>。</w:t>
      </w:r>
    </w:p>
    <w:p w14:paraId="552E49D0">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highlight w:val="none"/>
        </w:rPr>
        <w:t>本项目土地原有类型为</w:t>
      </w:r>
      <w:r>
        <w:rPr>
          <w:rFonts w:hint="eastAsia" w:ascii="Times New Roman" w:hAnsi="Times New Roman" w:eastAsia="宋体"/>
          <w:b w:val="0"/>
          <w:strike w:val="0"/>
          <w:dstrike w:val="0"/>
          <w:color w:val="auto"/>
          <w:sz w:val="24"/>
          <w:highlight w:val="none"/>
          <w:lang w:eastAsia="zh-CN"/>
        </w:rPr>
        <w:t>荒地</w:t>
      </w:r>
      <w:r>
        <w:rPr>
          <w:rFonts w:hint="eastAsia" w:ascii="Times New Roman" w:hAnsi="Times New Roman" w:eastAsia="宋体"/>
          <w:b w:val="0"/>
          <w:strike w:val="0"/>
          <w:dstrike w:val="0"/>
          <w:color w:val="auto"/>
          <w:sz w:val="24"/>
          <w:highlight w:val="none"/>
        </w:rPr>
        <w:t>，由</w:t>
      </w:r>
      <w:r>
        <w:rPr>
          <w:rFonts w:hint="eastAsia" w:ascii="Times New Roman" w:hAnsi="Times New Roman" w:eastAsia="宋体"/>
          <w:b w:val="0"/>
          <w:strike w:val="0"/>
          <w:dstrike w:val="0"/>
          <w:color w:val="auto"/>
          <w:sz w:val="24"/>
          <w:highlight w:val="none"/>
          <w:lang w:eastAsia="zh-CN"/>
        </w:rPr>
        <w:t>昌吉木垒县博斯坦乡阿克卓勒村</w:t>
      </w:r>
      <w:r>
        <w:rPr>
          <w:rFonts w:hint="eastAsia" w:ascii="Times New Roman" w:hAnsi="Times New Roman" w:eastAsia="宋体"/>
          <w:b w:val="0"/>
          <w:strike w:val="0"/>
          <w:dstrike w:val="0"/>
          <w:color w:val="auto"/>
          <w:sz w:val="24"/>
          <w:highlight w:val="none"/>
        </w:rPr>
        <w:t>村委会使用，未承包到户</w:t>
      </w:r>
      <w:r>
        <w:rPr>
          <w:rFonts w:hint="eastAsia" w:ascii="Times New Roman" w:hAnsi="Times New Roman" w:eastAsia="宋体"/>
          <w:b w:val="0"/>
          <w:strike w:val="0"/>
          <w:dstrike w:val="0"/>
          <w:color w:val="auto"/>
          <w:sz w:val="24"/>
          <w:highlight w:val="none"/>
          <w:lang w:eastAsia="zh-CN"/>
        </w:rPr>
        <w:t>。</w:t>
      </w:r>
      <w:r>
        <w:rPr>
          <w:rFonts w:hint="eastAsia" w:ascii="Times New Roman" w:hAnsi="Times New Roman" w:eastAsia="宋体"/>
          <w:b w:val="0"/>
          <w:strike w:val="0"/>
          <w:dstrike w:val="0"/>
          <w:color w:val="auto"/>
          <w:sz w:val="24"/>
          <w:highlight w:val="none"/>
        </w:rPr>
        <w:t>本项目所在地块已经在</w:t>
      </w:r>
      <w:r>
        <w:rPr>
          <w:rFonts w:hint="eastAsia" w:ascii="Times New Roman" w:hAnsi="Times New Roman" w:eastAsia="宋体"/>
          <w:b w:val="0"/>
          <w:strike w:val="0"/>
          <w:dstrike w:val="0"/>
          <w:color w:val="auto"/>
          <w:sz w:val="24"/>
          <w:highlight w:val="none"/>
          <w:lang w:eastAsia="zh-CN"/>
        </w:rPr>
        <w:t>木垒县</w:t>
      </w:r>
      <w:r>
        <w:rPr>
          <w:rFonts w:hint="eastAsia" w:ascii="Times New Roman" w:hAnsi="Times New Roman" w:eastAsia="宋体"/>
          <w:b w:val="0"/>
          <w:strike w:val="0"/>
          <w:dstrike w:val="0"/>
          <w:color w:val="auto"/>
          <w:sz w:val="24"/>
          <w:highlight w:val="none"/>
        </w:rPr>
        <w:t>自然资源局办理相关了设施农用地备案手续，土地属性已转变为设施农业用地</w:t>
      </w:r>
    </w:p>
    <w:p w14:paraId="7496D6B8">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szCs w:val="16"/>
          <w:highlight w:val="none"/>
          <w:lang w:eastAsia="zh-CN"/>
        </w:rPr>
      </w:pPr>
      <w:r>
        <w:rPr>
          <w:rFonts w:hint="eastAsia" w:ascii="Times New Roman" w:hAnsi="Times New Roman" w:eastAsia="宋体"/>
          <w:b w:val="0"/>
          <w:strike w:val="0"/>
          <w:dstrike w:val="0"/>
          <w:color w:val="auto"/>
          <w:sz w:val="24"/>
          <w:szCs w:val="16"/>
          <w:highlight w:val="none"/>
        </w:rPr>
        <w:t>本项目建成后，部分土地被硬化，植被破坏，对植物生态系统造成了一定程度的损坏，但项目完成后，在养殖场内部空地和场界四周加强绿化，绿化以乔、灌、草等相结合的形式，场界主要种植高大乔木辅以灌木，场内以灌木草坪为主，相对增加了植被生态系统的多样性</w:t>
      </w:r>
      <w:r>
        <w:rPr>
          <w:rFonts w:hint="eastAsia" w:ascii="Times New Roman" w:hAnsi="Times New Roman" w:eastAsia="宋体"/>
          <w:b w:val="0"/>
          <w:strike w:val="0"/>
          <w:dstrike w:val="0"/>
          <w:color w:val="auto"/>
          <w:sz w:val="24"/>
          <w:szCs w:val="16"/>
          <w:highlight w:val="none"/>
          <w:lang w:eastAsia="zh-CN"/>
        </w:rPr>
        <w:t>。</w:t>
      </w:r>
    </w:p>
    <w:p w14:paraId="0BBE7F13">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szCs w:val="16"/>
          <w:highlight w:val="none"/>
          <w:lang w:eastAsia="zh-CN"/>
        </w:rPr>
      </w:pPr>
      <w:r>
        <w:rPr>
          <w:rFonts w:hint="eastAsia" w:ascii="Times New Roman" w:hAnsi="Times New Roman" w:eastAsia="宋体"/>
          <w:b w:val="0"/>
          <w:strike w:val="0"/>
          <w:dstrike w:val="0"/>
          <w:color w:val="auto"/>
          <w:sz w:val="24"/>
          <w:szCs w:val="16"/>
          <w:highlight w:val="none"/>
        </w:rPr>
        <w:t>本项目实施后，</w:t>
      </w:r>
      <w:r>
        <w:rPr>
          <w:rFonts w:hint="eastAsia" w:ascii="Times New Roman" w:hAnsi="Times New Roman" w:eastAsia="宋体"/>
          <w:b w:val="0"/>
          <w:strike w:val="0"/>
          <w:dstrike w:val="0"/>
          <w:color w:val="auto"/>
          <w:sz w:val="24"/>
          <w:szCs w:val="16"/>
          <w:highlight w:val="none"/>
          <w:lang w:val="en-US" w:eastAsia="zh-CN"/>
        </w:rPr>
        <w:t>产生的生产废水经黑膜池发酵处理后用于项目区周边林带施肥，骆驼粪便清运至堆肥场，经处理后外售有机肥厂</w:t>
      </w:r>
      <w:r>
        <w:rPr>
          <w:rFonts w:hint="eastAsia" w:ascii="Times New Roman" w:hAnsi="Times New Roman" w:eastAsia="宋体"/>
          <w:b w:val="0"/>
          <w:strike w:val="0"/>
          <w:dstrike w:val="0"/>
          <w:color w:val="auto"/>
          <w:sz w:val="24"/>
          <w:szCs w:val="16"/>
          <w:highlight w:val="none"/>
        </w:rPr>
        <w:t>；沼肥含多种植物易吸收的营养养分，有利于作物生长；既节约了水资源，又减少了废水排放量，降低了对环境的污染，提高了水资源的利用率</w:t>
      </w:r>
      <w:r>
        <w:rPr>
          <w:rFonts w:hint="eastAsia" w:ascii="Times New Roman" w:hAnsi="Times New Roman" w:eastAsia="宋体"/>
          <w:b w:val="0"/>
          <w:strike w:val="0"/>
          <w:dstrike w:val="0"/>
          <w:color w:val="auto"/>
          <w:sz w:val="24"/>
          <w:szCs w:val="16"/>
          <w:highlight w:val="none"/>
          <w:lang w:eastAsia="zh-CN"/>
        </w:rPr>
        <w:t>。</w:t>
      </w:r>
    </w:p>
    <w:p w14:paraId="526E4B78">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highlight w:val="none"/>
          <w:lang w:eastAsia="zh-CN"/>
        </w:rPr>
      </w:pPr>
      <w:r>
        <w:rPr>
          <w:rFonts w:hint="eastAsia" w:ascii="Times New Roman" w:hAnsi="Times New Roman" w:eastAsia="宋体"/>
          <w:b w:val="0"/>
          <w:strike w:val="0"/>
          <w:dstrike w:val="0"/>
          <w:color w:val="auto"/>
          <w:sz w:val="24"/>
          <w:szCs w:val="16"/>
          <w:highlight w:val="none"/>
        </w:rPr>
        <w:t>综上，项目建设对于生态环境具有一定的环境影响，但影响在可接受范围内</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经分析可知，本项目实施后对当地动植物生态环境影响不大</w:t>
      </w:r>
      <w:r>
        <w:rPr>
          <w:rFonts w:hint="eastAsia" w:ascii="Times New Roman" w:hAnsi="Times New Roman" w:eastAsia="宋体"/>
          <w:b w:val="0"/>
          <w:strike w:val="0"/>
          <w:dstrike w:val="0"/>
          <w:color w:val="auto"/>
          <w:sz w:val="24"/>
          <w:szCs w:val="16"/>
          <w:highlight w:val="none"/>
          <w:lang w:eastAsia="zh-CN"/>
        </w:rPr>
        <w:t>。</w:t>
      </w:r>
    </w:p>
    <w:p w14:paraId="1F74B820">
      <w:pPr>
        <w:pStyle w:val="159"/>
        <w:keepNext w:val="0"/>
        <w:keepLines w:val="0"/>
        <w:pageBreakBefore w:val="0"/>
        <w:widowControl w:val="0"/>
        <w:kinsoku/>
        <w:wordWrap/>
        <w:overflowPunct/>
        <w:topLinePunct w:val="0"/>
        <w:autoSpaceDE/>
        <w:autoSpaceDN/>
        <w:bidi w:val="0"/>
        <w:adjustRightInd/>
        <w:snapToGrid/>
        <w:spacing w:line="360" w:lineRule="auto"/>
        <w:ind w:firstLine="480" w:firstLineChars="200"/>
        <w:outlineLvl w:val="9"/>
        <w:rPr>
          <w:rFonts w:ascii="Times New Roman" w:hAnsi="Times New Roman" w:eastAsia="宋体"/>
          <w:b w:val="0"/>
          <w:bCs/>
          <w:strike w:val="0"/>
          <w:dstrike w:val="0"/>
          <w:color w:val="auto"/>
          <w:sz w:val="24"/>
          <w:szCs w:val="21"/>
          <w:highlight w:val="none"/>
        </w:rPr>
      </w:pPr>
      <w:bookmarkStart w:id="262" w:name="_Toc86740209"/>
      <w:bookmarkStart w:id="263" w:name="_Toc106663506"/>
      <w:r>
        <w:rPr>
          <w:rFonts w:ascii="Times New Roman" w:hAnsi="Times New Roman" w:eastAsia="宋体"/>
          <w:b w:val="0"/>
          <w:bCs/>
          <w:strike w:val="0"/>
          <w:dstrike w:val="0"/>
          <w:color w:val="auto"/>
          <w:sz w:val="24"/>
          <w:szCs w:val="21"/>
          <w:highlight w:val="none"/>
        </w:rPr>
        <w:t>3</w:t>
      </w:r>
      <w:r>
        <w:rPr>
          <w:rFonts w:hint="eastAsia" w:ascii="Times New Roman" w:hAnsi="Times New Roman" w:eastAsia="宋体"/>
          <w:b w:val="0"/>
          <w:bCs/>
          <w:strike w:val="0"/>
          <w:dstrike w:val="0"/>
          <w:color w:val="auto"/>
          <w:sz w:val="24"/>
          <w:szCs w:val="21"/>
          <w:highlight w:val="none"/>
        </w:rPr>
        <w:t>、对景观生态的影响</w:t>
      </w:r>
      <w:bookmarkEnd w:id="262"/>
      <w:bookmarkEnd w:id="263"/>
    </w:p>
    <w:p w14:paraId="282373A8">
      <w:pPr>
        <w:keepNext w:val="0"/>
        <w:keepLines w:val="0"/>
        <w:pageBreakBefore w:val="0"/>
        <w:widowControl w:val="0"/>
        <w:kinsoku/>
        <w:wordWrap/>
        <w:overflowPunct/>
        <w:topLinePunct w:val="0"/>
        <w:autoSpaceDE/>
        <w:autoSpaceDN/>
        <w:bidi w:val="0"/>
        <w:adjustRightInd/>
        <w:snapToGrid/>
        <w:ind w:firstLine="480" w:firstLineChars="200"/>
        <w:outlineLvl w:val="9"/>
        <w:rPr>
          <w:rFonts w:hint="eastAsia" w:ascii="Times New Roman" w:hAnsi="Times New Roman" w:eastAsia="宋体"/>
          <w:b w:val="0"/>
          <w:strike w:val="0"/>
          <w:dstrike w:val="0"/>
          <w:color w:val="auto"/>
          <w:sz w:val="24"/>
          <w:szCs w:val="16"/>
          <w:highlight w:val="none"/>
          <w:lang w:eastAsia="zh-CN"/>
        </w:rPr>
      </w:pPr>
      <w:r>
        <w:rPr>
          <w:rFonts w:hint="eastAsia" w:ascii="Times New Roman" w:hAnsi="Times New Roman" w:eastAsia="宋体"/>
          <w:b w:val="0"/>
          <w:strike w:val="0"/>
          <w:dstrike w:val="0"/>
          <w:color w:val="auto"/>
          <w:sz w:val="24"/>
          <w:szCs w:val="16"/>
          <w:highlight w:val="none"/>
        </w:rPr>
        <w:t>项目养殖场属于地上建筑，因此在设计时需考虑周边景观要求，加强对建构筑物及道路以外的空地进行绿化，植物配置以乡土物种为主，疏密适当，高低错落，形成一定的层次感；色彩丰富，主要以常绿树种作为</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背景</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，四季不同花色的花草灌木进行搭配</w:t>
      </w:r>
      <w:r>
        <w:rPr>
          <w:rFonts w:hint="eastAsia" w:ascii="Times New Roman" w:hAnsi="Times New Roman" w:eastAsia="宋体"/>
          <w:b w:val="0"/>
          <w:strike w:val="0"/>
          <w:dstrike w:val="0"/>
          <w:color w:val="auto"/>
          <w:sz w:val="24"/>
          <w:szCs w:val="16"/>
          <w:highlight w:val="none"/>
          <w:lang w:eastAsia="zh-CN"/>
        </w:rPr>
        <w:t>。</w:t>
      </w:r>
      <w:r>
        <w:rPr>
          <w:rFonts w:hint="eastAsia" w:ascii="Times New Roman" w:hAnsi="Times New Roman" w:eastAsia="宋体"/>
          <w:b w:val="0"/>
          <w:strike w:val="0"/>
          <w:dstrike w:val="0"/>
          <w:color w:val="auto"/>
          <w:sz w:val="24"/>
          <w:szCs w:val="16"/>
          <w:highlight w:val="none"/>
        </w:rPr>
        <w:t>尽量避免裸露地面，广泛进行垂直绿化，以及各种灌木和草本类花卉、播撒草籽加以点缀，增加</w:t>
      </w:r>
      <w:r>
        <w:rPr>
          <w:rFonts w:ascii="Times New Roman" w:hAnsi="Times New Roman" w:eastAsia="宋体"/>
          <w:b w:val="0"/>
          <w:strike w:val="0"/>
          <w:dstrike w:val="0"/>
          <w:color w:val="auto"/>
          <w:sz w:val="24"/>
          <w:highlight w:val="none"/>
        </w:rPr>
        <w:t>绿化面积</w:t>
      </w:r>
      <w:r>
        <w:rPr>
          <w:rFonts w:hint="eastAsia" w:ascii="Times New Roman" w:hAnsi="Times New Roman" w:eastAsia="宋体"/>
          <w:b w:val="0"/>
          <w:strike w:val="0"/>
          <w:dstrike w:val="0"/>
          <w:color w:val="auto"/>
          <w:sz w:val="24"/>
          <w:highlight w:val="none"/>
        </w:rPr>
        <w:t>，</w:t>
      </w:r>
      <w:r>
        <w:rPr>
          <w:rFonts w:hint="eastAsia" w:ascii="Times New Roman" w:hAnsi="Times New Roman" w:eastAsia="宋体"/>
          <w:b w:val="0"/>
          <w:strike w:val="0"/>
          <w:dstrike w:val="0"/>
          <w:color w:val="auto"/>
          <w:sz w:val="24"/>
          <w:szCs w:val="16"/>
          <w:highlight w:val="none"/>
        </w:rPr>
        <w:t>尽可能的减轻了养殖场建设对周边景观的影响，对周边景观影响较小</w:t>
      </w:r>
      <w:r>
        <w:rPr>
          <w:rFonts w:hint="eastAsia" w:ascii="Times New Roman" w:hAnsi="Times New Roman" w:eastAsia="宋体"/>
          <w:b w:val="0"/>
          <w:strike w:val="0"/>
          <w:dstrike w:val="0"/>
          <w:color w:val="auto"/>
          <w:sz w:val="24"/>
          <w:szCs w:val="16"/>
          <w:highlight w:val="none"/>
          <w:lang w:eastAsia="zh-CN"/>
        </w:rPr>
        <w:t>。</w:t>
      </w:r>
    </w:p>
    <w:p w14:paraId="5B5E72FD">
      <w:pPr>
        <w:pStyle w:val="3"/>
        <w:rPr>
          <w:rFonts w:ascii="Times New Roman" w:hAnsi="Times New Roman" w:eastAsia="宋体"/>
          <w:strike w:val="0"/>
          <w:dstrike w:val="0"/>
          <w:color w:val="auto"/>
          <w:highlight w:val="none"/>
        </w:rPr>
      </w:pPr>
      <w:bookmarkStart w:id="264" w:name="_Toc106663507"/>
      <w:bookmarkStart w:id="265" w:name="_Toc3406"/>
      <w:bookmarkStart w:id="266" w:name="_Toc89619345"/>
      <w:r>
        <w:rPr>
          <w:rFonts w:hint="eastAsia" w:ascii="Times New Roman" w:hAnsi="Times New Roman" w:eastAsia="宋体"/>
          <w:strike w:val="0"/>
          <w:dstrike w:val="0"/>
          <w:color w:val="auto"/>
          <w:highlight w:val="none"/>
        </w:rPr>
        <w:t>5.3、环境风险评价</w:t>
      </w:r>
      <w:bookmarkEnd w:id="264"/>
      <w:bookmarkEnd w:id="265"/>
      <w:bookmarkEnd w:id="266"/>
    </w:p>
    <w:p w14:paraId="6EC85AF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环境风险是指突发性事故造成的重大环境污染的事件，其特点是危害大、影响范围广、发生概率具有很大的不确定性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风险评价的目的是分析和预测本项目存在的潜在危险、有害因素，项目建设和运行期间可能发生的突发性事件或事故（一般不包括人为破坏及自然灾害），引起有毒有害和易燃易爆等物质泄漏，所造成的人身安全、环境影响及其损害程度，提出合理可行的防范、应急与减缓措施，以使建设项目事故率、损失和环境影响达到可接受水平</w:t>
      </w:r>
      <w:r>
        <w:rPr>
          <w:rFonts w:hint="eastAsia" w:ascii="Times New Roman" w:hAnsi="Times New Roman" w:eastAsia="宋体"/>
          <w:strike w:val="0"/>
          <w:dstrike w:val="0"/>
          <w:color w:val="auto"/>
          <w:highlight w:val="none"/>
          <w:lang w:eastAsia="zh-CN"/>
        </w:rPr>
        <w:t>。</w:t>
      </w:r>
    </w:p>
    <w:p w14:paraId="4D5B2EB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关于切实加强风险防范严格环境影响评价管理的通知》（环发[2012]98号）、《关于进一步加强环境影响评价管理防范环境风险的通知》（环发[2012]77号）等要求，对本项目进行环境风险评价，通过对建设项目的环境风险进行分析、预测和评估，提出环境风险预防、控制、减缓措施，明确环境风险监控及应急建议要求，为建设项目环境风险防控提出科学依据</w:t>
      </w:r>
      <w:r>
        <w:rPr>
          <w:rFonts w:hint="eastAsia" w:ascii="Times New Roman" w:hAnsi="Times New Roman" w:eastAsia="宋体"/>
          <w:strike w:val="0"/>
          <w:dstrike w:val="0"/>
          <w:color w:val="auto"/>
          <w:highlight w:val="none"/>
          <w:lang w:eastAsia="zh-CN"/>
        </w:rPr>
        <w:t>。</w:t>
      </w:r>
    </w:p>
    <w:p w14:paraId="4D5EE3F1">
      <w:pPr>
        <w:pStyle w:val="4"/>
        <w:rPr>
          <w:rFonts w:ascii="Times New Roman" w:hAnsi="Times New Roman" w:eastAsia="宋体"/>
          <w:strike w:val="0"/>
          <w:dstrike w:val="0"/>
          <w:color w:val="auto"/>
          <w:highlight w:val="none"/>
        </w:rPr>
      </w:pPr>
      <w:bookmarkStart w:id="267" w:name="_Toc15623"/>
      <w:bookmarkStart w:id="268" w:name="_Toc106663508"/>
      <w:r>
        <w:rPr>
          <w:rFonts w:hint="eastAsia" w:ascii="Times New Roman" w:hAnsi="Times New Roman" w:eastAsia="宋体"/>
          <w:strike w:val="0"/>
          <w:dstrike w:val="0"/>
          <w:color w:val="auto"/>
          <w:highlight w:val="none"/>
        </w:rPr>
        <w:t>5.3.1环境风险评价原则</w:t>
      </w:r>
      <w:bookmarkEnd w:id="267"/>
      <w:bookmarkEnd w:id="268"/>
    </w:p>
    <w:p w14:paraId="3ECFED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r>
        <w:rPr>
          <w:rFonts w:hint="eastAsia" w:ascii="Times New Roman" w:hAnsi="Times New Roman" w:eastAsia="宋体"/>
          <w:strike w:val="0"/>
          <w:dstrike w:val="0"/>
          <w:color w:val="auto"/>
          <w:highlight w:val="none"/>
          <w:lang w:eastAsia="zh-CN"/>
        </w:rPr>
        <w:t>。</w:t>
      </w:r>
    </w:p>
    <w:p w14:paraId="3D4AAAD1">
      <w:pPr>
        <w:pStyle w:val="4"/>
        <w:rPr>
          <w:rFonts w:ascii="Times New Roman" w:hAnsi="Times New Roman" w:eastAsia="宋体"/>
          <w:strike w:val="0"/>
          <w:dstrike w:val="0"/>
          <w:color w:val="auto"/>
          <w:highlight w:val="none"/>
          <w:u w:val="none"/>
        </w:rPr>
      </w:pPr>
      <w:bookmarkStart w:id="269" w:name="_Toc2859"/>
      <w:bookmarkStart w:id="270" w:name="_Toc106663509"/>
      <w:r>
        <w:rPr>
          <w:rFonts w:hint="eastAsia" w:ascii="Times New Roman" w:hAnsi="Times New Roman" w:eastAsia="宋体"/>
          <w:strike w:val="0"/>
          <w:dstrike w:val="0"/>
          <w:color w:val="auto"/>
          <w:highlight w:val="none"/>
          <w:u w:val="none"/>
        </w:rPr>
        <w:t>5.3.2评价程序</w:t>
      </w:r>
      <w:bookmarkEnd w:id="269"/>
      <w:bookmarkEnd w:id="270"/>
    </w:p>
    <w:p w14:paraId="2F944781">
      <w:pPr>
        <w:ind w:firstLine="480"/>
        <w:rPr>
          <w:rFonts w:hint="eastAsia" w:ascii="Times New Roman" w:hAnsi="Times New Roman" w:eastAsia="宋体"/>
          <w:strike w:val="0"/>
          <w:dstrike w:val="0"/>
          <w:color w:val="auto"/>
          <w:highlight w:val="none"/>
          <w:u w:val="none"/>
          <w:lang w:eastAsia="zh-CN"/>
        </w:rPr>
      </w:pPr>
      <w:r>
        <w:rPr>
          <w:rFonts w:hint="eastAsia" w:ascii="Times New Roman" w:hAnsi="Times New Roman" w:eastAsia="宋体"/>
          <w:strike w:val="0"/>
          <w:dstrike w:val="0"/>
          <w:color w:val="auto"/>
          <w:highlight w:val="none"/>
          <w:u w:val="none"/>
        </w:rPr>
        <w:t>环境风险评价程序见图5.3-1</w:t>
      </w:r>
      <w:r>
        <w:rPr>
          <w:rFonts w:hint="eastAsia" w:ascii="Times New Roman" w:hAnsi="Times New Roman" w:eastAsia="宋体"/>
          <w:strike w:val="0"/>
          <w:dstrike w:val="0"/>
          <w:color w:val="auto"/>
          <w:highlight w:val="none"/>
          <w:u w:val="none"/>
          <w:lang w:eastAsia="zh-CN"/>
        </w:rPr>
        <w:t>。</w:t>
      </w:r>
    </w:p>
    <w:p w14:paraId="68B3BFF2">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4679950" cy="4817745"/>
            <wp:effectExtent l="0" t="0" r="635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5"/>
                    <a:stretch>
                      <a:fillRect/>
                    </a:stretch>
                  </pic:blipFill>
                  <pic:spPr>
                    <a:xfrm>
                      <a:off x="0" y="0"/>
                      <a:ext cx="4679950" cy="4817745"/>
                    </a:xfrm>
                    <a:prstGeom prst="rect">
                      <a:avLst/>
                    </a:prstGeom>
                  </pic:spPr>
                </pic:pic>
              </a:graphicData>
            </a:graphic>
          </wp:inline>
        </w:drawing>
      </w:r>
    </w:p>
    <w:p w14:paraId="1409FE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图5.3-1环境风险评价流程框图</w:t>
      </w:r>
    </w:p>
    <w:p w14:paraId="048018D2">
      <w:pPr>
        <w:pStyle w:val="4"/>
        <w:rPr>
          <w:rFonts w:ascii="Times New Roman" w:hAnsi="Times New Roman" w:eastAsia="宋体"/>
          <w:strike w:val="0"/>
          <w:dstrike w:val="0"/>
          <w:color w:val="auto"/>
          <w:highlight w:val="none"/>
        </w:rPr>
      </w:pPr>
      <w:bookmarkStart w:id="271" w:name="_Toc106663510"/>
      <w:bookmarkStart w:id="272" w:name="_Toc27328"/>
      <w:r>
        <w:rPr>
          <w:rFonts w:hint="eastAsia" w:ascii="Times New Roman" w:hAnsi="Times New Roman" w:eastAsia="宋体"/>
          <w:strike w:val="0"/>
          <w:dstrike w:val="0"/>
          <w:color w:val="auto"/>
          <w:highlight w:val="none"/>
        </w:rPr>
        <w:t>5.3.3风险调查</w:t>
      </w:r>
      <w:bookmarkEnd w:id="271"/>
      <w:bookmarkEnd w:id="272"/>
    </w:p>
    <w:p w14:paraId="4DC533E8">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5.3.3.1建设项目风险源调查</w:t>
      </w:r>
    </w:p>
    <w:p w14:paraId="760CB29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本项目为畜禽养殖项目，根据《建设项目环境风险评价技术导则》</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HJ169-2018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中附录B判定，项目不涉及风险物质</w:t>
      </w:r>
      <w:r>
        <w:rPr>
          <w:rFonts w:hint="eastAsia" w:ascii="Times New Roman" w:hAnsi="Times New Roman" w:eastAsia="宋体"/>
          <w:strike w:val="0"/>
          <w:dstrike w:val="0"/>
          <w:color w:val="auto"/>
          <w:highlight w:val="none"/>
          <w:lang w:eastAsia="zh-CN"/>
        </w:rPr>
        <w:t>。</w:t>
      </w:r>
    </w:p>
    <w:p w14:paraId="572D67C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5.3.2.2环境敏感目标调查</w:t>
      </w:r>
    </w:p>
    <w:p w14:paraId="52EE418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根据现场勘查及相关资料查阅，项目所属区域内无自然保护区、风景名胜区和文物古迹等需要特殊保护的敏感目标</w:t>
      </w:r>
      <w:r>
        <w:rPr>
          <w:rFonts w:hint="eastAsia" w:ascii="Times New Roman" w:hAnsi="Times New Roman" w:eastAsia="宋体"/>
          <w:strike w:val="0"/>
          <w:dstrike w:val="0"/>
          <w:color w:val="auto"/>
          <w:highlight w:val="none"/>
          <w:lang w:eastAsia="zh-CN"/>
        </w:rPr>
        <w:t>。</w:t>
      </w:r>
    </w:p>
    <w:p w14:paraId="385169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表5.3-1主要环境保护目标一览表</w:t>
      </w:r>
    </w:p>
    <w:tbl>
      <w:tblPr>
        <w:tblStyle w:val="183"/>
        <w:tblW w:w="501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9"/>
        <w:gridCol w:w="1782"/>
        <w:gridCol w:w="1849"/>
        <w:gridCol w:w="551"/>
        <w:gridCol w:w="549"/>
        <w:gridCol w:w="781"/>
        <w:gridCol w:w="1010"/>
        <w:gridCol w:w="1271"/>
      </w:tblGrid>
      <w:tr w14:paraId="57743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329" w:type="pct"/>
            <w:vAlign w:val="center"/>
          </w:tcPr>
          <w:p w14:paraId="6E25C8D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bookmarkStart w:id="273" w:name="_Toc106663511"/>
            <w:r>
              <w:rPr>
                <w:rFonts w:ascii="Times New Roman" w:hAnsi="Times New Roman" w:eastAsia="宋体" w:cs="宋体"/>
                <w:strike w:val="0"/>
                <w:dstrike w:val="0"/>
                <w:color w:val="auto"/>
                <w:spacing w:val="0"/>
                <w:position w:val="0"/>
                <w:sz w:val="21"/>
                <w:szCs w:val="21"/>
                <w:highlight w:val="none"/>
              </w:rPr>
              <w:t>环境要素</w:t>
            </w:r>
          </w:p>
        </w:tc>
        <w:tc>
          <w:tcPr>
            <w:tcW w:w="2176" w:type="pct"/>
            <w:gridSpan w:val="2"/>
            <w:vAlign w:val="center"/>
          </w:tcPr>
          <w:p w14:paraId="5478725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坐标</w:t>
            </w:r>
            <w:r>
              <w:rPr>
                <w:rFonts w:ascii="Times New Roman" w:hAnsi="Times New Roman" w:eastAsia="宋体" w:cs="Times New Roman"/>
                <w:strike w:val="0"/>
                <w:dstrike w:val="0"/>
                <w:color w:val="auto"/>
                <w:spacing w:val="0"/>
                <w:position w:val="0"/>
                <w:sz w:val="21"/>
                <w:szCs w:val="21"/>
                <w:highlight w:val="none"/>
              </w:rPr>
              <w:t>/m</w:t>
            </w:r>
          </w:p>
        </w:tc>
        <w:tc>
          <w:tcPr>
            <w:tcW w:w="329" w:type="pct"/>
            <w:vMerge w:val="restart"/>
            <w:tcBorders>
              <w:bottom w:val="nil"/>
            </w:tcBorders>
            <w:vAlign w:val="center"/>
          </w:tcPr>
          <w:p w14:paraId="00153F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保护对象</w:t>
            </w:r>
          </w:p>
        </w:tc>
        <w:tc>
          <w:tcPr>
            <w:tcW w:w="329" w:type="pct"/>
            <w:vMerge w:val="restart"/>
            <w:tcBorders>
              <w:bottom w:val="nil"/>
            </w:tcBorders>
            <w:vAlign w:val="center"/>
          </w:tcPr>
          <w:p w14:paraId="57BBA09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保护内容</w:t>
            </w:r>
          </w:p>
        </w:tc>
        <w:tc>
          <w:tcPr>
            <w:tcW w:w="468" w:type="pct"/>
            <w:vMerge w:val="restart"/>
            <w:tcBorders>
              <w:bottom w:val="nil"/>
            </w:tcBorders>
            <w:vAlign w:val="center"/>
          </w:tcPr>
          <w:p w14:paraId="6E1DFF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环境功能区</w:t>
            </w:r>
          </w:p>
        </w:tc>
        <w:tc>
          <w:tcPr>
            <w:tcW w:w="605" w:type="pct"/>
            <w:vMerge w:val="restart"/>
            <w:tcBorders>
              <w:bottom w:val="nil"/>
            </w:tcBorders>
            <w:vAlign w:val="center"/>
          </w:tcPr>
          <w:p w14:paraId="78B4AF4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相对厂址方位</w:t>
            </w:r>
          </w:p>
        </w:tc>
        <w:tc>
          <w:tcPr>
            <w:tcW w:w="760" w:type="pct"/>
            <w:vMerge w:val="restart"/>
            <w:tcBorders>
              <w:bottom w:val="nil"/>
            </w:tcBorders>
            <w:vAlign w:val="center"/>
          </w:tcPr>
          <w:p w14:paraId="6EBC6A6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相对厂界距离</w:t>
            </w:r>
            <w:r>
              <w:rPr>
                <w:rFonts w:ascii="Times New Roman" w:hAnsi="Times New Roman" w:eastAsia="宋体" w:cs="Times New Roman"/>
                <w:strike w:val="0"/>
                <w:dstrike w:val="0"/>
                <w:color w:val="auto"/>
                <w:spacing w:val="0"/>
                <w:position w:val="0"/>
                <w:sz w:val="21"/>
                <w:szCs w:val="21"/>
                <w:highlight w:val="none"/>
              </w:rPr>
              <w:t>/m</w:t>
            </w:r>
          </w:p>
        </w:tc>
      </w:tr>
      <w:tr w14:paraId="7BAD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restart"/>
            <w:vAlign w:val="center"/>
          </w:tcPr>
          <w:p w14:paraId="24A3853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环境空气</w:t>
            </w:r>
          </w:p>
        </w:tc>
        <w:tc>
          <w:tcPr>
            <w:tcW w:w="1068" w:type="pct"/>
            <w:vAlign w:val="center"/>
          </w:tcPr>
          <w:p w14:paraId="338FA14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东经</w:t>
            </w:r>
          </w:p>
        </w:tc>
        <w:tc>
          <w:tcPr>
            <w:tcW w:w="1108" w:type="pct"/>
            <w:vAlign w:val="center"/>
          </w:tcPr>
          <w:p w14:paraId="7003E29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北纬</w:t>
            </w:r>
          </w:p>
        </w:tc>
        <w:tc>
          <w:tcPr>
            <w:tcW w:w="329" w:type="pct"/>
            <w:vMerge w:val="continue"/>
            <w:tcBorders>
              <w:top w:val="nil"/>
            </w:tcBorders>
            <w:vAlign w:val="center"/>
          </w:tcPr>
          <w:p w14:paraId="68D28FD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29" w:type="pct"/>
            <w:vMerge w:val="continue"/>
            <w:tcBorders>
              <w:top w:val="nil"/>
            </w:tcBorders>
            <w:vAlign w:val="center"/>
          </w:tcPr>
          <w:p w14:paraId="519C6DD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468" w:type="pct"/>
            <w:vMerge w:val="continue"/>
            <w:tcBorders>
              <w:top w:val="nil"/>
            </w:tcBorders>
            <w:vAlign w:val="center"/>
          </w:tcPr>
          <w:p w14:paraId="09D80DC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605" w:type="pct"/>
            <w:vMerge w:val="continue"/>
            <w:tcBorders>
              <w:top w:val="nil"/>
            </w:tcBorders>
            <w:vAlign w:val="center"/>
          </w:tcPr>
          <w:p w14:paraId="6E961BA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0" w:type="pct"/>
            <w:vMerge w:val="continue"/>
            <w:tcBorders>
              <w:top w:val="nil"/>
            </w:tcBorders>
            <w:vAlign w:val="center"/>
          </w:tcPr>
          <w:p w14:paraId="66242C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A3DF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1201312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6250959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90°36′6.80</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7F75CBC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43°43′37.15</w:t>
            </w:r>
            <w:r>
              <w:rPr>
                <w:rFonts w:hint="eastAsia" w:ascii="Times New Roman" w:hAnsi="Times New Roman" w:eastAsia="宋体" w:cs="Times New Roman"/>
                <w:strike w:val="0"/>
                <w:dstrike w:val="0"/>
                <w:color w:val="auto"/>
                <w:spacing w:val="0"/>
                <w:position w:val="0"/>
                <w:sz w:val="21"/>
                <w:szCs w:val="21"/>
                <w:highlight w:val="none"/>
                <w:lang w:val="en-US" w:eastAsia="zh-CN"/>
              </w:rPr>
              <w:t>1</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0C9B451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red"/>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阿克卓勒</w:t>
            </w:r>
            <w:r>
              <w:rPr>
                <w:rFonts w:hint="eastAsia" w:ascii="Times New Roman" w:hAnsi="Times New Roman" w:eastAsia="宋体" w:cs="宋体"/>
                <w:strike w:val="0"/>
                <w:dstrike w:val="0"/>
                <w:color w:val="auto"/>
                <w:spacing w:val="0"/>
                <w:sz w:val="21"/>
                <w:szCs w:val="21"/>
                <w:highlight w:val="none"/>
                <w:lang w:eastAsia="zh-CN"/>
              </w:rPr>
              <w:t>村</w:t>
            </w:r>
          </w:p>
        </w:tc>
        <w:tc>
          <w:tcPr>
            <w:tcW w:w="329" w:type="pct"/>
            <w:vMerge w:val="restart"/>
            <w:vAlign w:val="center"/>
          </w:tcPr>
          <w:p w14:paraId="73F68C8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人群健康</w:t>
            </w:r>
          </w:p>
        </w:tc>
        <w:tc>
          <w:tcPr>
            <w:tcW w:w="468" w:type="pct"/>
            <w:vMerge w:val="restart"/>
            <w:vAlign w:val="center"/>
          </w:tcPr>
          <w:p w14:paraId="446C715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605" w:type="pct"/>
            <w:vAlign w:val="center"/>
          </w:tcPr>
          <w:p w14:paraId="6C8C934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南</w:t>
            </w:r>
          </w:p>
        </w:tc>
        <w:tc>
          <w:tcPr>
            <w:tcW w:w="760" w:type="pct"/>
            <w:vAlign w:val="center"/>
          </w:tcPr>
          <w:p w14:paraId="618B867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1450</w:t>
            </w:r>
          </w:p>
        </w:tc>
      </w:tr>
      <w:tr w14:paraId="2A5C9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329" w:type="pct"/>
            <w:vMerge w:val="continue"/>
            <w:vAlign w:val="center"/>
          </w:tcPr>
          <w:p w14:paraId="68F3C52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1068" w:type="pct"/>
            <w:vAlign w:val="center"/>
          </w:tcPr>
          <w:p w14:paraId="0D2A76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90°36′59.29</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1108" w:type="pct"/>
            <w:vAlign w:val="center"/>
          </w:tcPr>
          <w:p w14:paraId="0EDE09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rPr>
            </w:pPr>
            <w:r>
              <w:rPr>
                <w:rFonts w:hint="eastAsia" w:ascii="Times New Roman" w:hAnsi="Times New Roman" w:eastAsia="宋体" w:cs="Times New Roman"/>
                <w:strike w:val="0"/>
                <w:dstrike w:val="0"/>
                <w:color w:val="auto"/>
                <w:spacing w:val="0"/>
                <w:position w:val="0"/>
                <w:sz w:val="21"/>
                <w:szCs w:val="21"/>
                <w:highlight w:val="none"/>
              </w:rPr>
              <w:t>43°45′50.91</w:t>
            </w:r>
            <w:r>
              <w:rPr>
                <w:rFonts w:hint="eastAsia" w:ascii="Times New Roman" w:hAnsi="Times New Roman" w:eastAsia="宋体" w:cs="Times New Roman"/>
                <w:strike w:val="0"/>
                <w:dstrike w:val="0"/>
                <w:color w:val="auto"/>
                <w:spacing w:val="0"/>
                <w:position w:val="0"/>
                <w:sz w:val="21"/>
                <w:szCs w:val="21"/>
                <w:highlight w:val="none"/>
                <w:lang w:val="en-US" w:eastAsia="zh-CN"/>
              </w:rPr>
              <w:t>6</w:t>
            </w:r>
            <w:r>
              <w:rPr>
                <w:rFonts w:hint="eastAsia" w:ascii="Times New Roman" w:hAnsi="Times New Roman" w:eastAsia="宋体" w:cs="Times New Roman"/>
                <w:strike w:val="0"/>
                <w:dstrike w:val="0"/>
                <w:color w:val="auto"/>
                <w:spacing w:val="0"/>
                <w:position w:val="0"/>
                <w:sz w:val="21"/>
                <w:szCs w:val="21"/>
                <w:highlight w:val="none"/>
              </w:rPr>
              <w:t>″</w:t>
            </w:r>
          </w:p>
        </w:tc>
        <w:tc>
          <w:tcPr>
            <w:tcW w:w="329" w:type="pct"/>
            <w:vAlign w:val="center"/>
          </w:tcPr>
          <w:p w14:paraId="4AFD8F8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依尔哈巴克村</w:t>
            </w:r>
          </w:p>
        </w:tc>
        <w:tc>
          <w:tcPr>
            <w:tcW w:w="329" w:type="pct"/>
            <w:vMerge w:val="continue"/>
            <w:vAlign w:val="center"/>
          </w:tcPr>
          <w:p w14:paraId="7EC514A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468" w:type="pct"/>
            <w:vMerge w:val="continue"/>
            <w:vAlign w:val="center"/>
          </w:tcPr>
          <w:p w14:paraId="42FD76E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605" w:type="pct"/>
            <w:vAlign w:val="center"/>
          </w:tcPr>
          <w:p w14:paraId="253D8E0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东北</w:t>
            </w:r>
          </w:p>
        </w:tc>
        <w:tc>
          <w:tcPr>
            <w:tcW w:w="760" w:type="pct"/>
            <w:vAlign w:val="center"/>
          </w:tcPr>
          <w:p w14:paraId="5918573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1800</w:t>
            </w:r>
          </w:p>
        </w:tc>
      </w:tr>
      <w:tr w14:paraId="09CA6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jc w:val="center"/>
        </w:trPr>
        <w:tc>
          <w:tcPr>
            <w:tcW w:w="329" w:type="pct"/>
            <w:vAlign w:val="center"/>
          </w:tcPr>
          <w:p w14:paraId="5E7ECAE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2506" w:type="pct"/>
            <w:gridSpan w:val="3"/>
            <w:vAlign w:val="center"/>
          </w:tcPr>
          <w:p w14:paraId="0019D26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厂址区域及周围声环境</w:t>
            </w:r>
          </w:p>
        </w:tc>
        <w:tc>
          <w:tcPr>
            <w:tcW w:w="329" w:type="pct"/>
            <w:vAlign w:val="center"/>
          </w:tcPr>
          <w:p w14:paraId="0C78424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声环境</w:t>
            </w:r>
          </w:p>
        </w:tc>
        <w:tc>
          <w:tcPr>
            <w:tcW w:w="468" w:type="pct"/>
            <w:vAlign w:val="center"/>
          </w:tcPr>
          <w:p w14:paraId="0FF7650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二类区</w:t>
            </w:r>
          </w:p>
        </w:tc>
        <w:tc>
          <w:tcPr>
            <w:tcW w:w="1365" w:type="pct"/>
            <w:gridSpan w:val="2"/>
            <w:vAlign w:val="center"/>
          </w:tcPr>
          <w:p w14:paraId="029F19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Times New Roman"/>
                <w:strike w:val="0"/>
                <w:dstrike w:val="0"/>
                <w:color w:val="auto"/>
                <w:spacing w:val="0"/>
                <w:position w:val="0"/>
                <w:sz w:val="21"/>
                <w:szCs w:val="21"/>
                <w:highlight w:val="none"/>
              </w:rPr>
              <w:t>/</w:t>
            </w:r>
          </w:p>
        </w:tc>
      </w:tr>
      <w:tr w14:paraId="57643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329" w:type="pct"/>
            <w:vAlign w:val="center"/>
          </w:tcPr>
          <w:p w14:paraId="6E8CC71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w:t>
            </w:r>
          </w:p>
        </w:tc>
        <w:tc>
          <w:tcPr>
            <w:tcW w:w="2506" w:type="pct"/>
            <w:gridSpan w:val="3"/>
            <w:vAlign w:val="center"/>
          </w:tcPr>
          <w:p w14:paraId="639AEAE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厂址区域及附近地下水</w:t>
            </w:r>
            <w:r>
              <w:rPr>
                <w:rFonts w:hint="eastAsia" w:ascii="Times New Roman" w:hAnsi="Times New Roman" w:eastAsia="宋体" w:cs="宋体"/>
                <w:strike w:val="0"/>
                <w:dstrike w:val="0"/>
                <w:color w:val="auto"/>
                <w:spacing w:val="0"/>
                <w:position w:val="0"/>
                <w:sz w:val="21"/>
                <w:szCs w:val="21"/>
                <w:highlight w:val="none"/>
                <w:lang w:val="en-US" w:eastAsia="zh-CN"/>
              </w:rPr>
              <w:t>潜水含水层</w:t>
            </w:r>
          </w:p>
        </w:tc>
        <w:tc>
          <w:tcPr>
            <w:tcW w:w="2163" w:type="pct"/>
            <w:gridSpan w:val="4"/>
            <w:vAlign w:val="center"/>
          </w:tcPr>
          <w:p w14:paraId="62E67BB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地下水质</w:t>
            </w:r>
          </w:p>
        </w:tc>
      </w:tr>
      <w:tr w14:paraId="7851C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4D93621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土壤环境</w:t>
            </w:r>
          </w:p>
        </w:tc>
        <w:tc>
          <w:tcPr>
            <w:tcW w:w="2506" w:type="pct"/>
            <w:gridSpan w:val="3"/>
            <w:vAlign w:val="center"/>
          </w:tcPr>
          <w:p w14:paraId="0779971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厂区及周边50m范围</w:t>
            </w:r>
          </w:p>
        </w:tc>
        <w:tc>
          <w:tcPr>
            <w:tcW w:w="2163" w:type="pct"/>
            <w:gridSpan w:val="4"/>
            <w:vAlign w:val="center"/>
          </w:tcPr>
          <w:p w14:paraId="0637591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w:t>
            </w:r>
          </w:p>
        </w:tc>
      </w:tr>
      <w:tr w14:paraId="1CCB4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329" w:type="pct"/>
            <w:vAlign w:val="center"/>
          </w:tcPr>
          <w:p w14:paraId="29731E8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生态</w:t>
            </w:r>
          </w:p>
          <w:p w14:paraId="3D7D5A4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环境</w:t>
            </w:r>
          </w:p>
        </w:tc>
        <w:tc>
          <w:tcPr>
            <w:tcW w:w="2506" w:type="pct"/>
            <w:gridSpan w:val="3"/>
            <w:vAlign w:val="center"/>
          </w:tcPr>
          <w:p w14:paraId="7ED5991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厂址区域</w:t>
            </w:r>
          </w:p>
        </w:tc>
        <w:tc>
          <w:tcPr>
            <w:tcW w:w="2163" w:type="pct"/>
            <w:gridSpan w:val="4"/>
            <w:vAlign w:val="center"/>
          </w:tcPr>
          <w:p w14:paraId="585B08D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保护区域生态环境</w:t>
            </w:r>
          </w:p>
        </w:tc>
      </w:tr>
    </w:tbl>
    <w:p w14:paraId="4202CB82">
      <w:pPr>
        <w:pStyle w:val="4"/>
        <w:rPr>
          <w:rFonts w:ascii="Times New Roman" w:hAnsi="Times New Roman" w:eastAsia="宋体"/>
          <w:strike w:val="0"/>
          <w:dstrike w:val="0"/>
          <w:color w:val="auto"/>
          <w:highlight w:val="none"/>
        </w:rPr>
      </w:pPr>
      <w:bookmarkStart w:id="274" w:name="_Toc2096"/>
      <w:r>
        <w:rPr>
          <w:rFonts w:hint="eastAsia" w:ascii="Times New Roman" w:hAnsi="Times New Roman" w:eastAsia="宋体"/>
          <w:strike w:val="0"/>
          <w:dstrike w:val="0"/>
          <w:color w:val="auto"/>
          <w:highlight w:val="none"/>
        </w:rPr>
        <w:t>5.3.4环境风险潜势初判</w:t>
      </w:r>
      <w:bookmarkEnd w:id="273"/>
      <w:bookmarkEnd w:id="274"/>
    </w:p>
    <w:p w14:paraId="58FF946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根据《建设项目环境风险评价技术导则》（HJ169-2018）中附录C的规定：计算项目所涉及的每种危险物质在厂界内的最大存在总量与其在附录B中对应临界量的比值Q</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当只涉及一种危险物质时，计算该物质的总量与其临界量的比值，即为Q</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单元内存在多种危险物质，重大危险源判定按下面公式进行，若满足下面公式，则定为重大危险源：</w:t>
      </w:r>
    </w:p>
    <w:p w14:paraId="781BF0E8">
      <w:pPr>
        <w:spacing w:line="240" w:lineRule="auto"/>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position w:val="-35"/>
          <w:highlight w:val="none"/>
        </w:rPr>
        <w:object>
          <v:shape id="_x0000_i1034" o:spt="75" type="#_x0000_t75" style="height:42.25pt;width:154.1pt;" o:ole="t" filled="f" o:preferrelative="t" stroked="f" coordsize="21600,21600">
            <v:path/>
            <v:fill on="f" focussize="0,0"/>
            <v:stroke on="f" joinstyle="miter"/>
            <v:imagedata r:id="rId77" o:title=""/>
            <o:lock v:ext="edit" aspectratio="t"/>
            <w10:wrap type="none"/>
            <w10:anchorlock/>
          </v:shape>
          <o:OLEObject Type="Embed" ProgID="Equation.AxMath" ShapeID="_x0000_i1034" DrawAspect="Content" ObjectID="_1468075738" r:id="rId76">
            <o:LockedField>false</o:LockedField>
          </o:OLEObject>
        </w:object>
      </w:r>
    </w:p>
    <w:p w14:paraId="04EA242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式中：q</w:t>
      </w:r>
      <w:r>
        <w:rPr>
          <w:rFonts w:hint="eastAsia" w:ascii="Times New Roman" w:hAnsi="Times New Roman" w:eastAsia="宋体"/>
          <w:strike w:val="0"/>
          <w:dstrike w:val="0"/>
          <w:color w:val="auto"/>
          <w:highlight w:val="none"/>
          <w:vertAlign w:val="subscript"/>
        </w:rPr>
        <w:t>1</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n</w:t>
      </w:r>
      <w:r>
        <w:rPr>
          <w:rFonts w:hint="eastAsia" w:ascii="Times New Roman" w:hAnsi="Times New Roman" w:eastAsia="宋体"/>
          <w:strike w:val="0"/>
          <w:dstrike w:val="0"/>
          <w:color w:val="auto"/>
          <w:highlight w:val="none"/>
        </w:rPr>
        <w:t>——每种危险物质的最大存在总量，t；</w:t>
      </w:r>
    </w:p>
    <w:p w14:paraId="2D080DCE">
      <w:pPr>
        <w:ind w:firstLine="1200" w:firstLineChars="500"/>
        <w:jc w:val="left"/>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1</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vertAlign w:val="subscript"/>
        </w:rPr>
        <w:t>n</w:t>
      </w:r>
      <w:r>
        <w:rPr>
          <w:rFonts w:hint="eastAsia" w:ascii="Times New Roman" w:hAnsi="Times New Roman" w:eastAsia="宋体"/>
          <w:strike w:val="0"/>
          <w:dstrike w:val="0"/>
          <w:color w:val="auto"/>
          <w:highlight w:val="none"/>
        </w:rPr>
        <w:t>——每种危险物质的临界量，t</w:t>
      </w:r>
      <w:r>
        <w:rPr>
          <w:rFonts w:hint="eastAsia" w:ascii="Times New Roman" w:hAnsi="Times New Roman" w:eastAsia="宋体"/>
          <w:strike w:val="0"/>
          <w:dstrike w:val="0"/>
          <w:color w:val="auto"/>
          <w:highlight w:val="none"/>
          <w:lang w:eastAsia="zh-CN"/>
        </w:rPr>
        <w:t>。</w:t>
      </w:r>
    </w:p>
    <w:p w14:paraId="35132513">
      <w:pPr>
        <w:ind w:firstLine="1200" w:firstLineChars="500"/>
        <w:jc w:val="left"/>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当Q≥1时，将Q值划分为：（1）1≤Q＜10；（2）10≤Q＜100；（3）Q≥100</w:t>
      </w:r>
      <w:r>
        <w:rPr>
          <w:rFonts w:hint="eastAsia" w:ascii="Times New Roman" w:hAnsi="Times New Roman" w:eastAsia="宋体"/>
          <w:strike w:val="0"/>
          <w:dstrike w:val="0"/>
          <w:color w:val="auto"/>
          <w:highlight w:val="none"/>
          <w:lang w:eastAsia="zh-CN"/>
        </w:rPr>
        <w:t>。</w:t>
      </w:r>
    </w:p>
    <w:p w14:paraId="30CDB19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本项目不涉及附录B中的危险化学品，则存储量和临界量比值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Q</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＜1，该项目环境风险潜势为I</w:t>
      </w:r>
      <w:r>
        <w:rPr>
          <w:rFonts w:hint="eastAsia" w:ascii="Times New Roman" w:hAnsi="Times New Roman" w:eastAsia="宋体"/>
          <w:strike w:val="0"/>
          <w:dstrike w:val="0"/>
          <w:color w:val="auto"/>
          <w:highlight w:val="none"/>
          <w:lang w:eastAsia="zh-CN"/>
        </w:rPr>
        <w:t>。</w:t>
      </w:r>
    </w:p>
    <w:p w14:paraId="3F12EBEA">
      <w:pPr>
        <w:pStyle w:val="4"/>
        <w:rPr>
          <w:rFonts w:ascii="Times New Roman" w:hAnsi="Times New Roman" w:eastAsia="宋体"/>
          <w:strike w:val="0"/>
          <w:dstrike w:val="0"/>
          <w:color w:val="auto"/>
          <w:highlight w:val="none"/>
        </w:rPr>
      </w:pPr>
      <w:bookmarkStart w:id="275" w:name="_Toc27848"/>
      <w:bookmarkStart w:id="276" w:name="_Toc106663512"/>
      <w:r>
        <w:rPr>
          <w:rFonts w:hint="eastAsia" w:ascii="Times New Roman" w:hAnsi="Times New Roman" w:eastAsia="宋体"/>
          <w:strike w:val="0"/>
          <w:dstrike w:val="0"/>
          <w:color w:val="auto"/>
          <w:highlight w:val="none"/>
        </w:rPr>
        <w:t>5.3.5环境风险评价工作等级</w:t>
      </w:r>
      <w:bookmarkEnd w:id="275"/>
      <w:bookmarkEnd w:id="276"/>
    </w:p>
    <w:p w14:paraId="325F02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根据《建设项目环境风险评价技术导则》（HJ169-2018）环境风险评价工作等级划分为一级、二级、三级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根据建设项目涉及的物质及工艺系统危险性和所在地的环境敏感性确定环境风险潜势，确定评价工作等级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风险潜势为Ⅳ及以上，进行一级评价；风险潜势为Ⅲ，进行二级评价；风险潜势为Ⅱ，进行三级评价；风险潜势为Ⅰ，可开展简单分析</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评价工作等级的划分依据具体见表5.3-2</w:t>
      </w:r>
      <w:r>
        <w:rPr>
          <w:rFonts w:hint="eastAsia" w:ascii="Times New Roman" w:hAnsi="Times New Roman" w:eastAsia="宋体"/>
          <w:strike w:val="0"/>
          <w:dstrike w:val="0"/>
          <w:color w:val="auto"/>
          <w:highlight w:val="none"/>
          <w:lang w:eastAsia="zh-CN"/>
        </w:rPr>
        <w:t>。</w:t>
      </w:r>
    </w:p>
    <w:p w14:paraId="05EE5C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表5.3-2评价工作等级划分表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2026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00" w:type="pct"/>
            <w:shd w:val="clear" w:color="auto" w:fill="auto"/>
            <w:vAlign w:val="center"/>
          </w:tcPr>
          <w:p w14:paraId="5A983BA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环境风险潜势</w:t>
            </w:r>
          </w:p>
        </w:tc>
        <w:tc>
          <w:tcPr>
            <w:tcW w:w="1000" w:type="pct"/>
            <w:shd w:val="clear" w:color="auto" w:fill="auto"/>
            <w:vAlign w:val="center"/>
          </w:tcPr>
          <w:p w14:paraId="198C484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Ⅳ、Ⅳ</w:t>
            </w:r>
            <w:r>
              <w:rPr>
                <w:rFonts w:hint="eastAsia" w:ascii="Times New Roman" w:hAnsi="Times New Roman" w:eastAsia="宋体"/>
                <w:strike w:val="0"/>
                <w:dstrike w:val="0"/>
                <w:color w:val="auto"/>
                <w:kern w:val="2"/>
                <w:sz w:val="21"/>
                <w:szCs w:val="24"/>
                <w:highlight w:val="none"/>
                <w:vertAlign w:val="superscript"/>
              </w:rPr>
              <w:t>+</w:t>
            </w:r>
          </w:p>
        </w:tc>
        <w:tc>
          <w:tcPr>
            <w:tcW w:w="1000" w:type="pct"/>
            <w:shd w:val="clear" w:color="auto" w:fill="auto"/>
            <w:vAlign w:val="center"/>
          </w:tcPr>
          <w:p w14:paraId="4175F85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Ⅲ</w:t>
            </w:r>
          </w:p>
        </w:tc>
        <w:tc>
          <w:tcPr>
            <w:tcW w:w="1000" w:type="pct"/>
            <w:shd w:val="clear" w:color="auto" w:fill="auto"/>
            <w:vAlign w:val="center"/>
          </w:tcPr>
          <w:p w14:paraId="6BC27B1A">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Ⅱ</w:t>
            </w:r>
          </w:p>
        </w:tc>
        <w:tc>
          <w:tcPr>
            <w:tcW w:w="1001" w:type="pct"/>
            <w:shd w:val="clear" w:color="auto" w:fill="auto"/>
            <w:vAlign w:val="center"/>
          </w:tcPr>
          <w:p w14:paraId="2B699F93">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Ⅰ</w:t>
            </w:r>
          </w:p>
        </w:tc>
      </w:tr>
      <w:tr w14:paraId="7C6B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000" w:type="pct"/>
            <w:shd w:val="clear" w:color="auto" w:fill="auto"/>
            <w:vAlign w:val="center"/>
          </w:tcPr>
          <w:p w14:paraId="28178C88">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评价工作等级</w:t>
            </w:r>
          </w:p>
        </w:tc>
        <w:tc>
          <w:tcPr>
            <w:tcW w:w="1000" w:type="pct"/>
            <w:shd w:val="clear" w:color="auto" w:fill="auto"/>
            <w:vAlign w:val="center"/>
          </w:tcPr>
          <w:p w14:paraId="44869D0B">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一</w:t>
            </w:r>
          </w:p>
        </w:tc>
        <w:tc>
          <w:tcPr>
            <w:tcW w:w="1000" w:type="pct"/>
            <w:shd w:val="clear" w:color="auto" w:fill="auto"/>
            <w:vAlign w:val="center"/>
          </w:tcPr>
          <w:p w14:paraId="722E32A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二</w:t>
            </w:r>
          </w:p>
        </w:tc>
        <w:tc>
          <w:tcPr>
            <w:tcW w:w="1000" w:type="pct"/>
            <w:shd w:val="clear" w:color="auto" w:fill="auto"/>
            <w:vAlign w:val="center"/>
          </w:tcPr>
          <w:p w14:paraId="2175C2C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三</w:t>
            </w:r>
          </w:p>
        </w:tc>
        <w:tc>
          <w:tcPr>
            <w:tcW w:w="1001" w:type="pct"/>
            <w:shd w:val="clear" w:color="auto" w:fill="auto"/>
            <w:vAlign w:val="center"/>
          </w:tcPr>
          <w:p w14:paraId="07E2443A">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简单分析</w:t>
            </w:r>
            <w:r>
              <w:rPr>
                <w:rFonts w:hint="eastAsia" w:ascii="Times New Roman" w:hAnsi="Times New Roman" w:eastAsia="宋体"/>
                <w:strike w:val="0"/>
                <w:dstrike w:val="0"/>
                <w:color w:val="auto"/>
                <w:kern w:val="2"/>
                <w:sz w:val="21"/>
                <w:szCs w:val="24"/>
                <w:highlight w:val="none"/>
                <w:vertAlign w:val="superscript"/>
              </w:rPr>
              <w:t>a</w:t>
            </w:r>
          </w:p>
        </w:tc>
      </w:tr>
      <w:tr w14:paraId="4723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5000" w:type="pct"/>
            <w:gridSpan w:val="5"/>
            <w:shd w:val="clear" w:color="auto" w:fill="auto"/>
            <w:vAlign w:val="center"/>
          </w:tcPr>
          <w:p w14:paraId="1AAD2A51">
            <w:pPr>
              <w:spacing w:line="240" w:lineRule="auto"/>
              <w:ind w:firstLine="0" w:firstLineChars="0"/>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rPr>
              <w:t>a是相对于详细评价工作内容而言，在描述危险物质、环境影响途径、环境危害后果、风险防范措施等方面给出定性的说明</w:t>
            </w:r>
            <w:r>
              <w:rPr>
                <w:rFonts w:hint="eastAsia" w:ascii="Times New Roman" w:hAnsi="Times New Roman" w:eastAsia="宋体"/>
                <w:strike w:val="0"/>
                <w:dstrike w:val="0"/>
                <w:color w:val="auto"/>
                <w:kern w:val="2"/>
                <w:sz w:val="21"/>
                <w:szCs w:val="24"/>
                <w:highlight w:val="none"/>
                <w:lang w:eastAsia="zh-CN"/>
              </w:rPr>
              <w:t>。</w:t>
            </w:r>
          </w:p>
        </w:tc>
      </w:tr>
    </w:tbl>
    <w:p w14:paraId="27069E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根据《建设项目环境风险评价技术导则》（HJ169-2018）中的规定，项目未构成重大危险源，项目环境风险潜势为Ⅰ级，因此确定本项目的环境风险评价等级为简单分析</w:t>
      </w:r>
      <w:r>
        <w:rPr>
          <w:rFonts w:hint="eastAsia" w:ascii="Times New Roman" w:hAnsi="Times New Roman" w:eastAsia="宋体"/>
          <w:strike w:val="0"/>
          <w:dstrike w:val="0"/>
          <w:color w:val="auto"/>
          <w:highlight w:val="none"/>
          <w:lang w:eastAsia="zh-CN"/>
        </w:rPr>
        <w:t>。</w:t>
      </w:r>
    </w:p>
    <w:p w14:paraId="15AF2A9F">
      <w:pPr>
        <w:pStyle w:val="4"/>
        <w:rPr>
          <w:rFonts w:ascii="Times New Roman" w:hAnsi="Times New Roman" w:eastAsia="宋体"/>
          <w:strike w:val="0"/>
          <w:dstrike w:val="0"/>
          <w:color w:val="auto"/>
          <w:highlight w:val="none"/>
        </w:rPr>
      </w:pPr>
      <w:bookmarkStart w:id="277" w:name="_Toc106663513"/>
      <w:bookmarkStart w:id="278" w:name="_Toc29691"/>
      <w:r>
        <w:rPr>
          <w:rFonts w:hint="eastAsia" w:ascii="Times New Roman" w:hAnsi="Times New Roman" w:eastAsia="宋体"/>
          <w:strike w:val="0"/>
          <w:dstrike w:val="0"/>
          <w:color w:val="auto"/>
          <w:highlight w:val="none"/>
        </w:rPr>
        <w:t>5.3.6环境风险识别</w:t>
      </w:r>
      <w:bookmarkEnd w:id="277"/>
      <w:bookmarkEnd w:id="278"/>
    </w:p>
    <w:p w14:paraId="40E4B9B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5.3.6.1物质危险性识别</w:t>
      </w:r>
    </w:p>
    <w:p w14:paraId="32CC065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本项目环境风险主要来自</w:t>
      </w:r>
      <w:r>
        <w:rPr>
          <w:rFonts w:hint="eastAsia" w:ascii="Times New Roman" w:hAnsi="Times New Roman" w:eastAsia="宋体"/>
          <w:strike w:val="0"/>
          <w:dstrike w:val="0"/>
          <w:color w:val="auto"/>
          <w:highlight w:val="none"/>
          <w:lang w:eastAsia="zh-CN"/>
        </w:rPr>
        <w:t>骆驼</w:t>
      </w:r>
      <w:r>
        <w:rPr>
          <w:rFonts w:hint="eastAsia" w:ascii="Times New Roman" w:hAnsi="Times New Roman" w:eastAsia="宋体"/>
          <w:strike w:val="0"/>
          <w:dstrike w:val="0"/>
          <w:color w:val="auto"/>
          <w:highlight w:val="none"/>
        </w:rPr>
        <w:t>饲养过程中的</w:t>
      </w:r>
      <w:r>
        <w:rPr>
          <w:rFonts w:hint="eastAsia" w:ascii="Times New Roman" w:hAnsi="Times New Roman" w:eastAsia="宋体"/>
          <w:strike w:val="0"/>
          <w:dstrike w:val="0"/>
          <w:color w:val="auto"/>
          <w:highlight w:val="none"/>
          <w:lang w:eastAsia="zh-CN"/>
        </w:rPr>
        <w:t>骆驼尸体</w:t>
      </w:r>
      <w:r>
        <w:rPr>
          <w:rFonts w:hint="eastAsia" w:ascii="Times New Roman" w:hAnsi="Times New Roman" w:eastAsia="宋体"/>
          <w:strike w:val="0"/>
          <w:dstrike w:val="0"/>
          <w:color w:val="auto"/>
          <w:highlight w:val="none"/>
        </w:rPr>
        <w:t>、疾病疫情、管网泄露、医疗废物污染事故等</w:t>
      </w:r>
      <w:r>
        <w:rPr>
          <w:rFonts w:hint="eastAsia" w:ascii="Times New Roman" w:hAnsi="Times New Roman" w:eastAsia="宋体"/>
          <w:strike w:val="0"/>
          <w:dstrike w:val="0"/>
          <w:color w:val="auto"/>
          <w:highlight w:val="none"/>
          <w:lang w:eastAsia="zh-CN"/>
        </w:rPr>
        <w:t>。</w:t>
      </w:r>
    </w:p>
    <w:p w14:paraId="6D8A85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骆驼尸体</w:t>
      </w:r>
    </w:p>
    <w:p w14:paraId="749EB15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根据基本调查，</w:t>
      </w:r>
      <w:r>
        <w:rPr>
          <w:rFonts w:hint="eastAsia" w:ascii="Times New Roman" w:hAnsi="Times New Roman" w:eastAsia="宋体"/>
          <w:strike w:val="0"/>
          <w:dstrike w:val="0"/>
          <w:color w:val="auto"/>
          <w:highlight w:val="none"/>
          <w:lang w:eastAsia="zh-CN"/>
        </w:rPr>
        <w:t>骆驼尸体</w:t>
      </w:r>
      <w:r>
        <w:rPr>
          <w:rFonts w:hint="eastAsia" w:ascii="Times New Roman" w:hAnsi="Times New Roman" w:eastAsia="宋体"/>
          <w:strike w:val="0"/>
          <w:dstrike w:val="0"/>
          <w:color w:val="auto"/>
          <w:highlight w:val="none"/>
        </w:rPr>
        <w:t>携带有一定量病菌，如不加以处理会使病菌得以传播，对周围环境有一定的影响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因此，必须对其进行无害化处理，防止疾病传播</w:t>
      </w:r>
      <w:r>
        <w:rPr>
          <w:rFonts w:hint="eastAsia" w:ascii="Times New Roman" w:hAnsi="Times New Roman" w:eastAsia="宋体"/>
          <w:strike w:val="0"/>
          <w:dstrike w:val="0"/>
          <w:color w:val="auto"/>
          <w:highlight w:val="none"/>
          <w:lang w:eastAsia="zh-CN"/>
        </w:rPr>
        <w:t>。</w:t>
      </w:r>
    </w:p>
    <w:p w14:paraId="40C3536A">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2、疾病疫情</w:t>
      </w:r>
    </w:p>
    <w:p w14:paraId="37A90B2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养殖场</w:t>
      </w:r>
      <w:r>
        <w:rPr>
          <w:rFonts w:hint="eastAsia" w:ascii="Times New Roman" w:hAnsi="Times New Roman" w:eastAsia="宋体"/>
          <w:strike w:val="0"/>
          <w:dstrike w:val="0"/>
          <w:color w:val="auto"/>
          <w:highlight w:val="none"/>
        </w:rPr>
        <w:t>如管理不善，会诱发常见疾病，如高致病性禽流感等，而且传播很快，造成大量</w:t>
      </w:r>
      <w:r>
        <w:rPr>
          <w:rFonts w:hint="eastAsia" w:ascii="Times New Roman" w:hAnsi="Times New Roman" w:eastAsia="宋体"/>
          <w:strike w:val="0"/>
          <w:dstrike w:val="0"/>
          <w:color w:val="auto"/>
          <w:highlight w:val="none"/>
          <w:lang w:eastAsia="zh-CN"/>
        </w:rPr>
        <w:t>骆驼</w:t>
      </w:r>
      <w:r>
        <w:rPr>
          <w:rFonts w:hint="eastAsia" w:ascii="Times New Roman" w:hAnsi="Times New Roman" w:eastAsia="宋体"/>
          <w:strike w:val="0"/>
          <w:dstrike w:val="0"/>
          <w:color w:val="auto"/>
          <w:highlight w:val="none"/>
        </w:rPr>
        <w:t>死亡</w:t>
      </w:r>
      <w:r>
        <w:rPr>
          <w:rFonts w:hint="eastAsia" w:ascii="Times New Roman" w:hAnsi="Times New Roman" w:eastAsia="宋体"/>
          <w:strike w:val="0"/>
          <w:dstrike w:val="0"/>
          <w:color w:val="auto"/>
          <w:highlight w:val="none"/>
          <w:lang w:eastAsia="zh-CN"/>
        </w:rPr>
        <w:t>。</w:t>
      </w:r>
    </w:p>
    <w:p w14:paraId="1A22DC47">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3、管网和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泄露</w:t>
      </w:r>
    </w:p>
    <w:p w14:paraId="261FA2C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本项目排水管网运营期污水集输和</w:t>
      </w:r>
      <w:r>
        <w:rPr>
          <w:rFonts w:hint="eastAsia" w:ascii="Times New Roman" w:hAnsi="Times New Roman" w:eastAsia="宋体"/>
          <w:strike w:val="0"/>
          <w:dstrike w:val="0"/>
          <w:color w:val="auto"/>
          <w:highlight w:val="none"/>
          <w:lang w:val="en-US" w:eastAsia="zh-CN"/>
        </w:rPr>
        <w:t>黑膜池存储</w:t>
      </w:r>
      <w:r>
        <w:rPr>
          <w:rFonts w:hint="eastAsia" w:ascii="Times New Roman" w:hAnsi="Times New Roman" w:eastAsia="宋体"/>
          <w:strike w:val="0"/>
          <w:dstrike w:val="0"/>
          <w:color w:val="auto"/>
          <w:highlight w:val="none"/>
        </w:rPr>
        <w:t>的过程中，以污水泄漏为主要表征，存在着管道和暂存池的腐蚀、地质灾害、洪水冲刷等一系列污染环境、危害工程安全的事故风险</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这些事故风险的潜在因素主要包括操作、设备缺陷、设计及施工、自然灾害等，可大致上分为两个方面，即人为风险因素和自然风险因素</w:t>
      </w:r>
      <w:r>
        <w:rPr>
          <w:rFonts w:hint="eastAsia" w:ascii="Times New Roman" w:hAnsi="Times New Roman" w:eastAsia="宋体"/>
          <w:strike w:val="0"/>
          <w:dstrike w:val="0"/>
          <w:color w:val="auto"/>
          <w:highlight w:val="none"/>
          <w:lang w:eastAsia="zh-CN"/>
        </w:rPr>
        <w:t>。</w:t>
      </w:r>
    </w:p>
    <w:p w14:paraId="0EB8799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人为风险因素</w:t>
      </w:r>
    </w:p>
    <w:p w14:paraId="4C3DD4C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人为风险因素的事故风险主要由于设备、施工质量问题、操作失误和人为蓄意破坏三种情况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分析如下：</w:t>
      </w:r>
    </w:p>
    <w:p w14:paraId="6157DAD6">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设备、施工质量问题：</w:t>
      </w:r>
    </w:p>
    <w:p w14:paraId="5E7D1B8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①因选材错误而引起的设备、管线腐蚀、侵蚀；</w:t>
      </w:r>
    </w:p>
    <w:p w14:paraId="371353EB">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②未对</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进行充分的检查或漏检；</w:t>
      </w:r>
    </w:p>
    <w:p w14:paraId="5D441184">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③管线焊接不严，检测有误，造成泄漏；</w:t>
      </w:r>
    </w:p>
    <w:p w14:paraId="12AC1440">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④设备故障、机械失灵、老化造成的泄漏；</w:t>
      </w:r>
    </w:p>
    <w:p w14:paraId="072B619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⑤管道防腐涂层质量差，造成管道腐蚀；</w:t>
      </w:r>
    </w:p>
    <w:p w14:paraId="2F8B424A">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⑥管材或连接缺陷，造成管道断裂、泄漏；</w:t>
      </w:r>
    </w:p>
    <w:p w14:paraId="3359A4DD">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⑦在管道近旁或上方进行其他生产活动时的挖掘造成管道破裂；</w:t>
      </w:r>
    </w:p>
    <w:p w14:paraId="1594BF55">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操作失误：</w:t>
      </w:r>
    </w:p>
    <w:p w14:paraId="0AFF7432">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①操作人员没有培训上岗作业，不了解生产工艺流程，不熟悉岗位操作规程，不懂设备性能，盲目操作，遇到情况判断不准而操作失误，引发局部超压等造成的风险事故；</w:t>
      </w:r>
    </w:p>
    <w:p w14:paraId="437AA4EB">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②动力故障引发的事故，如停电造成的阀门无法关闭、通讯线路中断无法传递控制指令等导致事故发生；</w:t>
      </w:r>
    </w:p>
    <w:p w14:paraId="5DA7E831">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③其他选线不当或设计有误导致的事故风险；</w:t>
      </w:r>
    </w:p>
    <w:p w14:paraId="5DE3B789">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④对工作重视不够，责任心不强，操作中麻痹大意，擅离职守等造成的事故；</w:t>
      </w:r>
    </w:p>
    <w:p w14:paraId="482AD48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⑤管理不够健全，没有完善的检查、监督、复核手续，没有切合实际的操作规程，故障不能得到及时处理而引发事故</w:t>
      </w:r>
      <w:r>
        <w:rPr>
          <w:rFonts w:hint="eastAsia" w:ascii="Times New Roman" w:hAnsi="Times New Roman" w:eastAsia="宋体"/>
          <w:strike w:val="0"/>
          <w:dstrike w:val="0"/>
          <w:color w:val="auto"/>
          <w:highlight w:val="none"/>
          <w:lang w:eastAsia="zh-CN"/>
        </w:rPr>
        <w:t>。</w:t>
      </w:r>
    </w:p>
    <w:p w14:paraId="0FFD270E">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人为破坏</w:t>
      </w:r>
    </w:p>
    <w:p w14:paraId="442751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人为蓄意破坏造成的事故，在管道上钻孔、盗窃管道附属设施的部件等，均可引起管道破坏、污水外泄，造成比较严重的直接危害和继发危害</w:t>
      </w:r>
      <w:r>
        <w:rPr>
          <w:rFonts w:hint="eastAsia" w:ascii="Times New Roman" w:hAnsi="Times New Roman" w:eastAsia="宋体"/>
          <w:strike w:val="0"/>
          <w:dstrike w:val="0"/>
          <w:color w:val="auto"/>
          <w:highlight w:val="none"/>
          <w:lang w:eastAsia="zh-CN"/>
        </w:rPr>
        <w:t>。</w:t>
      </w:r>
    </w:p>
    <w:p w14:paraId="3F1BBB3F">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自然风险因素</w:t>
      </w:r>
    </w:p>
    <w:p w14:paraId="18576B22">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自然风险因素主要有暴雨、洪水、地震等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结合管线经过地区和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所在位置的自然环境、社会环境，对本项目的事故风险因素分析如下：</w:t>
      </w:r>
    </w:p>
    <w:p w14:paraId="66C450F4">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地震</w:t>
      </w:r>
    </w:p>
    <w:p w14:paraId="4BE64E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地震对建构筑物的破坏作用明显，作用范围大，进而威胁设备和人员安全</w:t>
      </w:r>
      <w:r>
        <w:rPr>
          <w:rFonts w:hint="eastAsia" w:ascii="Times New Roman" w:hAnsi="Times New Roman" w:eastAsia="宋体"/>
          <w:strike w:val="0"/>
          <w:dstrike w:val="0"/>
          <w:color w:val="auto"/>
          <w:highlight w:val="none"/>
          <w:lang w:eastAsia="zh-CN"/>
        </w:rPr>
        <w:t>。</w:t>
      </w:r>
    </w:p>
    <w:p w14:paraId="01C6304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本工程主要处于地震烈度为7度区域，经强度计算校核，本项目输水管道和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具有抗地震波引起的拉伸和压缩能力，不会因地震波引起破坏</w:t>
      </w:r>
      <w:r>
        <w:rPr>
          <w:rFonts w:hint="eastAsia" w:ascii="Times New Roman" w:hAnsi="Times New Roman" w:eastAsia="宋体"/>
          <w:strike w:val="0"/>
          <w:dstrike w:val="0"/>
          <w:color w:val="auto"/>
          <w:highlight w:val="none"/>
          <w:lang w:eastAsia="zh-CN"/>
        </w:rPr>
        <w:t>。</w:t>
      </w:r>
    </w:p>
    <w:p w14:paraId="336BF2D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洪水</w:t>
      </w:r>
    </w:p>
    <w:p w14:paraId="719EE9C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项目区域年降水量150mm，夏季降水量最大，洪水冲刷形成的侵蚀，很可能使管线暴露，易导致断裂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随地势趋缓洪水冲刷能力有所减缓，常常形成巨大的径流向低处集中，在局部低地形成侵蚀沟，仍可能造成管线和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暴露，易导致断裂和破裂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管线断裂穿孔和</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破裂事故发生在洪水期间，将可能使污染迅速蔓延和扩大</w:t>
      </w:r>
      <w:r>
        <w:rPr>
          <w:rFonts w:hint="eastAsia" w:ascii="Times New Roman" w:hAnsi="Times New Roman" w:eastAsia="宋体"/>
          <w:strike w:val="0"/>
          <w:dstrike w:val="0"/>
          <w:color w:val="auto"/>
          <w:highlight w:val="none"/>
          <w:lang w:eastAsia="zh-CN"/>
        </w:rPr>
        <w:t>。</w:t>
      </w:r>
    </w:p>
    <w:p w14:paraId="464BD8EC">
      <w:pPr>
        <w:ind w:firstLine="480"/>
        <w:rPr>
          <w:rFonts w:hint="eastAsia"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4、医疗废物污染事故</w:t>
      </w:r>
    </w:p>
    <w:p w14:paraId="1F0BDF8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医疗废物若包装不严密或随意堆放则可产生大面积的污染，对环境产生不可挽回的影响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本项目医疗废物是指治疗过程中产生少量废弃药品、废针管等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据国家卫生部门的医疗检测报告表明，医疗垃圾可能受到各种病菌的污染</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此外，垃圾中的有机物不仅滋生蚊蝇，造成疾病的传播，并且在腐败分解时生成多种有害物质将污染大气、危害人体健康</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医疗垃圾具有空间污染、急性传染和潜伏性污染等特征，其病毒、病菌的危害性是普通生活垃圾的几十、几百甚至上千倍，如果处理不当，将造成水体、大气、土壤的污染及对人体的直接危害，甚至成为疫病流行的源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医疗垃圾的随意堆放会污染大气环境，随意填埋会污染地下水源，随意焚烧会产生强烈的致癌物质二噁英</w:t>
      </w:r>
      <w:r>
        <w:rPr>
          <w:rFonts w:hint="eastAsia" w:ascii="Times New Roman" w:hAnsi="Times New Roman" w:eastAsia="宋体"/>
          <w:strike w:val="0"/>
          <w:dstrike w:val="0"/>
          <w:color w:val="auto"/>
          <w:highlight w:val="none"/>
          <w:lang w:eastAsia="zh-CN"/>
        </w:rPr>
        <w:t>。</w:t>
      </w:r>
    </w:p>
    <w:p w14:paraId="5375F5CE">
      <w:pPr>
        <w:pStyle w:val="4"/>
        <w:rPr>
          <w:rFonts w:ascii="Times New Roman" w:hAnsi="Times New Roman" w:eastAsia="宋体"/>
          <w:strike w:val="0"/>
          <w:dstrike w:val="0"/>
          <w:color w:val="auto"/>
          <w:highlight w:val="none"/>
        </w:rPr>
      </w:pPr>
      <w:bookmarkStart w:id="279" w:name="_Toc106663514"/>
      <w:bookmarkStart w:id="280" w:name="_Toc15457"/>
      <w:r>
        <w:rPr>
          <w:rFonts w:hint="eastAsia" w:ascii="Times New Roman" w:hAnsi="Times New Roman" w:eastAsia="宋体"/>
          <w:strike w:val="0"/>
          <w:dstrike w:val="0"/>
          <w:color w:val="auto"/>
          <w:highlight w:val="none"/>
        </w:rPr>
        <w:t>5.3.7环境风险防范措施及应急要求</w:t>
      </w:r>
      <w:bookmarkEnd w:id="279"/>
      <w:bookmarkEnd w:id="280"/>
    </w:p>
    <w:p w14:paraId="704EB5A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处置措施</w:t>
      </w:r>
    </w:p>
    <w:p w14:paraId="4430937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养殖场应定期检查</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的健康状况，做到及时发现、及时隔离、及时救治，严格控制疾病大面积传播</w:t>
      </w:r>
      <w:r>
        <w:rPr>
          <w:rFonts w:hint="eastAsia" w:ascii="Times New Roman" w:hAnsi="Times New Roman" w:eastAsia="宋体"/>
          <w:strike w:val="0"/>
          <w:dstrike w:val="0"/>
          <w:color w:val="auto"/>
          <w:highlight w:val="none"/>
          <w:lang w:eastAsia="zh-CN"/>
        </w:rPr>
        <w:t>。</w:t>
      </w:r>
    </w:p>
    <w:p w14:paraId="2EEECE5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死</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要及时处理，首先要进行严格的尸体检验，如果是因中毒或者是因病而死，</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则要严格按照防疫条例进行无害化处理后，</w:t>
      </w:r>
      <w:r>
        <w:rPr>
          <w:rFonts w:hint="eastAsia" w:ascii="Times New Roman" w:hAnsi="Times New Roman" w:eastAsia="宋体"/>
          <w:strike w:val="0"/>
          <w:dstrike w:val="0"/>
          <w:color w:val="auto"/>
          <w:highlight w:val="none"/>
        </w:rPr>
        <w:t>本环评要求病死骆驼按照要求委托有资质的第三方处置</w:t>
      </w:r>
      <w:r>
        <w:rPr>
          <w:rFonts w:hint="eastAsia" w:ascii="Times New Roman" w:hAnsi="Times New Roman" w:eastAsia="宋体"/>
          <w:strike w:val="0"/>
          <w:dstrike w:val="0"/>
          <w:color w:val="auto"/>
          <w:highlight w:val="none"/>
          <w:lang w:eastAsia="zh-CN"/>
        </w:rPr>
        <w:t>。</w:t>
      </w:r>
    </w:p>
    <w:p w14:paraId="1A43A012">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2、疫情防疫</w:t>
      </w:r>
    </w:p>
    <w:p w14:paraId="2C60F64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疫情风险防范措施</w:t>
      </w:r>
    </w:p>
    <w:p w14:paraId="3AB7C87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卫生防疫是规模化养殖场成败的关键，必须严格按照《中华人民共和国动物防疫法》的要求，做到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以防为主，防治结合，制度健全，责任到人</w:t>
      </w:r>
      <w:r>
        <w:rPr>
          <w:rFonts w:hint="eastAsia" w:ascii="Times New Roman" w:hAnsi="Times New Roman" w:eastAsia="宋体"/>
          <w:strike w:val="0"/>
          <w:dstrike w:val="0"/>
          <w:color w:val="auto"/>
          <w:highlight w:val="none"/>
          <w:lang w:eastAsia="zh-CN"/>
        </w:rPr>
        <w:t>”。</w:t>
      </w:r>
    </w:p>
    <w:p w14:paraId="6A6436E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消毒制度</w:t>
      </w:r>
    </w:p>
    <w:p w14:paraId="33E4D8C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凡进入饲养场的人和车辆等都需要经过消毒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凡是进入饲养场的工作人员，一律更换工作服、工作鞋，并经紫外线照射5分钟进行消毒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外来人员必须进入生产区时，也应按照上述方法消毒，在场区管理人员的带领下，按照指定路线行走</w:t>
      </w:r>
      <w:r>
        <w:rPr>
          <w:rFonts w:hint="eastAsia" w:ascii="Times New Roman" w:hAnsi="Times New Roman" w:eastAsia="宋体"/>
          <w:strike w:val="0"/>
          <w:dstrike w:val="0"/>
          <w:color w:val="auto"/>
          <w:highlight w:val="none"/>
          <w:lang w:eastAsia="zh-CN"/>
        </w:rPr>
        <w:t>。</w:t>
      </w:r>
    </w:p>
    <w:p w14:paraId="0033763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加强饲养管理，增强畜禽抵抗力</w:t>
      </w:r>
    </w:p>
    <w:p w14:paraId="3B77982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①要按照畜禽的品种、年龄、体重、强弱等进行合理分群饲养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根据各类畜禽的营养需要、饲养标准，确定适宜的饲粮和饲喂方法</w:t>
      </w:r>
      <w:r>
        <w:rPr>
          <w:rFonts w:hint="eastAsia" w:ascii="Times New Roman" w:hAnsi="Times New Roman" w:eastAsia="宋体"/>
          <w:strike w:val="0"/>
          <w:dstrike w:val="0"/>
          <w:color w:val="auto"/>
          <w:highlight w:val="none"/>
          <w:lang w:eastAsia="zh-CN"/>
        </w:rPr>
        <w:t>。</w:t>
      </w:r>
    </w:p>
    <w:p w14:paraId="493F00F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②保证圈舍清洁舒适，通风良好</w:t>
      </w:r>
      <w:r>
        <w:rPr>
          <w:rFonts w:hint="eastAsia" w:ascii="Times New Roman" w:hAnsi="Times New Roman" w:eastAsia="宋体"/>
          <w:strike w:val="0"/>
          <w:dstrike w:val="0"/>
          <w:color w:val="auto"/>
          <w:highlight w:val="none"/>
          <w:lang w:eastAsia="zh-CN"/>
        </w:rPr>
        <w:t>。</w:t>
      </w:r>
    </w:p>
    <w:p w14:paraId="12B85C6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有计划地进行药物预防</w:t>
      </w:r>
    </w:p>
    <w:p w14:paraId="0CC540B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为了提高</w:t>
      </w:r>
      <w:r>
        <w:rPr>
          <w:rFonts w:hint="eastAsia" w:ascii="Times New Roman" w:hAnsi="Times New Roman" w:eastAsia="宋体"/>
          <w:strike w:val="0"/>
          <w:dstrike w:val="0"/>
          <w:color w:val="auto"/>
          <w:highlight w:val="none"/>
          <w:lang w:val="en-US" w:eastAsia="zh-CN"/>
        </w:rPr>
        <w:t>骆驼</w:t>
      </w:r>
      <w:r>
        <w:rPr>
          <w:rFonts w:ascii="Times New Roman" w:hAnsi="Times New Roman" w:eastAsia="宋体"/>
          <w:strike w:val="0"/>
          <w:dstrike w:val="0"/>
          <w:color w:val="auto"/>
          <w:highlight w:val="none"/>
        </w:rPr>
        <w:t>的成活率，除加强饲养管理、及时免疫外，必要时还要辅以药物预防</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目前最常用的是抗菌素类饲料添加剂</w:t>
      </w:r>
      <w:r>
        <w:rPr>
          <w:rFonts w:hint="eastAsia" w:ascii="Times New Roman" w:hAnsi="Times New Roman" w:eastAsia="宋体"/>
          <w:strike w:val="0"/>
          <w:dstrike w:val="0"/>
          <w:color w:val="auto"/>
          <w:highlight w:val="none"/>
          <w:lang w:eastAsia="zh-CN"/>
        </w:rPr>
        <w:t>。</w:t>
      </w:r>
    </w:p>
    <w:p w14:paraId="32DCEDBA">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发现传染病的紧急处理</w:t>
      </w:r>
    </w:p>
    <w:p w14:paraId="5EE5AAB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对于传染病，尤其急性烈性传染病如禽流感等，发现早，诊断及时准确，又能迅速采取针对性措施，便可有效地制止传染病的蔓延</w:t>
      </w:r>
      <w:r>
        <w:rPr>
          <w:rFonts w:hint="eastAsia" w:ascii="Times New Roman" w:hAnsi="Times New Roman" w:eastAsia="宋体"/>
          <w:strike w:val="0"/>
          <w:dstrike w:val="0"/>
          <w:color w:val="auto"/>
          <w:highlight w:val="none"/>
          <w:lang w:eastAsia="zh-CN"/>
        </w:rPr>
        <w:t>。</w:t>
      </w:r>
    </w:p>
    <w:p w14:paraId="5F174A3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生物安全措施包括的内容很多，严格地说生物安全措施就是为防止一切传染病源进入</w:t>
      </w:r>
      <w:r>
        <w:rPr>
          <w:rFonts w:hint="eastAsia" w:ascii="Times New Roman" w:hAnsi="Times New Roman" w:eastAsia="宋体"/>
          <w:strike w:val="0"/>
          <w:dstrike w:val="0"/>
          <w:color w:val="auto"/>
          <w:highlight w:val="none"/>
          <w:lang w:eastAsia="zh-CN"/>
        </w:rPr>
        <w:t>养殖场</w:t>
      </w:r>
      <w:r>
        <w:rPr>
          <w:rFonts w:ascii="Times New Roman" w:hAnsi="Times New Roman" w:eastAsia="宋体"/>
          <w:strike w:val="0"/>
          <w:dstrike w:val="0"/>
          <w:color w:val="auto"/>
          <w:highlight w:val="none"/>
        </w:rPr>
        <w:t>而采取的措施，叫作生物安全措施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通常是</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一隔二养三免疫</w:t>
      </w:r>
      <w:r>
        <w:rPr>
          <w:rFonts w:hint="eastAsia" w:ascii="Times New Roman" w:hAnsi="Times New Roman" w:eastAsia="宋体"/>
          <w:strike w:val="0"/>
          <w:dstrike w:val="0"/>
          <w:color w:val="auto"/>
          <w:highlight w:val="none"/>
          <w:lang w:eastAsia="zh-CN"/>
        </w:rPr>
        <w:t>”。</w:t>
      </w:r>
    </w:p>
    <w:p w14:paraId="23E1317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一隔就是要做好隔离，一旦发生传染病，将</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与</w:t>
      </w:r>
      <w:r>
        <w:rPr>
          <w:rFonts w:hint="eastAsia" w:ascii="Times New Roman" w:hAnsi="Times New Roman" w:eastAsia="宋体"/>
          <w:strike w:val="0"/>
          <w:dstrike w:val="0"/>
          <w:color w:val="auto"/>
          <w:highlight w:val="none"/>
          <w:lang w:eastAsia="zh-CN"/>
        </w:rPr>
        <w:t>健康骆驼</w:t>
      </w:r>
      <w:r>
        <w:rPr>
          <w:rFonts w:ascii="Times New Roman" w:hAnsi="Times New Roman" w:eastAsia="宋体"/>
          <w:strike w:val="0"/>
          <w:dstrike w:val="0"/>
          <w:color w:val="auto"/>
          <w:highlight w:val="none"/>
        </w:rPr>
        <w:t>隔离开来，将疫情控制在最小范围内；二养就是进行科学化的养殖，要千方百计地为</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创造一个适合</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生长发育的环境，最大限度地减少各种应急对</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造成有害影响，使</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体本身健康成长发育</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这样就有能力抵抗外界不良因素的影响</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第三就是在</w:t>
      </w:r>
      <w:r>
        <w:rPr>
          <w:rFonts w:hint="eastAsia" w:ascii="Times New Roman" w:hAnsi="Times New Roman" w:eastAsia="宋体"/>
          <w:strike w:val="0"/>
          <w:dstrike w:val="0"/>
          <w:color w:val="auto"/>
          <w:highlight w:val="none"/>
          <w:lang w:eastAsia="zh-CN"/>
        </w:rPr>
        <w:t>骆驼群</w:t>
      </w:r>
      <w:r>
        <w:rPr>
          <w:rFonts w:ascii="Times New Roman" w:hAnsi="Times New Roman" w:eastAsia="宋体"/>
          <w:strike w:val="0"/>
          <w:dstrike w:val="0"/>
          <w:color w:val="auto"/>
          <w:highlight w:val="none"/>
        </w:rPr>
        <w:t>健康的前提下，我们实行严格地免疫制度，使</w:t>
      </w:r>
      <w:r>
        <w:rPr>
          <w:rFonts w:hint="eastAsia" w:ascii="Times New Roman" w:hAnsi="Times New Roman" w:eastAsia="宋体"/>
          <w:strike w:val="0"/>
          <w:dstrike w:val="0"/>
          <w:color w:val="auto"/>
          <w:highlight w:val="none"/>
          <w:lang w:eastAsia="zh-CN"/>
        </w:rPr>
        <w:t>骆驼群</w:t>
      </w:r>
      <w:r>
        <w:rPr>
          <w:rFonts w:ascii="Times New Roman" w:hAnsi="Times New Roman" w:eastAsia="宋体"/>
          <w:strike w:val="0"/>
          <w:dstrike w:val="0"/>
          <w:color w:val="auto"/>
          <w:highlight w:val="none"/>
        </w:rPr>
        <w:t>能保证在我们的科学技术操作范围内，能准确实施100%的免疫，特别是对禽流感的免疫</w:t>
      </w:r>
      <w:r>
        <w:rPr>
          <w:rFonts w:hint="eastAsia" w:ascii="Times New Roman" w:hAnsi="Times New Roman" w:eastAsia="宋体"/>
          <w:strike w:val="0"/>
          <w:dstrike w:val="0"/>
          <w:color w:val="auto"/>
          <w:highlight w:val="none"/>
          <w:lang w:eastAsia="zh-CN"/>
        </w:rPr>
        <w:t>。</w:t>
      </w:r>
    </w:p>
    <w:p w14:paraId="3E94464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由于高致病性禽流感发病急，发病率和死亡率很高，目前尚无治疗方法</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所以</w:t>
      </w:r>
      <w:r>
        <w:rPr>
          <w:rFonts w:hint="eastAsia" w:ascii="Times New Roman" w:hAnsi="Times New Roman" w:eastAsia="宋体"/>
          <w:strike w:val="0"/>
          <w:dstrike w:val="0"/>
          <w:color w:val="auto"/>
          <w:highlight w:val="none"/>
          <w:lang w:eastAsia="zh-CN"/>
        </w:rPr>
        <w:t>养殖者</w:t>
      </w:r>
      <w:r>
        <w:rPr>
          <w:rFonts w:ascii="Times New Roman" w:hAnsi="Times New Roman" w:eastAsia="宋体"/>
          <w:strike w:val="0"/>
          <w:dstrike w:val="0"/>
          <w:color w:val="auto"/>
          <w:highlight w:val="none"/>
        </w:rPr>
        <w:t>必须要求饲养人员要经常仔细观察</w:t>
      </w:r>
      <w:r>
        <w:rPr>
          <w:rFonts w:hint="eastAsia" w:ascii="Times New Roman" w:hAnsi="Times New Roman" w:eastAsia="宋体"/>
          <w:strike w:val="0"/>
          <w:dstrike w:val="0"/>
          <w:color w:val="auto"/>
          <w:highlight w:val="none"/>
          <w:lang w:eastAsia="zh-CN"/>
        </w:rPr>
        <w:t>骆驼群</w:t>
      </w:r>
      <w:r>
        <w:rPr>
          <w:rFonts w:ascii="Times New Roman" w:hAnsi="Times New Roman" w:eastAsia="宋体"/>
          <w:strike w:val="0"/>
          <w:dstrike w:val="0"/>
          <w:color w:val="auto"/>
          <w:highlight w:val="none"/>
        </w:rPr>
        <w:t>的活动及健康状况，若发现有异常表现，特别有互相传染的嫌疑，应立即报告兽医或生产管理人员，相关负责人必须立即赶到现场，认为有必要时要尽快组织力量进行诊断</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在诊断过程中，疑似或确认为新城疫、禽流感、传染性法氏囊病、传染性支气管炎及传染性鼻炎等急性支气管病性，必须立即隔离</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，尽可能缩小</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的活动范围，对</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的排泄物、分泌物污染的场地，都要用聚维酮碘溶液和复方戊二醛溶液进行喷射消毒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污染的垫草、粪便彻底清除，予以烧毁，被污染的用具、工作服、鞋，用福尔马林熏蒸消毒，场门设立标牌，禁止人、畜出入</w:t>
      </w:r>
      <w:r>
        <w:rPr>
          <w:rFonts w:hint="eastAsia" w:ascii="Times New Roman" w:hAnsi="Times New Roman" w:eastAsia="宋体"/>
          <w:strike w:val="0"/>
          <w:dstrike w:val="0"/>
          <w:color w:val="auto"/>
          <w:highlight w:val="none"/>
          <w:lang w:eastAsia="zh-CN"/>
        </w:rPr>
        <w:t>。</w:t>
      </w:r>
    </w:p>
    <w:p w14:paraId="71DA0F44">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3、排水管网和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风险事故防范措施</w:t>
      </w:r>
    </w:p>
    <w:p w14:paraId="17D1104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无论是人为因素，还是自然灾害引起的事故，都必须采取以预防为主的措施，以避免事故的发生或使事故造成的危害降低到最低的程度</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对于人为因素引起的事故可以通过提高作业人员素质、加强责任心以及采取技术手段和管理手段来避免，而对于自然灾害引起的事故则主要靠采取各种工程技术措施来预防</w:t>
      </w:r>
      <w:r>
        <w:rPr>
          <w:rFonts w:hint="eastAsia" w:ascii="Times New Roman" w:hAnsi="Times New Roman" w:eastAsia="宋体"/>
          <w:strike w:val="0"/>
          <w:dstrike w:val="0"/>
          <w:color w:val="auto"/>
          <w:highlight w:val="none"/>
          <w:lang w:eastAsia="zh-CN"/>
        </w:rPr>
        <w:t>。</w:t>
      </w:r>
    </w:p>
    <w:p w14:paraId="2CB9372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防洪、抗震等措施</w:t>
      </w:r>
    </w:p>
    <w:p w14:paraId="50BA28C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①敷设尽量避开地震及可能引起泥石流等地段，当避开有困难时，对局部地段采取安全防护措施</w:t>
      </w:r>
      <w:r>
        <w:rPr>
          <w:rFonts w:hint="eastAsia" w:ascii="Times New Roman" w:hAnsi="Times New Roman" w:eastAsia="宋体"/>
          <w:strike w:val="0"/>
          <w:dstrike w:val="0"/>
          <w:color w:val="auto"/>
          <w:highlight w:val="none"/>
          <w:lang w:eastAsia="zh-CN"/>
        </w:rPr>
        <w:t>。</w:t>
      </w:r>
    </w:p>
    <w:p w14:paraId="0458CEA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②管线穿越大的干沟或排碱渠时，视情况而采取到吸虹管或架空保温管线通过</w:t>
      </w:r>
      <w:r>
        <w:rPr>
          <w:rFonts w:hint="eastAsia" w:ascii="Times New Roman" w:hAnsi="Times New Roman" w:eastAsia="宋体"/>
          <w:strike w:val="0"/>
          <w:dstrike w:val="0"/>
          <w:color w:val="auto"/>
          <w:highlight w:val="none"/>
          <w:lang w:eastAsia="zh-CN"/>
        </w:rPr>
        <w:t>。</w:t>
      </w:r>
    </w:p>
    <w:p w14:paraId="05B8242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破裂预防措施</w:t>
      </w:r>
    </w:p>
    <w:p w14:paraId="21622D93">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为尽量避免管线破裂事故的发生，减轻管线和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破裂、泄漏事故对环境的影响，应该采取以下的安全环保措施：</w:t>
      </w:r>
    </w:p>
    <w:p w14:paraId="4F62A1C1">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①敷设路线应设置永久性标志，提醒人们在管线两侧20~50m范围内活动可能造成伤害，防止其他单位施工造成管道损坏；</w:t>
      </w:r>
    </w:p>
    <w:p w14:paraId="61FD691C">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②操作失误是出现事故的又一重要原因，为此要加强管理，提高职工技术水平和职业道德素质，以减少和杜绝此类事故的发生；</w:t>
      </w:r>
    </w:p>
    <w:p w14:paraId="69951665">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③建立完善的安全措施和监督管理机构，做好安全防护工作，以防止人为破坏事故发生；</w:t>
      </w:r>
    </w:p>
    <w:p w14:paraId="3CA156E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④在污水管线沿线设置截断阀，管线在发生破裂时做到及时的截断，减少排入外环境的污水量；</w:t>
      </w:r>
    </w:p>
    <w:p w14:paraId="4E1A563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⑤为确保排水管线和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的安全，建设单位应在工程设计阶段合理设计，选材要结实、耐用、防腐，保证材料的质量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在工程建设中要严把质量关，保证工程质量</w:t>
      </w:r>
      <w:r>
        <w:rPr>
          <w:rFonts w:hint="eastAsia" w:ascii="Times New Roman" w:hAnsi="Times New Roman" w:eastAsia="宋体"/>
          <w:strike w:val="0"/>
          <w:dstrike w:val="0"/>
          <w:color w:val="auto"/>
          <w:highlight w:val="none"/>
          <w:lang w:eastAsia="zh-CN"/>
        </w:rPr>
        <w:t>。</w:t>
      </w:r>
    </w:p>
    <w:p w14:paraId="4C123AFB">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⑥在运行管理中要从严要求，定期对管线和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进行巡检，及时发现问题，从快从速处理，预防事故发生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管线沿线设立明显标志物，以避免管线遭到人为破坏</w:t>
      </w:r>
      <w:r>
        <w:rPr>
          <w:rFonts w:hint="eastAsia" w:ascii="Times New Roman" w:hAnsi="Times New Roman" w:eastAsia="宋体"/>
          <w:strike w:val="0"/>
          <w:dstrike w:val="0"/>
          <w:color w:val="auto"/>
          <w:highlight w:val="none"/>
          <w:lang w:eastAsia="zh-CN"/>
        </w:rPr>
        <w:t>。</w:t>
      </w:r>
    </w:p>
    <w:p w14:paraId="5F99D07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4、医疗废物污染事故防范措施</w:t>
      </w:r>
    </w:p>
    <w:p w14:paraId="6EE90439">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为了防止医疗废物污染环境，采取措施如下：</w:t>
      </w:r>
    </w:p>
    <w:p w14:paraId="358D964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合理布局，</w:t>
      </w:r>
      <w:r>
        <w:rPr>
          <w:rFonts w:hint="eastAsia" w:ascii="Times New Roman" w:hAnsi="Times New Roman" w:eastAsia="宋体"/>
          <w:strike w:val="0"/>
          <w:dstrike w:val="0"/>
          <w:color w:val="auto"/>
          <w:highlight w:val="none"/>
          <w:lang w:eastAsia="zh-CN"/>
        </w:rPr>
        <w:t>医疗废物暂存间</w:t>
      </w:r>
      <w:r>
        <w:rPr>
          <w:rFonts w:ascii="Times New Roman" w:hAnsi="Times New Roman" w:eastAsia="宋体"/>
          <w:strike w:val="0"/>
          <w:dstrike w:val="0"/>
          <w:color w:val="auto"/>
          <w:highlight w:val="none"/>
        </w:rPr>
        <w:t>、收集通道等应尽量避开人流通道；</w:t>
      </w:r>
    </w:p>
    <w:p w14:paraId="59E59A0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采购符合国家规定的废物收集容器，按照相关法律法规要求进行分类收集、盛装；</w:t>
      </w:r>
    </w:p>
    <w:p w14:paraId="3F86A3D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对医疗废物收集、管理人员配备必要的个人防护用具；</w:t>
      </w:r>
    </w:p>
    <w:p w14:paraId="3DA8715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医疗废物暂存场处应按照《医疗废物管理条例》</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国务院令第380号</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等相关要求进行设置；</w:t>
      </w:r>
    </w:p>
    <w:p w14:paraId="64E09F1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制定医疗废物管理制度</w:t>
      </w:r>
      <w:r>
        <w:rPr>
          <w:rFonts w:hint="eastAsia" w:ascii="Times New Roman" w:hAnsi="Times New Roman" w:eastAsia="宋体"/>
          <w:strike w:val="0"/>
          <w:dstrike w:val="0"/>
          <w:color w:val="auto"/>
          <w:highlight w:val="none"/>
          <w:lang w:eastAsia="zh-CN"/>
        </w:rPr>
        <w:t>。</w:t>
      </w:r>
    </w:p>
    <w:p w14:paraId="18BE20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6</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的收集、贮存、交接、运输的收运全过程均应严格按照《医疗废物管理条例》、《医疗废物转运车技术要求》等相关规定执行，在运送时执行医疗废物转移联单制度，由医疗废物处置场及产生单位共同填写《危险废物转移联单》</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医疗废物专用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，运输车辆填写《医疗废物运送登记卡》，同时还应填报医疗废物处置报表，报</w:t>
      </w:r>
      <w:r>
        <w:rPr>
          <w:rFonts w:hint="eastAsia" w:ascii="Times New Roman" w:hAnsi="Times New Roman" w:eastAsia="宋体"/>
          <w:strike w:val="0"/>
          <w:dstrike w:val="0"/>
          <w:color w:val="auto"/>
          <w:highlight w:val="none"/>
          <w:lang w:val="en-US" w:eastAsia="zh-CN"/>
        </w:rPr>
        <w:t>昌吉州</w:t>
      </w:r>
      <w:r>
        <w:rPr>
          <w:rFonts w:ascii="Times New Roman" w:hAnsi="Times New Roman" w:eastAsia="宋体"/>
          <w:strike w:val="0"/>
          <w:dstrike w:val="0"/>
          <w:color w:val="auto"/>
          <w:highlight w:val="none"/>
        </w:rPr>
        <w:t>生态环境局</w:t>
      </w:r>
      <w:r>
        <w:rPr>
          <w:rFonts w:hint="eastAsia" w:ascii="Times New Roman" w:hAnsi="Times New Roman" w:eastAsia="宋体"/>
          <w:strike w:val="0"/>
          <w:dstrike w:val="0"/>
          <w:color w:val="auto"/>
          <w:highlight w:val="none"/>
          <w:lang w:val="en-US" w:eastAsia="zh-CN"/>
        </w:rPr>
        <w:t>木垒县分局</w:t>
      </w:r>
      <w:r>
        <w:rPr>
          <w:rFonts w:ascii="Times New Roman" w:hAnsi="Times New Roman" w:eastAsia="宋体"/>
          <w:strike w:val="0"/>
          <w:dstrike w:val="0"/>
          <w:color w:val="auto"/>
          <w:highlight w:val="none"/>
        </w:rPr>
        <w:t>备案</w:t>
      </w:r>
      <w:r>
        <w:rPr>
          <w:rFonts w:hint="eastAsia" w:ascii="Times New Roman" w:hAnsi="Times New Roman" w:eastAsia="宋体"/>
          <w:strike w:val="0"/>
          <w:dstrike w:val="0"/>
          <w:color w:val="auto"/>
          <w:highlight w:val="none"/>
          <w:lang w:eastAsia="zh-CN"/>
        </w:rPr>
        <w:t>。</w:t>
      </w:r>
    </w:p>
    <w:p w14:paraId="023047B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7</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医疗废物运送使用专用车辆，车辆厢体应与驾驶室分离并密闭，车内应配备必要的消毒等应急物品</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确定合理的运输线路，尽量避开人口密集区、交通拥堵道路及时段，对运送人员进行专业技能与安全防护技能培训等</w:t>
      </w:r>
      <w:r>
        <w:rPr>
          <w:rFonts w:hint="eastAsia" w:ascii="Times New Roman" w:hAnsi="Times New Roman" w:eastAsia="宋体"/>
          <w:strike w:val="0"/>
          <w:dstrike w:val="0"/>
          <w:color w:val="auto"/>
          <w:highlight w:val="none"/>
          <w:lang w:eastAsia="zh-CN"/>
        </w:rPr>
        <w:t>。</w:t>
      </w:r>
    </w:p>
    <w:p w14:paraId="0774503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5、生产及管理过程风险防范措施</w:t>
      </w:r>
    </w:p>
    <w:p w14:paraId="417E18C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生产过程风险防范措施</w:t>
      </w:r>
    </w:p>
    <w:p w14:paraId="4962AEA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圈舍、畜禽消毒、投药应有专人负责，按照规范操作，操作时配备必要的防范措施，主要消毒设备、投药设备的维修、保养工作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配备合格的工作人员，认真落实工作人员责任制，经常对供水、供电设备进行检查和维护</w:t>
      </w:r>
      <w:r>
        <w:rPr>
          <w:rFonts w:hint="eastAsia" w:ascii="Times New Roman" w:hAnsi="Times New Roman" w:eastAsia="宋体"/>
          <w:strike w:val="0"/>
          <w:dstrike w:val="0"/>
          <w:color w:val="auto"/>
          <w:highlight w:val="none"/>
          <w:lang w:eastAsia="zh-CN"/>
        </w:rPr>
        <w:t>。</w:t>
      </w:r>
    </w:p>
    <w:p w14:paraId="4836D04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管理及操作环节风险防范措施</w:t>
      </w:r>
    </w:p>
    <w:p w14:paraId="72EB1BE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①建立健全安全生产责任制，制定安全生产规章制度和操作规程</w:t>
      </w:r>
      <w:r>
        <w:rPr>
          <w:rFonts w:hint="eastAsia" w:ascii="Times New Roman" w:hAnsi="Times New Roman" w:eastAsia="宋体"/>
          <w:strike w:val="0"/>
          <w:dstrike w:val="0"/>
          <w:color w:val="auto"/>
          <w:highlight w:val="none"/>
          <w:lang w:eastAsia="zh-CN"/>
        </w:rPr>
        <w:t>。</w:t>
      </w:r>
    </w:p>
    <w:p w14:paraId="64E7980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②企业主要负责人和安全生产管理人员应当接受有关主管部门的安全生产知识和管理能力考核，合格后方可任职</w:t>
      </w:r>
      <w:r>
        <w:rPr>
          <w:rFonts w:hint="eastAsia" w:ascii="Times New Roman" w:hAnsi="Times New Roman" w:eastAsia="宋体"/>
          <w:strike w:val="0"/>
          <w:dstrike w:val="0"/>
          <w:color w:val="auto"/>
          <w:highlight w:val="none"/>
          <w:lang w:eastAsia="zh-CN"/>
        </w:rPr>
        <w:t>。</w:t>
      </w:r>
    </w:p>
    <w:p w14:paraId="282E749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③对工作人员应进行教育和培训并进行考核，保证工作人员具备必要的资质和能力</w:t>
      </w:r>
      <w:r>
        <w:rPr>
          <w:rFonts w:hint="eastAsia" w:ascii="Times New Roman" w:hAnsi="Times New Roman" w:eastAsia="宋体"/>
          <w:strike w:val="0"/>
          <w:dstrike w:val="0"/>
          <w:color w:val="auto"/>
          <w:highlight w:val="none"/>
          <w:lang w:eastAsia="zh-CN"/>
        </w:rPr>
        <w:t>。</w:t>
      </w:r>
    </w:p>
    <w:p w14:paraId="2B8A3CC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④各生产岗位工作人员严格按照规程进行操作，并按照要求穿戴劳保用品</w:t>
      </w:r>
      <w:r>
        <w:rPr>
          <w:rFonts w:hint="eastAsia" w:ascii="Times New Roman" w:hAnsi="Times New Roman" w:eastAsia="宋体"/>
          <w:strike w:val="0"/>
          <w:dstrike w:val="0"/>
          <w:color w:val="auto"/>
          <w:highlight w:val="none"/>
          <w:lang w:eastAsia="zh-CN"/>
        </w:rPr>
        <w:t>。</w:t>
      </w:r>
    </w:p>
    <w:p w14:paraId="5FBAD3F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⑤安排专人定时巡查，检查各设施设备是否正常运行</w:t>
      </w:r>
      <w:r>
        <w:rPr>
          <w:rFonts w:hint="eastAsia" w:ascii="Times New Roman" w:hAnsi="Times New Roman" w:eastAsia="宋体"/>
          <w:strike w:val="0"/>
          <w:dstrike w:val="0"/>
          <w:color w:val="auto"/>
          <w:highlight w:val="none"/>
          <w:lang w:eastAsia="zh-CN"/>
        </w:rPr>
        <w:t>。</w:t>
      </w:r>
    </w:p>
    <w:p w14:paraId="398C89D9">
      <w:pPr>
        <w:pStyle w:val="4"/>
        <w:rPr>
          <w:rFonts w:ascii="Times New Roman" w:hAnsi="Times New Roman" w:eastAsia="宋体"/>
          <w:strike w:val="0"/>
          <w:dstrike w:val="0"/>
          <w:color w:val="auto"/>
          <w:highlight w:val="none"/>
        </w:rPr>
      </w:pPr>
      <w:bookmarkStart w:id="281" w:name="_Toc106663515"/>
      <w:bookmarkStart w:id="282" w:name="_Toc4702"/>
      <w:r>
        <w:rPr>
          <w:rFonts w:hint="eastAsia" w:ascii="Times New Roman" w:hAnsi="Times New Roman" w:eastAsia="宋体"/>
          <w:strike w:val="0"/>
          <w:dstrike w:val="0"/>
          <w:color w:val="auto"/>
          <w:highlight w:val="none"/>
        </w:rPr>
        <w:t>5.3.8环境风险应急预案</w:t>
      </w:r>
      <w:bookmarkEnd w:id="281"/>
      <w:bookmarkEnd w:id="282"/>
    </w:p>
    <w:p w14:paraId="60C3762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建设单位应根据《国家突发公共事件总体应急预案》、《国家事故应急预案框架指南》、《危险化学品事故应急救援预案编制导则》等相关规定的要求，制订和完善本项目风险事故应急预案</w:t>
      </w:r>
      <w:r>
        <w:rPr>
          <w:rFonts w:hint="eastAsia" w:ascii="Times New Roman" w:hAnsi="Times New Roman" w:eastAsia="宋体"/>
          <w:strike w:val="0"/>
          <w:dstrike w:val="0"/>
          <w:color w:val="auto"/>
          <w:highlight w:val="none"/>
          <w:lang w:eastAsia="zh-CN"/>
        </w:rPr>
        <w:t>。</w:t>
      </w:r>
    </w:p>
    <w:p w14:paraId="75FB8E84">
      <w:pPr>
        <w:numPr>
          <w:ilvl w:val="0"/>
          <w:numId w:val="0"/>
        </w:numPr>
        <w:ind w:firstLine="480" w:firstLineChars="200"/>
        <w:rPr>
          <w:rFonts w:ascii="Times New Roman" w:hAnsi="Times New Roman" w:eastAsia="宋体"/>
          <w:strike w:val="0"/>
          <w:dstrike w:val="0"/>
          <w:color w:val="auto"/>
          <w:highlight w:val="none"/>
        </w:rPr>
      </w:pPr>
      <w:r>
        <w:rPr>
          <w:rFonts w:ascii="Times New Roman" w:hAnsi="Times New Roman" w:eastAsia="宋体" w:cs="Times New Roman"/>
          <w:strike w:val="0"/>
          <w:dstrike w:val="0"/>
          <w:color w:val="auto"/>
          <w:sz w:val="24"/>
          <w:lang w:val="en-US" w:eastAsia="zh-CN" w:bidi="ar-SA"/>
        </w:rPr>
        <w:t>（1）</w:t>
      </w:r>
      <w:r>
        <w:rPr>
          <w:rFonts w:ascii="Times New Roman" w:hAnsi="Times New Roman" w:eastAsia="宋体"/>
          <w:strike w:val="0"/>
          <w:dstrike w:val="0"/>
          <w:color w:val="auto"/>
          <w:highlight w:val="none"/>
        </w:rPr>
        <w:t>企业内部应急预案</w:t>
      </w:r>
    </w:p>
    <w:p w14:paraId="2035C242">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建设单位应按照国家《事故应急预案框架指南》，开展经常性的安全预案演练，加强应急救援专业队伍建设，配备相应的安全防护和救援器材，提高快速反应救援能力，及时有效处置可能发生的应急事故</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项目应建立应急预案，应急预案应包括以下的内容和要求：</w:t>
      </w:r>
    </w:p>
    <w:p w14:paraId="051D5EAE">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建立企业—乡镇人民政府—市人民政府的联防应急组织机构，并配备相应的人员</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要求建立的应急预案应与木垒县应急预案衔接，做好应急联动。</w:t>
      </w:r>
    </w:p>
    <w:p w14:paraId="30C3AC4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规定预案的级别及分级响应程序，并设置应急设施，设备与器材等</w:t>
      </w:r>
      <w:r>
        <w:rPr>
          <w:rFonts w:hint="eastAsia" w:ascii="Times New Roman" w:hAnsi="Times New Roman" w:eastAsia="宋体"/>
          <w:strike w:val="0"/>
          <w:dstrike w:val="0"/>
          <w:color w:val="auto"/>
          <w:highlight w:val="none"/>
          <w:lang w:eastAsia="zh-CN"/>
        </w:rPr>
        <w:t>。</w:t>
      </w:r>
    </w:p>
    <w:p w14:paraId="5FE52F4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规定应急状态下的报警通讯方式、通知方式和交通保障、管制</w:t>
      </w:r>
      <w:r>
        <w:rPr>
          <w:rFonts w:hint="eastAsia" w:ascii="Times New Roman" w:hAnsi="Times New Roman" w:eastAsia="宋体"/>
          <w:strike w:val="0"/>
          <w:dstrike w:val="0"/>
          <w:color w:val="auto"/>
          <w:highlight w:val="none"/>
          <w:lang w:eastAsia="zh-CN"/>
        </w:rPr>
        <w:t>。</w:t>
      </w:r>
    </w:p>
    <w:p w14:paraId="53C10E2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④</w:t>
      </w:r>
      <w:r>
        <w:rPr>
          <w:rFonts w:ascii="Times New Roman" w:hAnsi="Times New Roman" w:eastAsia="宋体"/>
          <w:strike w:val="0"/>
          <w:dstrike w:val="0"/>
          <w:color w:val="auto"/>
          <w:highlight w:val="none"/>
        </w:rPr>
        <w:t>由专业队伍负责对事故现场进行侦察监测，对事故性质、参数与后果进行评估，为指挥部门提供决策依据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组织人员成立抢险队，及时拦截危险品泄漏至水体或打捞落入水体中的物件，同时采取相应的处置措施，最大限度地减轻影响范围和程度</w:t>
      </w:r>
      <w:r>
        <w:rPr>
          <w:rFonts w:hint="eastAsia" w:ascii="Times New Roman" w:hAnsi="Times New Roman" w:eastAsia="宋体"/>
          <w:strike w:val="0"/>
          <w:dstrike w:val="0"/>
          <w:color w:val="auto"/>
          <w:highlight w:val="none"/>
          <w:lang w:eastAsia="zh-CN"/>
        </w:rPr>
        <w:t>。</w:t>
      </w:r>
    </w:p>
    <w:p w14:paraId="06E82C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⑤</w:t>
      </w:r>
      <w:r>
        <w:rPr>
          <w:rFonts w:ascii="Times New Roman" w:hAnsi="Times New Roman" w:eastAsia="宋体"/>
          <w:strike w:val="0"/>
          <w:dstrike w:val="0"/>
          <w:color w:val="auto"/>
          <w:highlight w:val="none"/>
        </w:rPr>
        <w:t>应急检测、防护措施、清除泄漏措施和器材</w:t>
      </w:r>
      <w:r>
        <w:rPr>
          <w:rFonts w:hint="eastAsia" w:ascii="Times New Roman" w:hAnsi="Times New Roman" w:eastAsia="宋体"/>
          <w:strike w:val="0"/>
          <w:dstrike w:val="0"/>
          <w:color w:val="auto"/>
          <w:highlight w:val="none"/>
          <w:lang w:eastAsia="zh-CN"/>
        </w:rPr>
        <w:t>。</w:t>
      </w:r>
    </w:p>
    <w:p w14:paraId="7D78D2D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⑥</w:t>
      </w:r>
      <w:r>
        <w:rPr>
          <w:rFonts w:ascii="Times New Roman" w:hAnsi="Times New Roman" w:eastAsia="宋体"/>
          <w:strike w:val="0"/>
          <w:dstrike w:val="0"/>
          <w:color w:val="auto"/>
          <w:highlight w:val="none"/>
        </w:rPr>
        <w:t>事故现场、受事故影响的区域人员及公众对毒物应急剂量控制规定，撤离组织计划及救护，医疗救护与公众健康</w:t>
      </w:r>
      <w:r>
        <w:rPr>
          <w:rFonts w:hint="eastAsia" w:ascii="Times New Roman" w:hAnsi="Times New Roman" w:eastAsia="宋体"/>
          <w:strike w:val="0"/>
          <w:dstrike w:val="0"/>
          <w:color w:val="auto"/>
          <w:highlight w:val="none"/>
          <w:lang w:eastAsia="zh-CN"/>
        </w:rPr>
        <w:t>。</w:t>
      </w:r>
    </w:p>
    <w:p w14:paraId="3D718E8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⑦</w:t>
      </w:r>
      <w:r>
        <w:rPr>
          <w:rFonts w:ascii="Times New Roman" w:hAnsi="Times New Roman" w:eastAsia="宋体"/>
          <w:strike w:val="0"/>
          <w:dstrike w:val="0"/>
          <w:color w:val="auto"/>
          <w:highlight w:val="none"/>
        </w:rPr>
        <w:t>规定应急状态终止程序，事故现场善后处理，恢复措施，邻近区域解除事故警戒及善后恢复措施</w:t>
      </w:r>
      <w:r>
        <w:rPr>
          <w:rFonts w:hint="eastAsia" w:ascii="Times New Roman" w:hAnsi="Times New Roman" w:eastAsia="宋体"/>
          <w:strike w:val="0"/>
          <w:dstrike w:val="0"/>
          <w:color w:val="auto"/>
          <w:highlight w:val="none"/>
          <w:lang w:eastAsia="zh-CN"/>
        </w:rPr>
        <w:t>。</w:t>
      </w:r>
    </w:p>
    <w:p w14:paraId="25CB3E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⑧</w:t>
      </w:r>
      <w:r>
        <w:rPr>
          <w:rFonts w:ascii="Times New Roman" w:hAnsi="Times New Roman" w:eastAsia="宋体"/>
          <w:strike w:val="0"/>
          <w:dstrike w:val="0"/>
          <w:color w:val="auto"/>
          <w:highlight w:val="none"/>
        </w:rPr>
        <w:t>应急计划制定后，平时安排人员培训与演练</w:t>
      </w:r>
      <w:r>
        <w:rPr>
          <w:rFonts w:hint="eastAsia" w:ascii="Times New Roman" w:hAnsi="Times New Roman" w:eastAsia="宋体"/>
          <w:strike w:val="0"/>
          <w:dstrike w:val="0"/>
          <w:color w:val="auto"/>
          <w:highlight w:val="none"/>
          <w:lang w:eastAsia="zh-CN"/>
        </w:rPr>
        <w:t>。</w:t>
      </w:r>
    </w:p>
    <w:p w14:paraId="4FD2768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cs="宋体"/>
          <w:strike w:val="0"/>
          <w:dstrike w:val="0"/>
          <w:color w:val="auto"/>
          <w:highlight w:val="none"/>
        </w:rPr>
        <w:t>⑨</w:t>
      </w:r>
      <w:r>
        <w:rPr>
          <w:rFonts w:ascii="Times New Roman" w:hAnsi="Times New Roman" w:eastAsia="宋体"/>
          <w:strike w:val="0"/>
          <w:dstrike w:val="0"/>
          <w:color w:val="auto"/>
          <w:highlight w:val="none"/>
        </w:rPr>
        <w:t>对邻近地区开展公众教育、培训和发布有关信息</w:t>
      </w:r>
      <w:r>
        <w:rPr>
          <w:rFonts w:hint="eastAsia" w:ascii="Times New Roman" w:hAnsi="Times New Roman" w:eastAsia="宋体"/>
          <w:strike w:val="0"/>
          <w:dstrike w:val="0"/>
          <w:color w:val="auto"/>
          <w:highlight w:val="none"/>
          <w:lang w:eastAsia="zh-CN"/>
        </w:rPr>
        <w:t>。</w:t>
      </w:r>
    </w:p>
    <w:p w14:paraId="2685E50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事故应急处置程序如图</w:t>
      </w:r>
      <w:r>
        <w:rPr>
          <w:rFonts w:hint="eastAsia" w:ascii="Times New Roman" w:hAnsi="Times New Roman" w:eastAsia="宋体"/>
          <w:strike w:val="0"/>
          <w:dstrike w:val="0"/>
          <w:color w:val="auto"/>
          <w:highlight w:val="none"/>
        </w:rPr>
        <w:t>5.3-2</w:t>
      </w:r>
      <w:r>
        <w:rPr>
          <w:rFonts w:ascii="Times New Roman" w:hAnsi="Times New Roman" w:eastAsia="宋体"/>
          <w:strike w:val="0"/>
          <w:dstrike w:val="0"/>
          <w:color w:val="auto"/>
          <w:highlight w:val="none"/>
        </w:rPr>
        <w:t>所示</w:t>
      </w:r>
      <w:r>
        <w:rPr>
          <w:rFonts w:hint="eastAsia" w:ascii="Times New Roman" w:hAnsi="Times New Roman" w:eastAsia="宋体"/>
          <w:strike w:val="0"/>
          <w:dstrike w:val="0"/>
          <w:color w:val="auto"/>
          <w:highlight w:val="none"/>
          <w:lang w:eastAsia="zh-CN"/>
        </w:rPr>
        <w:t>。</w:t>
      </w:r>
    </w:p>
    <w:p w14:paraId="1D90B5FD">
      <w:pPr>
        <w:ind w:firstLine="0" w:firstLineChars="0"/>
        <w:jc w:val="center"/>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drawing>
          <wp:inline distT="0" distB="0" distL="0" distR="0">
            <wp:extent cx="4319905" cy="3067685"/>
            <wp:effectExtent l="0" t="0" r="4445" b="184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319905" cy="3067685"/>
                    </a:xfrm>
                    <a:prstGeom prst="rect">
                      <a:avLst/>
                    </a:prstGeom>
                    <a:noFill/>
                    <a:ln>
                      <a:noFill/>
                    </a:ln>
                  </pic:spPr>
                </pic:pic>
              </a:graphicData>
            </a:graphic>
          </wp:inline>
        </w:drawing>
      </w:r>
    </w:p>
    <w:p w14:paraId="609F7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图5.3-2事故应急处置程序</w:t>
      </w:r>
    </w:p>
    <w:p w14:paraId="3593849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w:t>
      </w:r>
      <w:r>
        <w:rPr>
          <w:rFonts w:ascii="Times New Roman" w:hAnsi="Times New Roman" w:eastAsia="宋体"/>
          <w:strike w:val="0"/>
          <w:dstrike w:val="0"/>
          <w:color w:val="auto"/>
          <w:highlight w:val="none"/>
        </w:rPr>
        <w:t>应急救援保障</w:t>
      </w:r>
    </w:p>
    <w:p w14:paraId="3810A5C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企业需具备应急救援保障设备及器材，包括防护服、消防水泵、灭火器材、氧气呼吸器、防爆手电、对讲机、警戒围绳等</w:t>
      </w:r>
      <w:r>
        <w:rPr>
          <w:rFonts w:hint="eastAsia" w:ascii="Times New Roman" w:hAnsi="Times New Roman" w:eastAsia="宋体"/>
          <w:strike w:val="0"/>
          <w:dstrike w:val="0"/>
          <w:color w:val="auto"/>
          <w:highlight w:val="none"/>
          <w:lang w:eastAsia="zh-CN"/>
        </w:rPr>
        <w:t>。</w:t>
      </w:r>
    </w:p>
    <w:p w14:paraId="02793E0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事故应急措施</w:t>
      </w:r>
    </w:p>
    <w:p w14:paraId="1834877E">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污水渗漏事故应急措施</w:t>
      </w:r>
    </w:p>
    <w:p w14:paraId="05F39BE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一旦发现污水渗漏，应及时对渗漏处进行处理，同时对周边地下水进行监测，如发现地下水受到污染，可以采取水力抽取截获的方法，将受到污染的区域的地下水用水泵抽出，防止受污染的地下水向周围迁移，减少污染扩散，同时应上报环保及水利部门采取进一步应急措施</w:t>
      </w:r>
      <w:r>
        <w:rPr>
          <w:rFonts w:hint="eastAsia" w:ascii="Times New Roman" w:hAnsi="Times New Roman" w:eastAsia="宋体"/>
          <w:strike w:val="0"/>
          <w:dstrike w:val="0"/>
          <w:color w:val="auto"/>
          <w:highlight w:val="none"/>
          <w:lang w:eastAsia="zh-CN"/>
        </w:rPr>
        <w:t>。</w:t>
      </w:r>
    </w:p>
    <w:p w14:paraId="1811272E">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疫病事故应急措施</w:t>
      </w:r>
    </w:p>
    <w:p w14:paraId="1E55A9D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兽医应及时诊断、调查疫源，根据疫病种类做好隔离、消毒、紧急防疫、</w:t>
      </w:r>
      <w:r>
        <w:rPr>
          <w:rFonts w:hint="eastAsia" w:ascii="Times New Roman" w:hAnsi="Times New Roman" w:eastAsia="宋体"/>
          <w:strike w:val="0"/>
          <w:dstrike w:val="0"/>
          <w:color w:val="auto"/>
          <w:highlight w:val="none"/>
          <w:lang w:val="en-US" w:eastAsia="zh-CN"/>
        </w:rPr>
        <w:t>骆驼</w:t>
      </w:r>
      <w:r>
        <w:rPr>
          <w:rFonts w:ascii="Times New Roman" w:hAnsi="Times New Roman" w:eastAsia="宋体"/>
          <w:strike w:val="0"/>
          <w:dstrike w:val="0"/>
          <w:color w:val="auto"/>
          <w:highlight w:val="none"/>
        </w:rPr>
        <w:t>病治疗和淘汰等工作，把疫情控制在最小范围内；发生人畜共患病时，及时报告卫生部门，共同采取扑灭措施；在最后一只</w:t>
      </w:r>
      <w:r>
        <w:rPr>
          <w:rFonts w:hint="eastAsia" w:ascii="Times New Roman" w:hAnsi="Times New Roman" w:eastAsia="宋体"/>
          <w:strike w:val="0"/>
          <w:dstrike w:val="0"/>
          <w:color w:val="auto"/>
          <w:highlight w:val="none"/>
          <w:lang w:eastAsia="zh-CN"/>
        </w:rPr>
        <w:t>病骆驼</w:t>
      </w:r>
      <w:r>
        <w:rPr>
          <w:rFonts w:ascii="Times New Roman" w:hAnsi="Times New Roman" w:eastAsia="宋体"/>
          <w:strike w:val="0"/>
          <w:dstrike w:val="0"/>
          <w:color w:val="auto"/>
          <w:highlight w:val="none"/>
        </w:rPr>
        <w:t>淘汰或痊愈后，需经该传染病最长潜伏期的观察，不再出现新病例，并经严格消毒后，可撤消隔离或申请解除</w:t>
      </w:r>
      <w:r>
        <w:rPr>
          <w:rFonts w:hint="eastAsia" w:ascii="Times New Roman" w:hAnsi="Times New Roman" w:eastAsia="宋体"/>
          <w:strike w:val="0"/>
          <w:dstrike w:val="0"/>
          <w:color w:val="auto"/>
          <w:highlight w:val="none"/>
          <w:lang w:eastAsia="zh-CN"/>
        </w:rPr>
        <w:t>。</w:t>
      </w:r>
    </w:p>
    <w:p w14:paraId="5D8EDAD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应急终止</w:t>
      </w:r>
    </w:p>
    <w:p w14:paraId="46871B1D">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应急终止的条件</w:t>
      </w:r>
    </w:p>
    <w:p w14:paraId="24CE87D5">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a、事件现场得到控制，事件条件已经消除；</w:t>
      </w:r>
    </w:p>
    <w:p w14:paraId="658ED44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b、污染源的释放已降至规定限值以内；</w:t>
      </w:r>
    </w:p>
    <w:p w14:paraId="3993556D">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c、事件所造成的危害已经被彻底消除，无继发可能；</w:t>
      </w:r>
    </w:p>
    <w:p w14:paraId="23F7A00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d、事件现场的各种专业应急处置行动已无继续的必要；</w:t>
      </w:r>
    </w:p>
    <w:p w14:paraId="1FF9573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e、采取一切必要的防护措施以保护公众再次免受危害，并使事件可能引起的中长期影响趋于合理且尽量低的水平</w:t>
      </w:r>
      <w:r>
        <w:rPr>
          <w:rFonts w:hint="eastAsia" w:ascii="Times New Roman" w:hAnsi="Times New Roman" w:eastAsia="宋体"/>
          <w:strike w:val="0"/>
          <w:dstrike w:val="0"/>
          <w:color w:val="auto"/>
          <w:highlight w:val="none"/>
          <w:lang w:eastAsia="zh-CN"/>
        </w:rPr>
        <w:t>。</w:t>
      </w:r>
    </w:p>
    <w:p w14:paraId="764F40F8">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应急终止的程序</w:t>
      </w:r>
    </w:p>
    <w:p w14:paraId="76AF946F">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a、指挥领导小组确认终止时机或由事故责任单位提出，经指挥领导小组批准；</w:t>
      </w:r>
    </w:p>
    <w:p w14:paraId="2A678A5B">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b、指挥领导小组向所属各专业应急响应队伍下达应急终止命令；</w:t>
      </w:r>
    </w:p>
    <w:p w14:paraId="0B6281B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c、应急状态终止后，相关类别环境事件专业应急工作组应根据政府有关指示和实际情况，继续进行环境监测和评价工作，直至其他补救措施无须继续进行为止</w:t>
      </w:r>
      <w:r>
        <w:rPr>
          <w:rFonts w:hint="eastAsia" w:ascii="Times New Roman" w:hAnsi="Times New Roman" w:eastAsia="宋体"/>
          <w:strike w:val="0"/>
          <w:dstrike w:val="0"/>
          <w:color w:val="auto"/>
          <w:highlight w:val="none"/>
          <w:lang w:eastAsia="zh-CN"/>
        </w:rPr>
        <w:t>。</w:t>
      </w:r>
    </w:p>
    <w:p w14:paraId="096750EC">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应急终止后的后续工作</w:t>
      </w:r>
    </w:p>
    <w:p w14:paraId="13CF41A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a、污染物进入周围环境后，随着稀释、扩散和降解等作用，其浓度会逐渐降低</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为了掌握事故发生后的污染程度、范围及变化趋势，在应急状态终止后，环境安全监测组人员应进行污染物的跟踪监测，直至环境恢复正常或达标</w:t>
      </w:r>
      <w:r>
        <w:rPr>
          <w:rFonts w:hint="eastAsia" w:ascii="Times New Roman" w:hAnsi="Times New Roman" w:eastAsia="宋体"/>
          <w:strike w:val="0"/>
          <w:dstrike w:val="0"/>
          <w:color w:val="auto"/>
          <w:highlight w:val="none"/>
          <w:lang w:eastAsia="zh-CN"/>
        </w:rPr>
        <w:t>。</w:t>
      </w:r>
    </w:p>
    <w:p w14:paraId="10E280F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b、向本单位相关部门、周边村庄等受影响区域，通知本事件危险已解除</w:t>
      </w:r>
      <w:r>
        <w:rPr>
          <w:rFonts w:hint="eastAsia" w:ascii="Times New Roman" w:hAnsi="Times New Roman" w:eastAsia="宋体"/>
          <w:strike w:val="0"/>
          <w:dstrike w:val="0"/>
          <w:color w:val="auto"/>
          <w:highlight w:val="none"/>
          <w:lang w:eastAsia="zh-CN"/>
        </w:rPr>
        <w:t>。</w:t>
      </w:r>
    </w:p>
    <w:p w14:paraId="5952D3A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c、应急终止后，应急指挥组应做好现场的保护，用隔离警示带围住事故现场区域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应急指挥组还要配合有关部门查找事件原因，防止类似问题的重复出现</w:t>
      </w:r>
      <w:r>
        <w:rPr>
          <w:rFonts w:hint="eastAsia" w:ascii="Times New Roman" w:hAnsi="Times New Roman" w:eastAsia="宋体"/>
          <w:strike w:val="0"/>
          <w:dstrike w:val="0"/>
          <w:color w:val="auto"/>
          <w:highlight w:val="none"/>
          <w:lang w:eastAsia="zh-CN"/>
        </w:rPr>
        <w:t>。</w:t>
      </w:r>
    </w:p>
    <w:p w14:paraId="502C6FB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d、撰写突发环境事件总结报告，于应急终止后上报</w:t>
      </w:r>
      <w:r>
        <w:rPr>
          <w:rFonts w:hint="eastAsia" w:ascii="Times New Roman" w:hAnsi="Times New Roman" w:eastAsia="宋体"/>
          <w:strike w:val="0"/>
          <w:dstrike w:val="0"/>
          <w:color w:val="auto"/>
          <w:highlight w:val="none"/>
          <w:lang w:eastAsia="zh-CN"/>
        </w:rPr>
        <w:t>。</w:t>
      </w:r>
    </w:p>
    <w:p w14:paraId="7669702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e、根据环境事件的类别，由相关专业主管部门组织对环境应急预案进行评估，并及时修订</w:t>
      </w:r>
      <w:r>
        <w:rPr>
          <w:rFonts w:hint="eastAsia" w:ascii="Times New Roman" w:hAnsi="Times New Roman" w:eastAsia="宋体"/>
          <w:strike w:val="0"/>
          <w:dstrike w:val="0"/>
          <w:color w:val="auto"/>
          <w:highlight w:val="none"/>
          <w:lang w:eastAsia="zh-CN"/>
        </w:rPr>
        <w:t>。</w:t>
      </w:r>
    </w:p>
    <w:p w14:paraId="05C03F9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f、参加应急行动的部门分别组织、指导环境应急救援队伍维护、保养应急仪器设备，使之始终保持良好的技术状态</w:t>
      </w:r>
      <w:r>
        <w:rPr>
          <w:rFonts w:hint="eastAsia" w:ascii="Times New Roman" w:hAnsi="Times New Roman" w:eastAsia="宋体"/>
          <w:strike w:val="0"/>
          <w:dstrike w:val="0"/>
          <w:color w:val="auto"/>
          <w:highlight w:val="none"/>
          <w:lang w:eastAsia="zh-CN"/>
        </w:rPr>
        <w:t>。</w:t>
      </w:r>
    </w:p>
    <w:p w14:paraId="2C98E8A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g、根据事故调查结果，对公司现有的防范措施与应急预案进行评价，指出其有效性和不足之处，提出整改意见</w:t>
      </w:r>
      <w:r>
        <w:rPr>
          <w:rFonts w:hint="eastAsia" w:ascii="Times New Roman" w:hAnsi="Times New Roman" w:eastAsia="宋体"/>
          <w:strike w:val="0"/>
          <w:dstrike w:val="0"/>
          <w:color w:val="auto"/>
          <w:highlight w:val="none"/>
          <w:lang w:eastAsia="zh-CN"/>
        </w:rPr>
        <w:t>。</w:t>
      </w:r>
    </w:p>
    <w:p w14:paraId="5694C7EB">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w:t>
      </w:r>
      <w:r>
        <w:rPr>
          <w:rFonts w:ascii="Times New Roman" w:hAnsi="Times New Roman" w:eastAsia="宋体"/>
          <w:strike w:val="0"/>
          <w:dstrike w:val="0"/>
          <w:color w:val="auto"/>
          <w:highlight w:val="none"/>
        </w:rPr>
        <w:t>应急救援培训计划</w:t>
      </w:r>
    </w:p>
    <w:p w14:paraId="273D4D13">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应急救援人员培训</w:t>
      </w:r>
    </w:p>
    <w:p w14:paraId="3BB2A33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建设单位应定期对应急救援人员进行应急事故处理及紧急救援培训，应急救援人员的培训由领导小组统一安排制定专人进行</w:t>
      </w:r>
      <w:r>
        <w:rPr>
          <w:rFonts w:hint="eastAsia" w:ascii="Times New Roman" w:hAnsi="Times New Roman" w:eastAsia="宋体"/>
          <w:strike w:val="0"/>
          <w:dstrike w:val="0"/>
          <w:color w:val="auto"/>
          <w:highlight w:val="none"/>
          <w:lang w:eastAsia="zh-CN"/>
        </w:rPr>
        <w:t>。</w:t>
      </w:r>
    </w:p>
    <w:p w14:paraId="760A8513">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员工应急响应培训</w:t>
      </w:r>
    </w:p>
    <w:p w14:paraId="2E99752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由建设单位组织应急救援人员定期对员工进行应急事故处理及紧急救援培训，提高员工风险防范意识及自救能力</w:t>
      </w:r>
      <w:r>
        <w:rPr>
          <w:rFonts w:hint="eastAsia" w:ascii="Times New Roman" w:hAnsi="Times New Roman" w:eastAsia="宋体"/>
          <w:strike w:val="0"/>
          <w:dstrike w:val="0"/>
          <w:color w:val="auto"/>
          <w:highlight w:val="none"/>
          <w:lang w:eastAsia="zh-CN"/>
        </w:rPr>
        <w:t>。</w:t>
      </w:r>
    </w:p>
    <w:p w14:paraId="302CCC9F">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③</w:t>
      </w:r>
      <w:r>
        <w:rPr>
          <w:rFonts w:ascii="Times New Roman" w:hAnsi="Times New Roman" w:eastAsia="宋体"/>
          <w:strike w:val="0"/>
          <w:dstrike w:val="0"/>
          <w:color w:val="auto"/>
          <w:highlight w:val="none"/>
        </w:rPr>
        <w:t>演练计划</w:t>
      </w:r>
    </w:p>
    <w:p w14:paraId="574E856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建设单位须定期进行突发事件紧急响应演习，至少每半年组织一次，由公司应急救援领导小组组织</w:t>
      </w:r>
      <w:r>
        <w:rPr>
          <w:rFonts w:hint="eastAsia" w:ascii="Times New Roman" w:hAnsi="Times New Roman" w:eastAsia="宋体"/>
          <w:strike w:val="0"/>
          <w:dstrike w:val="0"/>
          <w:color w:val="auto"/>
          <w:highlight w:val="none"/>
          <w:lang w:eastAsia="zh-CN"/>
        </w:rPr>
        <w:t>。</w:t>
      </w:r>
    </w:p>
    <w:p w14:paraId="046B4AE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应急预案演习</w:t>
      </w:r>
    </w:p>
    <w:p w14:paraId="704100E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为验证应急预案的可操作性和合理性，确保所有职工都了解该应急预案，同时为了增强各部门之间的相互协作能力，应对各类可能发生事故进行培训和应急演练，从而确保预案的适时改进</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所有运作人员参与污染事故应急演习的时间间隔不得超过一年，并做好演练记录</w:t>
      </w:r>
      <w:r>
        <w:rPr>
          <w:rFonts w:hint="eastAsia" w:ascii="Times New Roman" w:hAnsi="Times New Roman" w:eastAsia="宋体"/>
          <w:strike w:val="0"/>
          <w:dstrike w:val="0"/>
          <w:color w:val="auto"/>
          <w:highlight w:val="none"/>
          <w:lang w:eastAsia="zh-CN"/>
        </w:rPr>
        <w:t>。</w:t>
      </w:r>
    </w:p>
    <w:p w14:paraId="418E3307">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根据本项目的实际情况，企业还应从以下几方面加强事故应急防范：</w:t>
      </w:r>
    </w:p>
    <w:p w14:paraId="3B444B5A">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①</w:t>
      </w:r>
      <w:r>
        <w:rPr>
          <w:rFonts w:ascii="Times New Roman" w:hAnsi="Times New Roman" w:eastAsia="宋体"/>
          <w:strike w:val="0"/>
          <w:dstrike w:val="0"/>
          <w:color w:val="auto"/>
          <w:highlight w:val="none"/>
        </w:rPr>
        <w:t>建立应急救援指挥系统</w:t>
      </w:r>
    </w:p>
    <w:p w14:paraId="7854B75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企业应组建指挥小组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指挥小组负责重大事故应急预案的制定及修订；组建应急救援专业队伍，定时组织工作人员进行培训，并组织实施平时的演练；经常性检查应急预案的各项准备工作，以确保系统能正常工作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及时向上级汇报事故情况，并对事故做总结</w:t>
      </w:r>
      <w:r>
        <w:rPr>
          <w:rFonts w:hint="eastAsia" w:ascii="Times New Roman" w:hAnsi="Times New Roman" w:eastAsia="宋体"/>
          <w:strike w:val="0"/>
          <w:dstrike w:val="0"/>
          <w:color w:val="auto"/>
          <w:highlight w:val="none"/>
          <w:lang w:eastAsia="zh-CN"/>
        </w:rPr>
        <w:t>。</w:t>
      </w:r>
    </w:p>
    <w:p w14:paraId="7652A887">
      <w:pPr>
        <w:ind w:firstLine="480"/>
        <w:rPr>
          <w:rFonts w:ascii="Times New Roman" w:hAnsi="Times New Roman" w:eastAsia="宋体"/>
          <w:strike w:val="0"/>
          <w:dstrike w:val="0"/>
          <w:color w:val="auto"/>
          <w:highlight w:val="none"/>
        </w:rPr>
      </w:pPr>
      <w:r>
        <w:rPr>
          <w:rFonts w:hint="eastAsia" w:ascii="Times New Roman" w:hAnsi="Times New Roman" w:eastAsia="宋体" w:cs="宋体"/>
          <w:strike w:val="0"/>
          <w:dstrike w:val="0"/>
          <w:color w:val="auto"/>
          <w:highlight w:val="none"/>
        </w:rPr>
        <w:t>②</w:t>
      </w:r>
      <w:r>
        <w:rPr>
          <w:rFonts w:ascii="Times New Roman" w:hAnsi="Times New Roman" w:eastAsia="宋体"/>
          <w:strike w:val="0"/>
          <w:dstrike w:val="0"/>
          <w:color w:val="auto"/>
          <w:highlight w:val="none"/>
        </w:rPr>
        <w:t>现场事故处置</w:t>
      </w:r>
    </w:p>
    <w:p w14:paraId="096B769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发生重大事故时，应紧急疏散场区工作人员，危险区域实行隔离，禁止进入，无关人员不得靠近</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现场扑救人员应佩戴氧气隔离防毒面具，穿专用防护服</w:t>
      </w:r>
      <w:r>
        <w:rPr>
          <w:rFonts w:hint="eastAsia" w:ascii="Times New Roman" w:hAnsi="Times New Roman" w:eastAsia="宋体"/>
          <w:strike w:val="0"/>
          <w:dstrike w:val="0"/>
          <w:color w:val="auto"/>
          <w:highlight w:val="none"/>
          <w:lang w:eastAsia="zh-CN"/>
        </w:rPr>
        <w:t>。</w:t>
      </w:r>
    </w:p>
    <w:p w14:paraId="3CDA47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建设单位应按照《企业突发环境事件风险评估指南（试行）》（环境保护部环办</w:t>
      </w:r>
      <w:r>
        <w:rPr>
          <w:rFonts w:hint="eastAsia" w:ascii="Times New Roman" w:hAnsi="Times New Roman" w:eastAsia="宋体"/>
          <w:strike w:val="0"/>
          <w:dstrike w:val="0"/>
          <w:color w:val="auto"/>
          <w:highlight w:val="none"/>
          <w:lang w:eastAsia="zh-CN"/>
        </w:rPr>
        <w:t>〔2014〕34号</w:t>
      </w:r>
      <w:r>
        <w:rPr>
          <w:rFonts w:hint="eastAsia" w:ascii="Times New Roman" w:hAnsi="Times New Roman" w:eastAsia="宋体"/>
          <w:strike w:val="0"/>
          <w:dstrike w:val="0"/>
          <w:color w:val="auto"/>
          <w:highlight w:val="none"/>
        </w:rPr>
        <w:t>）的要求建立环境风险事故应急预案，应急预案所要求的基本内容可参照表5.3</w:t>
      </w:r>
      <w:r>
        <w:rPr>
          <w:rFonts w:hint="eastAsia" w:ascii="Times New Roman" w:hAnsi="Times New Roman" w:eastAsia="宋体"/>
          <w:strike w:val="0"/>
          <w:dstrike w:val="0"/>
          <w:color w:val="auto"/>
          <w:highlight w:val="none"/>
          <w:lang w:val="en-US" w:eastAsia="zh-CN"/>
        </w:rPr>
        <w:t>-</w:t>
      </w:r>
      <w:r>
        <w:rPr>
          <w:rFonts w:hint="eastAsia" w:ascii="Times New Roman" w:hAnsi="Times New Roman" w:eastAsia="宋体"/>
          <w:strike w:val="0"/>
          <w:dstrike w:val="0"/>
          <w:color w:val="auto"/>
          <w:highlight w:val="none"/>
        </w:rPr>
        <w:t>6中的相关内容</w:t>
      </w:r>
      <w:r>
        <w:rPr>
          <w:rFonts w:hint="eastAsia" w:ascii="Times New Roman" w:hAnsi="Times New Roman" w:eastAsia="宋体"/>
          <w:strike w:val="0"/>
          <w:dstrike w:val="0"/>
          <w:color w:val="auto"/>
          <w:highlight w:val="none"/>
          <w:lang w:eastAsia="zh-CN"/>
        </w:rPr>
        <w:t>。</w:t>
      </w:r>
    </w:p>
    <w:p w14:paraId="4ED18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表5.3-6应急预案内容一览表</w:t>
      </w:r>
    </w:p>
    <w:tbl>
      <w:tblPr>
        <w:tblStyle w:val="39"/>
        <w:tblW w:w="8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054"/>
        <w:gridCol w:w="5282"/>
      </w:tblGrid>
      <w:tr w14:paraId="59EB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2" w:type="pct"/>
            <w:shd w:val="clear" w:color="auto" w:fill="auto"/>
            <w:vAlign w:val="center"/>
          </w:tcPr>
          <w:p w14:paraId="5CAD4AC9">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序号</w:t>
            </w:r>
          </w:p>
        </w:tc>
        <w:tc>
          <w:tcPr>
            <w:tcW w:w="1282" w:type="pct"/>
            <w:shd w:val="clear" w:color="auto" w:fill="auto"/>
            <w:vAlign w:val="center"/>
          </w:tcPr>
          <w:p w14:paraId="6CBE8FC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项目</w:t>
            </w:r>
          </w:p>
        </w:tc>
        <w:tc>
          <w:tcPr>
            <w:tcW w:w="3295" w:type="pct"/>
            <w:shd w:val="clear" w:color="auto" w:fill="auto"/>
            <w:vAlign w:val="center"/>
          </w:tcPr>
          <w:p w14:paraId="169C6A2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内容及要求</w:t>
            </w:r>
          </w:p>
        </w:tc>
      </w:tr>
      <w:tr w14:paraId="3FA3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35C2A5F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1</w:t>
            </w:r>
          </w:p>
        </w:tc>
        <w:tc>
          <w:tcPr>
            <w:tcW w:w="1282" w:type="pct"/>
            <w:shd w:val="clear" w:color="auto" w:fill="auto"/>
            <w:vAlign w:val="center"/>
          </w:tcPr>
          <w:p w14:paraId="7BE99AE1">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应急计划区</w:t>
            </w:r>
          </w:p>
        </w:tc>
        <w:tc>
          <w:tcPr>
            <w:tcW w:w="3295" w:type="pct"/>
            <w:shd w:val="clear" w:color="auto" w:fill="auto"/>
            <w:vAlign w:val="center"/>
          </w:tcPr>
          <w:p w14:paraId="6D13470F">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危险目标，环境保护目标</w:t>
            </w:r>
          </w:p>
        </w:tc>
      </w:tr>
      <w:tr w14:paraId="4F2D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16F9F8E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2</w:t>
            </w:r>
          </w:p>
        </w:tc>
        <w:tc>
          <w:tcPr>
            <w:tcW w:w="1282" w:type="pct"/>
            <w:shd w:val="clear" w:color="auto" w:fill="auto"/>
            <w:vAlign w:val="center"/>
          </w:tcPr>
          <w:p w14:paraId="6AAD0508">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应急组织机构、人员</w:t>
            </w:r>
          </w:p>
        </w:tc>
        <w:tc>
          <w:tcPr>
            <w:tcW w:w="3295" w:type="pct"/>
            <w:shd w:val="clear" w:color="auto" w:fill="auto"/>
            <w:vAlign w:val="center"/>
          </w:tcPr>
          <w:p w14:paraId="0DAD67BF">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厂区、地区应急组织机构、人员</w:t>
            </w:r>
          </w:p>
        </w:tc>
      </w:tr>
      <w:tr w14:paraId="62BAF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48B2B7F6">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3</w:t>
            </w:r>
          </w:p>
        </w:tc>
        <w:tc>
          <w:tcPr>
            <w:tcW w:w="1282" w:type="pct"/>
            <w:shd w:val="clear" w:color="auto" w:fill="auto"/>
            <w:vAlign w:val="center"/>
          </w:tcPr>
          <w:p w14:paraId="5DB2E4DC">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预案分级响应条件</w:t>
            </w:r>
          </w:p>
        </w:tc>
        <w:tc>
          <w:tcPr>
            <w:tcW w:w="3295" w:type="pct"/>
            <w:shd w:val="clear" w:color="auto" w:fill="auto"/>
            <w:vAlign w:val="center"/>
          </w:tcPr>
          <w:p w14:paraId="09228C97">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规定预案的级别及分级响应程序</w:t>
            </w:r>
          </w:p>
        </w:tc>
      </w:tr>
      <w:tr w14:paraId="47EB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427FC77F">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4</w:t>
            </w:r>
          </w:p>
        </w:tc>
        <w:tc>
          <w:tcPr>
            <w:tcW w:w="1282" w:type="pct"/>
            <w:shd w:val="clear" w:color="auto" w:fill="auto"/>
            <w:vAlign w:val="center"/>
          </w:tcPr>
          <w:p w14:paraId="347DB5BB">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应急救援保障</w:t>
            </w:r>
          </w:p>
        </w:tc>
        <w:tc>
          <w:tcPr>
            <w:tcW w:w="3295" w:type="pct"/>
            <w:shd w:val="clear" w:color="auto" w:fill="auto"/>
            <w:vAlign w:val="center"/>
          </w:tcPr>
          <w:p w14:paraId="6A0CB08E">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应急设施，设备与器材</w:t>
            </w:r>
          </w:p>
        </w:tc>
      </w:tr>
      <w:tr w14:paraId="713A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0F8B9898">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5</w:t>
            </w:r>
          </w:p>
        </w:tc>
        <w:tc>
          <w:tcPr>
            <w:tcW w:w="1282" w:type="pct"/>
            <w:shd w:val="clear" w:color="auto" w:fill="auto"/>
            <w:vAlign w:val="center"/>
          </w:tcPr>
          <w:p w14:paraId="23DE767A">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报警、通讯联络方式</w:t>
            </w:r>
          </w:p>
        </w:tc>
        <w:tc>
          <w:tcPr>
            <w:tcW w:w="3295" w:type="pct"/>
            <w:shd w:val="clear" w:color="auto" w:fill="auto"/>
            <w:vAlign w:val="center"/>
          </w:tcPr>
          <w:p w14:paraId="518A255A">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规定应急状态下的报警通讯方式、通知方式和交通保障、管制</w:t>
            </w:r>
          </w:p>
        </w:tc>
      </w:tr>
      <w:tr w14:paraId="5CFE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356DC2FE">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6</w:t>
            </w:r>
          </w:p>
        </w:tc>
        <w:tc>
          <w:tcPr>
            <w:tcW w:w="1282" w:type="pct"/>
            <w:shd w:val="clear" w:color="auto" w:fill="auto"/>
            <w:vAlign w:val="center"/>
          </w:tcPr>
          <w:p w14:paraId="0966D71D">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应急环境监测、抢险、救援及控制措施</w:t>
            </w:r>
          </w:p>
        </w:tc>
        <w:tc>
          <w:tcPr>
            <w:tcW w:w="3295" w:type="pct"/>
            <w:shd w:val="clear" w:color="auto" w:fill="auto"/>
            <w:vAlign w:val="center"/>
          </w:tcPr>
          <w:p w14:paraId="1BC81265">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由专业队伍负责对事故现场进行侦查监测，对事故性质、参数与后果进行评估，为指挥部门提供决策依据</w:t>
            </w:r>
          </w:p>
        </w:tc>
      </w:tr>
      <w:tr w14:paraId="5280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375DEC66">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7</w:t>
            </w:r>
          </w:p>
        </w:tc>
        <w:tc>
          <w:tcPr>
            <w:tcW w:w="1282" w:type="pct"/>
            <w:shd w:val="clear" w:color="auto" w:fill="auto"/>
            <w:vAlign w:val="center"/>
          </w:tcPr>
          <w:p w14:paraId="4617AEC1">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应急检测、防护措施、清楚泄露措施和器材</w:t>
            </w:r>
          </w:p>
        </w:tc>
        <w:tc>
          <w:tcPr>
            <w:tcW w:w="3295" w:type="pct"/>
            <w:shd w:val="clear" w:color="auto" w:fill="auto"/>
            <w:vAlign w:val="center"/>
          </w:tcPr>
          <w:p w14:paraId="30A41001">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事故现场、临近区域、控制防火措施，控制和清楚污染措施及相应设备</w:t>
            </w:r>
          </w:p>
        </w:tc>
      </w:tr>
      <w:tr w14:paraId="759C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16B0E913">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8</w:t>
            </w:r>
          </w:p>
        </w:tc>
        <w:tc>
          <w:tcPr>
            <w:tcW w:w="1282" w:type="pct"/>
            <w:shd w:val="clear" w:color="auto" w:fill="auto"/>
            <w:vAlign w:val="center"/>
          </w:tcPr>
          <w:p w14:paraId="7ABC1B88">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人员紧急撤离、疏散，应急剂量控制、撤离组织计划</w:t>
            </w:r>
          </w:p>
        </w:tc>
        <w:tc>
          <w:tcPr>
            <w:tcW w:w="3295" w:type="pct"/>
            <w:shd w:val="clear" w:color="auto" w:fill="auto"/>
            <w:vAlign w:val="center"/>
          </w:tcPr>
          <w:p w14:paraId="67DD4E74">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事故现场、厂区临近区、受事故影响的区域人员及公众对毒物应急剂量控制规定，撤离组织计划及救护，医疗救护与公众健康</w:t>
            </w:r>
          </w:p>
        </w:tc>
      </w:tr>
      <w:tr w14:paraId="1985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422" w:type="pct"/>
            <w:shd w:val="clear" w:color="auto" w:fill="auto"/>
            <w:vAlign w:val="center"/>
          </w:tcPr>
          <w:p w14:paraId="6D74BBEC">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9</w:t>
            </w:r>
          </w:p>
        </w:tc>
        <w:tc>
          <w:tcPr>
            <w:tcW w:w="1282" w:type="pct"/>
            <w:shd w:val="clear" w:color="auto" w:fill="auto"/>
            <w:vAlign w:val="center"/>
          </w:tcPr>
          <w:p w14:paraId="3D346343">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事故应急救援关闭程序与恢复措施</w:t>
            </w:r>
          </w:p>
        </w:tc>
        <w:tc>
          <w:tcPr>
            <w:tcW w:w="3295" w:type="pct"/>
            <w:shd w:val="clear" w:color="auto" w:fill="auto"/>
            <w:vAlign w:val="center"/>
          </w:tcPr>
          <w:p w14:paraId="15A7A839">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规定应急状态终止程序；</w:t>
            </w:r>
          </w:p>
          <w:p w14:paraId="309BC329">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事故现场善后处理，恢复措施；</w:t>
            </w:r>
          </w:p>
          <w:p w14:paraId="3C0F0208">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临近区域解除事故警戒及善后恢复措施</w:t>
            </w:r>
          </w:p>
        </w:tc>
      </w:tr>
      <w:tr w14:paraId="2F54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2232249A">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10</w:t>
            </w:r>
          </w:p>
        </w:tc>
        <w:tc>
          <w:tcPr>
            <w:tcW w:w="1282" w:type="pct"/>
            <w:shd w:val="clear" w:color="auto" w:fill="auto"/>
            <w:vAlign w:val="center"/>
          </w:tcPr>
          <w:p w14:paraId="5C36F5F5">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应急培训计划</w:t>
            </w:r>
          </w:p>
        </w:tc>
        <w:tc>
          <w:tcPr>
            <w:tcW w:w="3295" w:type="pct"/>
            <w:shd w:val="clear" w:color="auto" w:fill="auto"/>
            <w:vAlign w:val="center"/>
          </w:tcPr>
          <w:p w14:paraId="28956C40">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应急计划制定后，平时安排人员培训与演练</w:t>
            </w:r>
          </w:p>
        </w:tc>
      </w:tr>
      <w:tr w14:paraId="3E55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2" w:type="pct"/>
            <w:shd w:val="clear" w:color="auto" w:fill="auto"/>
            <w:vAlign w:val="center"/>
          </w:tcPr>
          <w:p w14:paraId="5310568E">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11</w:t>
            </w:r>
          </w:p>
        </w:tc>
        <w:tc>
          <w:tcPr>
            <w:tcW w:w="1282" w:type="pct"/>
            <w:shd w:val="clear" w:color="auto" w:fill="auto"/>
            <w:vAlign w:val="center"/>
          </w:tcPr>
          <w:p w14:paraId="1CABD080">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公众教育和信息</w:t>
            </w:r>
          </w:p>
        </w:tc>
        <w:tc>
          <w:tcPr>
            <w:tcW w:w="3295" w:type="pct"/>
            <w:shd w:val="clear" w:color="auto" w:fill="auto"/>
            <w:vAlign w:val="center"/>
          </w:tcPr>
          <w:p w14:paraId="0DFBE602">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对临近地区开展公众教育、培训和发布有关信息</w:t>
            </w:r>
          </w:p>
        </w:tc>
      </w:tr>
    </w:tbl>
    <w:p w14:paraId="14F3E381">
      <w:pPr>
        <w:pStyle w:val="4"/>
        <w:rPr>
          <w:rFonts w:hint="eastAsia" w:ascii="Times New Roman" w:hAnsi="Times New Roman" w:eastAsia="宋体"/>
          <w:strike w:val="0"/>
          <w:dstrike w:val="0"/>
          <w:color w:val="auto"/>
          <w:highlight w:val="none"/>
        </w:rPr>
      </w:pPr>
      <w:bookmarkStart w:id="283" w:name="_Toc26444"/>
      <w:bookmarkStart w:id="284" w:name="_Toc89619346"/>
      <w:bookmarkStart w:id="285" w:name="_Toc106663516"/>
      <w:r>
        <w:rPr>
          <w:rFonts w:hint="eastAsia" w:ascii="Times New Roman" w:hAnsi="Times New Roman" w:eastAsia="宋体"/>
          <w:strike w:val="0"/>
          <w:dstrike w:val="0"/>
          <w:color w:val="auto"/>
          <w:highlight w:val="none"/>
        </w:rPr>
        <w:t>5.3.9项目风险评价结论与建议</w:t>
      </w:r>
      <w:bookmarkEnd w:id="283"/>
      <w:bookmarkEnd w:id="284"/>
      <w:bookmarkEnd w:id="285"/>
    </w:p>
    <w:p w14:paraId="61E8F6E8">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1、风险评价结论</w:t>
      </w:r>
    </w:p>
    <w:p w14:paraId="101C030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风险评价的结果表明，本项目环境风险主要来自</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饲养过程中的</w:t>
      </w:r>
      <w:r>
        <w:rPr>
          <w:rFonts w:hint="eastAsia" w:ascii="Times New Roman" w:hAnsi="Times New Roman" w:eastAsia="宋体"/>
          <w:strike w:val="0"/>
          <w:dstrike w:val="0"/>
          <w:color w:val="auto"/>
          <w:highlight w:val="none"/>
          <w:lang w:eastAsia="zh-CN"/>
        </w:rPr>
        <w:t>骆驼尸体</w:t>
      </w:r>
      <w:r>
        <w:rPr>
          <w:rFonts w:ascii="Times New Roman" w:hAnsi="Times New Roman" w:eastAsia="宋体"/>
          <w:strike w:val="0"/>
          <w:dstrike w:val="0"/>
          <w:color w:val="auto"/>
          <w:highlight w:val="none"/>
        </w:rPr>
        <w:t>、排水管网和</w:t>
      </w:r>
      <w:r>
        <w:rPr>
          <w:rFonts w:hint="eastAsia" w:ascii="Times New Roman" w:hAnsi="Times New Roman" w:eastAsia="宋体"/>
          <w:strike w:val="0"/>
          <w:dstrike w:val="0"/>
          <w:color w:val="auto"/>
          <w:highlight w:val="none"/>
          <w:lang w:val="en-US" w:eastAsia="zh-CN"/>
        </w:rPr>
        <w:t>黑膜池</w:t>
      </w:r>
      <w:r>
        <w:rPr>
          <w:rFonts w:ascii="Times New Roman" w:hAnsi="Times New Roman" w:eastAsia="宋体"/>
          <w:strike w:val="0"/>
          <w:dstrike w:val="0"/>
          <w:color w:val="auto"/>
          <w:highlight w:val="none"/>
        </w:rPr>
        <w:t>泄露、医疗废物污染事故等</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距居民区较远，在进一步采取安全防范措施和事故应急预案、在落实各项环保措施和采取本报告书提出的有关建议的前提下，基本满足国家相关环境保护和安全法规、标准的要求，该项目发生风险事故的可能进一步降低，其潜在的环境风险是可以接受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但企业仍需要提高风险管理水平和强化风险防范措施，降低环境风险事故发生的概率</w:t>
      </w:r>
      <w:r>
        <w:rPr>
          <w:rFonts w:hint="eastAsia" w:ascii="Times New Roman" w:hAnsi="Times New Roman" w:eastAsia="宋体"/>
          <w:strike w:val="0"/>
          <w:dstrike w:val="0"/>
          <w:color w:val="auto"/>
          <w:highlight w:val="none"/>
          <w:lang w:eastAsia="zh-CN"/>
        </w:rPr>
        <w:t>。</w:t>
      </w:r>
    </w:p>
    <w:p w14:paraId="033F3DAF">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2、建议</w:t>
      </w:r>
    </w:p>
    <w:p w14:paraId="17FA34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本项目具有潜在的事故风险，尽管风险可接受，但企业应从建设、生产、贮运等各方面积极采取防护措施，这是确保安全的根本措施</w:t>
      </w:r>
      <w:r>
        <w:rPr>
          <w:rFonts w:hint="eastAsia" w:ascii="Times New Roman" w:hAnsi="Times New Roman" w:eastAsia="宋体"/>
          <w:strike w:val="0"/>
          <w:dstrike w:val="0"/>
          <w:color w:val="auto"/>
          <w:highlight w:val="none"/>
          <w:lang w:eastAsia="zh-CN"/>
        </w:rPr>
        <w:t>。</w:t>
      </w:r>
    </w:p>
    <w:p w14:paraId="2B93AD0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当出现事故时，要采取紧急的工程应急措施，如必要，应采取社会应急措施，以控制事故和减少对环境造成的危害</w:t>
      </w:r>
      <w:r>
        <w:rPr>
          <w:rFonts w:hint="eastAsia" w:ascii="Times New Roman" w:hAnsi="Times New Roman" w:eastAsia="宋体"/>
          <w:strike w:val="0"/>
          <w:dstrike w:val="0"/>
          <w:color w:val="auto"/>
          <w:highlight w:val="none"/>
          <w:lang w:eastAsia="zh-CN"/>
        </w:rPr>
        <w:t>。</w:t>
      </w:r>
    </w:p>
    <w:p w14:paraId="6E4FB44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按照企业制定的突发环境事故应急预案，定期进行预案演练并实现与地方政府或相关管理部门突发环境事故应急预案的有效衔接</w:t>
      </w:r>
      <w:r>
        <w:rPr>
          <w:rFonts w:hint="eastAsia" w:ascii="Times New Roman" w:hAnsi="Times New Roman" w:eastAsia="宋体"/>
          <w:strike w:val="0"/>
          <w:dstrike w:val="0"/>
          <w:color w:val="auto"/>
          <w:highlight w:val="none"/>
          <w:lang w:eastAsia="zh-CN"/>
        </w:rPr>
        <w:t>。</w:t>
      </w:r>
    </w:p>
    <w:p w14:paraId="7EAF25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建设单位必须高度重视，做到风险防范警钟常鸣，环境安全管理常抓不懈；严格落实各项风险防范措施，不断完善风险管理体系</w:t>
      </w:r>
      <w:r>
        <w:rPr>
          <w:rFonts w:hint="eastAsia" w:ascii="Times New Roman" w:hAnsi="Times New Roman" w:eastAsia="宋体"/>
          <w:strike w:val="0"/>
          <w:dstrike w:val="0"/>
          <w:color w:val="auto"/>
          <w:highlight w:val="none"/>
          <w:lang w:eastAsia="zh-CN"/>
        </w:rPr>
        <w:t>。</w:t>
      </w:r>
    </w:p>
    <w:p w14:paraId="30E4B3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建立企业环境风险应急机制，加强厂区管道、</w:t>
      </w:r>
      <w:r>
        <w:rPr>
          <w:rFonts w:hint="eastAsia" w:ascii="Times New Roman" w:hAnsi="Times New Roman" w:eastAsia="宋体"/>
          <w:strike w:val="0"/>
          <w:dstrike w:val="0"/>
          <w:color w:val="auto"/>
          <w:highlight w:val="none"/>
          <w:lang w:eastAsia="zh-CN"/>
        </w:rPr>
        <w:t>医疗废物暂存间</w:t>
      </w:r>
      <w:r>
        <w:rPr>
          <w:rFonts w:ascii="Times New Roman" w:hAnsi="Times New Roman" w:eastAsia="宋体"/>
          <w:strike w:val="0"/>
          <w:dstrike w:val="0"/>
          <w:color w:val="auto"/>
          <w:highlight w:val="none"/>
        </w:rPr>
        <w:t>的巡查、监视力度，强化风险管理，强化对员工的职业素质教育，杜绝违章作业</w:t>
      </w:r>
      <w:r>
        <w:rPr>
          <w:rFonts w:hint="eastAsia" w:ascii="Times New Roman" w:hAnsi="Times New Roman" w:eastAsia="宋体"/>
          <w:strike w:val="0"/>
          <w:dstrike w:val="0"/>
          <w:color w:val="auto"/>
          <w:highlight w:val="none"/>
          <w:lang w:eastAsia="zh-CN"/>
        </w:rPr>
        <w:t>。</w:t>
      </w:r>
    </w:p>
    <w:p w14:paraId="4E86D496">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3、建设项目环境风险简单分析内容表</w:t>
      </w:r>
    </w:p>
    <w:p w14:paraId="593722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建设项目环境风险简单分析内容见表5.3-7</w:t>
      </w:r>
      <w:r>
        <w:rPr>
          <w:rFonts w:hint="eastAsia" w:ascii="Times New Roman" w:hAnsi="Times New Roman" w:eastAsia="宋体"/>
          <w:strike w:val="0"/>
          <w:dstrike w:val="0"/>
          <w:color w:val="auto"/>
          <w:highlight w:val="none"/>
          <w:lang w:eastAsia="zh-CN"/>
        </w:rPr>
        <w:t>。</w:t>
      </w:r>
    </w:p>
    <w:p w14:paraId="53BD2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表5.3-7建设项目环境风险简单分析内容表</w:t>
      </w: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990"/>
        <w:gridCol w:w="1823"/>
        <w:gridCol w:w="1365"/>
        <w:gridCol w:w="2749"/>
      </w:tblGrid>
      <w:tr w14:paraId="3073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5" w:type="pct"/>
            <w:shd w:val="clear" w:color="auto" w:fill="auto"/>
            <w:vAlign w:val="center"/>
          </w:tcPr>
          <w:p w14:paraId="14CBB3DF">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建设项目名称</w:t>
            </w:r>
          </w:p>
        </w:tc>
        <w:tc>
          <w:tcPr>
            <w:tcW w:w="4065" w:type="pct"/>
            <w:gridSpan w:val="4"/>
            <w:shd w:val="clear" w:color="auto" w:fill="auto"/>
            <w:vAlign w:val="center"/>
          </w:tcPr>
          <w:p w14:paraId="09A078AA">
            <w:pPr>
              <w:spacing w:line="240" w:lineRule="auto"/>
              <w:ind w:firstLine="0" w:firstLineChars="0"/>
              <w:jc w:val="center"/>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lang w:eastAsia="zh-CN"/>
              </w:rPr>
              <w:t>木垒县2026年长眉驼良种繁育基地建设项目</w:t>
            </w:r>
          </w:p>
        </w:tc>
      </w:tr>
      <w:tr w14:paraId="066E1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5" w:type="pct"/>
            <w:shd w:val="clear" w:color="auto" w:fill="auto"/>
            <w:vAlign w:val="center"/>
          </w:tcPr>
          <w:p w14:paraId="3295FC50">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建设地点</w:t>
            </w:r>
          </w:p>
        </w:tc>
        <w:tc>
          <w:tcPr>
            <w:tcW w:w="581" w:type="pct"/>
            <w:shd w:val="clear" w:color="auto" w:fill="auto"/>
            <w:vAlign w:val="center"/>
          </w:tcPr>
          <w:p w14:paraId="57AB672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新疆</w:t>
            </w:r>
          </w:p>
        </w:tc>
        <w:tc>
          <w:tcPr>
            <w:tcW w:w="1070" w:type="pct"/>
            <w:shd w:val="clear" w:color="auto" w:fill="auto"/>
            <w:vAlign w:val="center"/>
          </w:tcPr>
          <w:p w14:paraId="4C9A0F1D">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昌吉州</w:t>
            </w:r>
          </w:p>
        </w:tc>
        <w:tc>
          <w:tcPr>
            <w:tcW w:w="801" w:type="pct"/>
            <w:shd w:val="clear" w:color="auto" w:fill="auto"/>
            <w:vAlign w:val="center"/>
          </w:tcPr>
          <w:p w14:paraId="5FB931D6">
            <w:pPr>
              <w:spacing w:line="240" w:lineRule="auto"/>
              <w:ind w:firstLine="0" w:firstLineChars="0"/>
              <w:jc w:val="center"/>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lang w:eastAsia="zh-CN"/>
              </w:rPr>
              <w:t>木垒县</w:t>
            </w:r>
          </w:p>
        </w:tc>
        <w:tc>
          <w:tcPr>
            <w:tcW w:w="1613" w:type="pct"/>
            <w:shd w:val="clear" w:color="auto" w:fill="auto"/>
            <w:vAlign w:val="center"/>
          </w:tcPr>
          <w:p w14:paraId="0876DB7F">
            <w:pPr>
              <w:spacing w:line="240" w:lineRule="auto"/>
              <w:ind w:firstLine="0" w:firstLineChars="0"/>
              <w:jc w:val="center"/>
              <w:rPr>
                <w:rFonts w:hint="default" w:ascii="Times New Roman" w:hAnsi="Times New Roman" w:eastAsia="宋体"/>
                <w:strike w:val="0"/>
                <w:dstrike w:val="0"/>
                <w:color w:val="auto"/>
                <w:kern w:val="2"/>
                <w:sz w:val="21"/>
                <w:szCs w:val="24"/>
                <w:highlight w:val="none"/>
                <w:lang w:val="en-US" w:eastAsia="zh-CN"/>
              </w:rPr>
            </w:pPr>
            <w:r>
              <w:rPr>
                <w:rFonts w:hint="eastAsia" w:ascii="Times New Roman" w:hAnsi="Times New Roman" w:eastAsia="宋体"/>
                <w:strike w:val="0"/>
                <w:dstrike w:val="0"/>
                <w:color w:val="auto"/>
                <w:kern w:val="2"/>
                <w:sz w:val="21"/>
                <w:szCs w:val="24"/>
                <w:highlight w:val="none"/>
                <w:lang w:val="en-US" w:eastAsia="zh-CN"/>
              </w:rPr>
              <w:t>博斯坦乡</w:t>
            </w:r>
          </w:p>
        </w:tc>
      </w:tr>
      <w:tr w14:paraId="5660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5" w:type="pct"/>
            <w:shd w:val="clear" w:color="auto" w:fill="auto"/>
            <w:vAlign w:val="center"/>
          </w:tcPr>
          <w:p w14:paraId="104E2562">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地理坐标</w:t>
            </w:r>
          </w:p>
        </w:tc>
        <w:tc>
          <w:tcPr>
            <w:tcW w:w="581" w:type="pct"/>
            <w:shd w:val="clear" w:color="auto" w:fill="auto"/>
            <w:vAlign w:val="center"/>
          </w:tcPr>
          <w:p w14:paraId="05DC9D9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经度</w:t>
            </w:r>
          </w:p>
        </w:tc>
        <w:tc>
          <w:tcPr>
            <w:tcW w:w="1070" w:type="pct"/>
            <w:shd w:val="clear" w:color="auto" w:fill="auto"/>
            <w:vAlign w:val="center"/>
          </w:tcPr>
          <w:p w14:paraId="45FAAB1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highlight w:val="none"/>
              </w:rPr>
              <w:t>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w:t>
            </w:r>
          </w:p>
        </w:tc>
        <w:tc>
          <w:tcPr>
            <w:tcW w:w="801" w:type="pct"/>
            <w:shd w:val="clear" w:color="auto" w:fill="auto"/>
            <w:vAlign w:val="center"/>
          </w:tcPr>
          <w:p w14:paraId="6279969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纬度</w:t>
            </w:r>
          </w:p>
        </w:tc>
        <w:tc>
          <w:tcPr>
            <w:tcW w:w="1613" w:type="pct"/>
            <w:shd w:val="clear" w:color="auto" w:fill="auto"/>
            <w:vAlign w:val="center"/>
          </w:tcPr>
          <w:p w14:paraId="4B80FBB5">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highlight w:val="none"/>
                <w:lang w:eastAsia="zh-CN"/>
              </w:rPr>
              <w:t>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lang w:eastAsia="zh-CN"/>
              </w:rPr>
              <w:t>″</w:t>
            </w:r>
          </w:p>
        </w:tc>
      </w:tr>
      <w:tr w14:paraId="608C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pct"/>
            <w:shd w:val="clear" w:color="auto" w:fill="auto"/>
            <w:vAlign w:val="center"/>
          </w:tcPr>
          <w:p w14:paraId="55191B32">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主要危险物质及分布</w:t>
            </w:r>
          </w:p>
        </w:tc>
        <w:tc>
          <w:tcPr>
            <w:tcW w:w="4065" w:type="pct"/>
            <w:gridSpan w:val="4"/>
            <w:shd w:val="clear" w:color="auto" w:fill="auto"/>
            <w:vAlign w:val="center"/>
          </w:tcPr>
          <w:p w14:paraId="5D211228">
            <w:pPr>
              <w:spacing w:line="240" w:lineRule="auto"/>
              <w:ind w:firstLine="0" w:firstLineChars="0"/>
              <w:rPr>
                <w:rFonts w:hint="eastAsia" w:ascii="Times New Roman" w:hAnsi="Times New Roman" w:eastAsia="宋体"/>
                <w:strike w:val="0"/>
                <w:dstrike w:val="0"/>
                <w:color w:val="auto"/>
                <w:kern w:val="2"/>
                <w:sz w:val="21"/>
                <w:szCs w:val="24"/>
                <w:highlight w:val="none"/>
                <w:lang w:eastAsia="zh-CN"/>
              </w:rPr>
            </w:pPr>
            <w:r>
              <w:rPr>
                <w:rFonts w:ascii="Times New Roman" w:hAnsi="Times New Roman" w:eastAsia="宋体"/>
                <w:strike w:val="0"/>
                <w:dstrike w:val="0"/>
                <w:color w:val="auto"/>
                <w:kern w:val="2"/>
                <w:sz w:val="21"/>
                <w:szCs w:val="24"/>
                <w:highlight w:val="none"/>
              </w:rPr>
              <w:t>本项目不涉及《建设项目环境风险评价技术导则》</w:t>
            </w:r>
            <w:r>
              <w:rPr>
                <w:rFonts w:hint="eastAsia" w:ascii="Times New Roman" w:hAnsi="Times New Roman" w:eastAsia="宋体"/>
                <w:strike w:val="0"/>
                <w:dstrike w:val="0"/>
                <w:color w:val="auto"/>
                <w:kern w:val="2"/>
                <w:sz w:val="21"/>
                <w:szCs w:val="24"/>
                <w:highlight w:val="none"/>
                <w:lang w:eastAsia="zh-CN"/>
              </w:rPr>
              <w:t>（</w:t>
            </w:r>
            <w:r>
              <w:rPr>
                <w:rFonts w:ascii="Times New Roman" w:hAnsi="Times New Roman" w:eastAsia="宋体"/>
                <w:strike w:val="0"/>
                <w:dstrike w:val="0"/>
                <w:color w:val="auto"/>
                <w:kern w:val="2"/>
                <w:sz w:val="21"/>
                <w:szCs w:val="24"/>
                <w:highlight w:val="none"/>
              </w:rPr>
              <w:t>HJ169-2018</w:t>
            </w:r>
            <w:r>
              <w:rPr>
                <w:rFonts w:hint="eastAsia" w:ascii="Times New Roman" w:hAnsi="Times New Roman" w:eastAsia="宋体"/>
                <w:strike w:val="0"/>
                <w:dstrike w:val="0"/>
                <w:color w:val="auto"/>
                <w:kern w:val="2"/>
                <w:sz w:val="21"/>
                <w:szCs w:val="24"/>
                <w:highlight w:val="none"/>
                <w:lang w:eastAsia="zh-CN"/>
              </w:rPr>
              <w:t>）</w:t>
            </w:r>
            <w:r>
              <w:rPr>
                <w:rFonts w:ascii="Times New Roman" w:hAnsi="Times New Roman" w:eastAsia="宋体"/>
                <w:strike w:val="0"/>
                <w:dstrike w:val="0"/>
                <w:color w:val="auto"/>
                <w:kern w:val="2"/>
                <w:sz w:val="21"/>
                <w:szCs w:val="24"/>
                <w:highlight w:val="none"/>
              </w:rPr>
              <w:t>附录B中的风险物质</w:t>
            </w:r>
            <w:r>
              <w:rPr>
                <w:rFonts w:hint="eastAsia" w:ascii="Times New Roman" w:hAnsi="Times New Roman" w:eastAsia="宋体"/>
                <w:strike w:val="0"/>
                <w:dstrike w:val="0"/>
                <w:color w:val="auto"/>
                <w:kern w:val="2"/>
                <w:sz w:val="21"/>
                <w:szCs w:val="24"/>
                <w:highlight w:val="none"/>
                <w:lang w:eastAsia="zh-CN"/>
              </w:rPr>
              <w:t>。</w:t>
            </w:r>
          </w:p>
        </w:tc>
      </w:tr>
      <w:tr w14:paraId="0206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pct"/>
            <w:shd w:val="clear" w:color="auto" w:fill="auto"/>
            <w:vAlign w:val="center"/>
          </w:tcPr>
          <w:p w14:paraId="3B8ADD37">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环境影响途径及危害后果</w:t>
            </w:r>
          </w:p>
        </w:tc>
        <w:tc>
          <w:tcPr>
            <w:tcW w:w="4065" w:type="pct"/>
            <w:gridSpan w:val="4"/>
            <w:shd w:val="clear" w:color="auto" w:fill="auto"/>
            <w:vAlign w:val="center"/>
          </w:tcPr>
          <w:p w14:paraId="29EAE187">
            <w:pPr>
              <w:spacing w:line="240" w:lineRule="auto"/>
              <w:ind w:firstLine="0" w:firstLineChars="0"/>
              <w:rPr>
                <w:rFonts w:ascii="Times New Roman" w:hAnsi="Times New Roman" w:eastAsia="宋体"/>
                <w:strike w:val="0"/>
                <w:dstrike w:val="0"/>
                <w:color w:val="auto"/>
                <w:kern w:val="2"/>
                <w:sz w:val="21"/>
                <w:szCs w:val="24"/>
                <w:highlight w:val="none"/>
              </w:rPr>
            </w:pPr>
            <w:r>
              <w:rPr>
                <w:rFonts w:ascii="Times New Roman" w:hAnsi="Times New Roman" w:eastAsia="宋体"/>
                <w:strike w:val="0"/>
                <w:dstrike w:val="0"/>
                <w:color w:val="auto"/>
                <w:kern w:val="2"/>
                <w:sz w:val="21"/>
                <w:szCs w:val="24"/>
                <w:highlight w:val="none"/>
              </w:rPr>
              <w:t>大气途径：无；</w:t>
            </w:r>
          </w:p>
          <w:p w14:paraId="04DCF2FB">
            <w:pPr>
              <w:spacing w:line="240" w:lineRule="auto"/>
              <w:ind w:firstLine="0" w:firstLineChars="0"/>
              <w:rPr>
                <w:rFonts w:ascii="Times New Roman" w:hAnsi="Times New Roman" w:eastAsia="宋体"/>
                <w:strike w:val="0"/>
                <w:dstrike w:val="0"/>
                <w:color w:val="auto"/>
                <w:kern w:val="2"/>
                <w:sz w:val="21"/>
                <w:szCs w:val="24"/>
                <w:highlight w:val="none"/>
              </w:rPr>
            </w:pPr>
            <w:r>
              <w:rPr>
                <w:rFonts w:ascii="Times New Roman" w:hAnsi="Times New Roman" w:eastAsia="宋体"/>
                <w:strike w:val="0"/>
                <w:dstrike w:val="0"/>
                <w:color w:val="auto"/>
                <w:kern w:val="2"/>
                <w:sz w:val="21"/>
                <w:szCs w:val="24"/>
                <w:highlight w:val="none"/>
              </w:rPr>
              <w:t>地表水途径：无；</w:t>
            </w:r>
          </w:p>
          <w:p w14:paraId="5BB9FB96">
            <w:pPr>
              <w:spacing w:line="240" w:lineRule="auto"/>
              <w:ind w:firstLine="0" w:firstLineChars="0"/>
              <w:rPr>
                <w:rFonts w:ascii="Times New Roman" w:hAnsi="Times New Roman" w:eastAsia="宋体"/>
                <w:strike w:val="0"/>
                <w:dstrike w:val="0"/>
                <w:color w:val="auto"/>
                <w:kern w:val="2"/>
                <w:sz w:val="21"/>
                <w:szCs w:val="24"/>
                <w:highlight w:val="none"/>
              </w:rPr>
            </w:pPr>
            <w:r>
              <w:rPr>
                <w:rFonts w:ascii="Times New Roman" w:hAnsi="Times New Roman" w:eastAsia="宋体"/>
                <w:strike w:val="0"/>
                <w:dstrike w:val="0"/>
                <w:color w:val="auto"/>
                <w:kern w:val="2"/>
                <w:sz w:val="21"/>
                <w:szCs w:val="24"/>
                <w:highlight w:val="none"/>
              </w:rPr>
              <w:t>地下水途径：管线和</w:t>
            </w:r>
            <w:r>
              <w:rPr>
                <w:rFonts w:hint="eastAsia" w:ascii="Times New Roman" w:hAnsi="Times New Roman" w:eastAsia="宋体"/>
                <w:strike w:val="0"/>
                <w:dstrike w:val="0"/>
                <w:color w:val="auto"/>
                <w:kern w:val="2"/>
                <w:sz w:val="21"/>
                <w:szCs w:val="24"/>
                <w:highlight w:val="none"/>
                <w:lang w:val="en-US" w:eastAsia="zh-CN"/>
              </w:rPr>
              <w:t>黑膜池</w:t>
            </w:r>
            <w:r>
              <w:rPr>
                <w:rFonts w:ascii="Times New Roman" w:hAnsi="Times New Roman" w:eastAsia="宋体"/>
                <w:strike w:val="0"/>
                <w:dstrike w:val="0"/>
                <w:color w:val="auto"/>
                <w:kern w:val="2"/>
                <w:sz w:val="21"/>
                <w:szCs w:val="24"/>
                <w:highlight w:val="none"/>
              </w:rPr>
              <w:t>泄露、医疗废物污染等；</w:t>
            </w:r>
          </w:p>
        </w:tc>
      </w:tr>
      <w:tr w14:paraId="623D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35" w:type="pct"/>
            <w:shd w:val="clear" w:color="auto" w:fill="auto"/>
            <w:vAlign w:val="center"/>
          </w:tcPr>
          <w:p w14:paraId="54630B61">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风险防范措施要求</w:t>
            </w:r>
          </w:p>
        </w:tc>
        <w:tc>
          <w:tcPr>
            <w:tcW w:w="4065" w:type="pct"/>
            <w:gridSpan w:val="4"/>
            <w:shd w:val="clear" w:color="auto" w:fill="auto"/>
            <w:vAlign w:val="center"/>
          </w:tcPr>
          <w:p w14:paraId="61881DEF">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①制定突发事件环境应急预案并定期演练；</w:t>
            </w:r>
          </w:p>
          <w:p w14:paraId="04F34D82">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②建设单位从总图布置、工艺控制系统安全设置、电器安全措施、防雷防静电、制定应急预案等方面完善了环境风险防范措施；</w:t>
            </w:r>
          </w:p>
          <w:p w14:paraId="6E9A37DD">
            <w:pPr>
              <w:spacing w:line="240" w:lineRule="auto"/>
              <w:ind w:firstLine="0" w:firstLineChars="0"/>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③采取基础防渗进行风险防范</w:t>
            </w:r>
          </w:p>
        </w:tc>
      </w:tr>
      <w:tr w14:paraId="20EE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935" w:type="pct"/>
            <w:shd w:val="clear" w:color="auto" w:fill="auto"/>
            <w:vAlign w:val="center"/>
          </w:tcPr>
          <w:p w14:paraId="2DD2ED30">
            <w:pPr>
              <w:spacing w:line="240" w:lineRule="auto"/>
              <w:ind w:firstLine="0" w:firstLineChars="0"/>
              <w:jc w:val="center"/>
              <w:rPr>
                <w:rFonts w:ascii="Times New Roman" w:hAnsi="Times New Roman" w:eastAsia="宋体"/>
                <w:strike w:val="0"/>
                <w:dstrike w:val="0"/>
                <w:color w:val="auto"/>
                <w:kern w:val="2"/>
                <w:sz w:val="21"/>
                <w:szCs w:val="24"/>
                <w:highlight w:val="none"/>
              </w:rPr>
            </w:pPr>
            <w:r>
              <w:rPr>
                <w:rFonts w:hint="eastAsia" w:ascii="Times New Roman" w:hAnsi="Times New Roman" w:eastAsia="宋体"/>
                <w:strike w:val="0"/>
                <w:dstrike w:val="0"/>
                <w:color w:val="auto"/>
                <w:kern w:val="2"/>
                <w:sz w:val="21"/>
                <w:szCs w:val="24"/>
                <w:highlight w:val="none"/>
              </w:rPr>
              <w:t>填表说明</w:t>
            </w:r>
          </w:p>
        </w:tc>
        <w:tc>
          <w:tcPr>
            <w:tcW w:w="4065" w:type="pct"/>
            <w:gridSpan w:val="4"/>
            <w:shd w:val="clear" w:color="auto" w:fill="auto"/>
            <w:vAlign w:val="center"/>
          </w:tcPr>
          <w:p w14:paraId="5D685802">
            <w:pPr>
              <w:spacing w:line="240" w:lineRule="auto"/>
              <w:ind w:firstLine="0" w:firstLineChars="0"/>
              <w:rPr>
                <w:rFonts w:hint="eastAsia" w:ascii="Times New Roman" w:hAnsi="Times New Roman" w:eastAsia="宋体"/>
                <w:strike w:val="0"/>
                <w:dstrike w:val="0"/>
                <w:color w:val="auto"/>
                <w:kern w:val="2"/>
                <w:sz w:val="21"/>
                <w:szCs w:val="24"/>
                <w:highlight w:val="none"/>
                <w:lang w:eastAsia="zh-CN"/>
              </w:rPr>
            </w:pPr>
            <w:r>
              <w:rPr>
                <w:rFonts w:hint="eastAsia" w:ascii="Times New Roman" w:hAnsi="Times New Roman" w:eastAsia="宋体"/>
                <w:strike w:val="0"/>
                <w:dstrike w:val="0"/>
                <w:color w:val="auto"/>
                <w:kern w:val="2"/>
                <w:sz w:val="21"/>
                <w:szCs w:val="24"/>
                <w:highlight w:val="none"/>
              </w:rPr>
              <w:t>本项目风险潜势为Ⅰ，仅进行简单分析，在采取有效的防范措施、制定相应的应急预案的前提下，建设单位可将事故风险的影响减至最小</w:t>
            </w:r>
            <w:r>
              <w:rPr>
                <w:rFonts w:hint="eastAsia" w:ascii="Times New Roman" w:hAnsi="Times New Roman" w:eastAsia="宋体"/>
                <w:strike w:val="0"/>
                <w:dstrike w:val="0"/>
                <w:color w:val="auto"/>
                <w:kern w:val="2"/>
                <w:sz w:val="21"/>
                <w:szCs w:val="24"/>
                <w:highlight w:val="none"/>
                <w:lang w:eastAsia="zh-CN"/>
              </w:rPr>
              <w:t>。</w:t>
            </w:r>
            <w:r>
              <w:rPr>
                <w:rFonts w:hint="eastAsia" w:ascii="Times New Roman" w:hAnsi="Times New Roman" w:eastAsia="宋体"/>
                <w:strike w:val="0"/>
                <w:dstrike w:val="0"/>
                <w:color w:val="auto"/>
                <w:kern w:val="2"/>
                <w:sz w:val="21"/>
                <w:szCs w:val="24"/>
                <w:highlight w:val="none"/>
              </w:rPr>
              <w:t>本项目在落实上述提出的存储过程中的风险防范及应急措施、生产过程中的风险防范及应急措施、环境影响途径的风险防范及应急措施后，可做到环境风险可防控要求，本项目环境风险防范措施有效可行，环境风险可防控</w:t>
            </w:r>
            <w:r>
              <w:rPr>
                <w:rFonts w:hint="eastAsia" w:ascii="Times New Roman" w:hAnsi="Times New Roman" w:eastAsia="宋体"/>
                <w:strike w:val="0"/>
                <w:dstrike w:val="0"/>
                <w:color w:val="auto"/>
                <w:kern w:val="2"/>
                <w:sz w:val="21"/>
                <w:szCs w:val="24"/>
                <w:highlight w:val="none"/>
                <w:lang w:eastAsia="zh-CN"/>
              </w:rPr>
              <w:t>。</w:t>
            </w:r>
          </w:p>
        </w:tc>
      </w:tr>
    </w:tbl>
    <w:p w14:paraId="51FF44DB">
      <w:pPr>
        <w:ind w:firstLine="480"/>
        <w:rPr>
          <w:rFonts w:ascii="Times New Roman" w:hAnsi="Times New Roman" w:eastAsia="宋体"/>
          <w:strike w:val="0"/>
          <w:dstrike w:val="0"/>
          <w:color w:val="auto"/>
          <w:highlight w:val="none"/>
        </w:rPr>
        <w:sectPr>
          <w:headerReference r:id="rId21" w:type="default"/>
          <w:footerReference r:id="rId2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2BE8AD84">
      <w:pPr>
        <w:pStyle w:val="2"/>
        <w:rPr>
          <w:rFonts w:ascii="Times New Roman" w:hAnsi="Times New Roman" w:eastAsia="宋体"/>
          <w:strike w:val="0"/>
          <w:dstrike w:val="0"/>
          <w:color w:val="auto"/>
          <w:highlight w:val="none"/>
        </w:rPr>
      </w:pPr>
      <w:bookmarkStart w:id="286" w:name="_Toc89619347"/>
      <w:bookmarkStart w:id="287" w:name="_Toc30338"/>
      <w:r>
        <w:rPr>
          <w:rFonts w:hint="eastAsia" w:ascii="Times New Roman" w:hAnsi="Times New Roman" w:eastAsia="宋体"/>
          <w:strike w:val="0"/>
          <w:dstrike w:val="0"/>
          <w:color w:val="auto"/>
          <w:highlight w:val="none"/>
        </w:rPr>
        <w:t>6、</w:t>
      </w:r>
      <w:bookmarkEnd w:id="286"/>
      <w:r>
        <w:rPr>
          <w:rFonts w:hint="eastAsia" w:ascii="Times New Roman" w:hAnsi="Times New Roman" w:eastAsia="宋体"/>
          <w:strike w:val="0"/>
          <w:dstrike w:val="0"/>
          <w:color w:val="auto"/>
          <w:highlight w:val="none"/>
        </w:rPr>
        <w:t>污染防治措施和对策建议</w:t>
      </w:r>
      <w:bookmarkEnd w:id="287"/>
    </w:p>
    <w:p w14:paraId="02ECE77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根据国家有关环保法规要求，该项目必须执行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项目投产后，其污染物排放必须达到国家和地方规定的标准和符合环境保护有关法规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章主要对本项目设计采取的各项环境保护措施从技术可行性、可靠性和经济合理性等方面进行分析论证并提出改善意见，以便在项目实施过程中采用经济合理的污染防治工艺和设施，确保项目排污得到有效控制并达到相关要求</w:t>
      </w:r>
      <w:r>
        <w:rPr>
          <w:rFonts w:hint="eastAsia" w:ascii="Times New Roman" w:hAnsi="Times New Roman" w:eastAsia="宋体"/>
          <w:strike w:val="0"/>
          <w:dstrike w:val="0"/>
          <w:color w:val="auto"/>
          <w:highlight w:val="none"/>
          <w:lang w:eastAsia="zh-CN"/>
        </w:rPr>
        <w:t>。</w:t>
      </w:r>
    </w:p>
    <w:p w14:paraId="5DD4D742">
      <w:pPr>
        <w:pStyle w:val="3"/>
        <w:rPr>
          <w:rFonts w:ascii="Times New Roman" w:hAnsi="Times New Roman" w:eastAsia="宋体"/>
          <w:strike w:val="0"/>
          <w:dstrike w:val="0"/>
          <w:color w:val="auto"/>
          <w:highlight w:val="none"/>
        </w:rPr>
      </w:pPr>
      <w:bookmarkStart w:id="288" w:name="_Toc89619348"/>
      <w:bookmarkStart w:id="289" w:name="_Toc9935"/>
      <w:r>
        <w:rPr>
          <w:rFonts w:hint="eastAsia" w:ascii="Times New Roman" w:hAnsi="Times New Roman" w:eastAsia="宋体"/>
          <w:strike w:val="0"/>
          <w:dstrike w:val="0"/>
          <w:color w:val="auto"/>
          <w:highlight w:val="none"/>
        </w:rPr>
        <w:t>6.1施工期污染防治措施</w:t>
      </w:r>
      <w:bookmarkEnd w:id="288"/>
      <w:bookmarkEnd w:id="289"/>
    </w:p>
    <w:p w14:paraId="1930A44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本项目施工内容主要包括场地平整、开挖土石方、打桩、构筑基础施工、钢筋、砖混结构施工、管线施工及装修施工、场地清理等，施工期对环境的影响主要是扬尘、废水、施工噪声、建筑垃圾及生态影响等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本次评价针对以上影响提出相应污染防治措施进行论证</w:t>
      </w:r>
      <w:r>
        <w:rPr>
          <w:rFonts w:hint="eastAsia" w:ascii="Times New Roman" w:hAnsi="Times New Roman" w:eastAsia="宋体"/>
          <w:strike w:val="0"/>
          <w:dstrike w:val="0"/>
          <w:color w:val="auto"/>
          <w:highlight w:val="none"/>
          <w:lang w:eastAsia="zh-CN"/>
        </w:rPr>
        <w:t>。</w:t>
      </w:r>
    </w:p>
    <w:p w14:paraId="5A3DC616">
      <w:pPr>
        <w:pStyle w:val="4"/>
        <w:rPr>
          <w:rFonts w:ascii="Times New Roman" w:hAnsi="Times New Roman" w:eastAsia="宋体"/>
          <w:strike w:val="0"/>
          <w:dstrike w:val="0"/>
          <w:color w:val="auto"/>
          <w:highlight w:val="none"/>
        </w:rPr>
      </w:pPr>
      <w:bookmarkStart w:id="290" w:name="_Toc9299"/>
      <w:bookmarkStart w:id="291" w:name="_Toc106663519"/>
      <w:r>
        <w:rPr>
          <w:rFonts w:hint="eastAsia" w:ascii="Times New Roman" w:hAnsi="Times New Roman" w:eastAsia="宋体"/>
          <w:strike w:val="0"/>
          <w:dstrike w:val="0"/>
          <w:color w:val="auto"/>
          <w:highlight w:val="none"/>
        </w:rPr>
        <w:t>6.1.1施工期大气污染防治措施</w:t>
      </w:r>
      <w:bookmarkEnd w:id="290"/>
      <w:bookmarkEnd w:id="291"/>
    </w:p>
    <w:p w14:paraId="5BDF208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施工期大气污染产生源主要有：开挖基础、运输车辆和施工机械等产生扬尘；建筑材料（水泥、石灰、砂石料）的运输、装卸、储存和使用过程产生扬尘；各类施工机械和运输车辆所排放的废气等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项目若不采用有效的降尘方式控制施工扬尘，则在项目的施工期内其所在区域的环境空气质量将难以达到</w:t>
      </w:r>
      <w:r>
        <w:rPr>
          <w:rFonts w:hint="eastAsia" w:ascii="Times New Roman" w:hAnsi="Times New Roman" w:eastAsia="宋体"/>
          <w:strike w:val="0"/>
          <w:dstrike w:val="0"/>
          <w:color w:val="auto"/>
          <w:highlight w:val="none"/>
          <w:lang w:eastAsia="zh-CN"/>
        </w:rPr>
        <w:t>《环境空气质量标准》（GB3095-2026）</w:t>
      </w:r>
      <w:r>
        <w:rPr>
          <w:rFonts w:hint="eastAsia" w:ascii="Times New Roman" w:hAnsi="Times New Roman" w:eastAsia="宋体"/>
          <w:strike w:val="0"/>
          <w:dstrike w:val="0"/>
          <w:color w:val="auto"/>
          <w:highlight w:val="none"/>
          <w:lang w:val="en-US" w:eastAsia="zh-CN"/>
        </w:rPr>
        <w:t>过渡阶段浓度限值</w:t>
      </w:r>
      <w:r>
        <w:rPr>
          <w:rFonts w:hint="eastAsia" w:ascii="Times New Roman" w:hAnsi="Times New Roman" w:eastAsia="宋体"/>
          <w:strike w:val="0"/>
          <w:dstrike w:val="0"/>
          <w:color w:val="auto"/>
          <w:highlight w:val="none"/>
        </w:rPr>
        <w:t>二级标准要求</w:t>
      </w:r>
      <w:r>
        <w:rPr>
          <w:rFonts w:hint="eastAsia" w:ascii="Times New Roman" w:hAnsi="Times New Roman" w:eastAsia="宋体"/>
          <w:strike w:val="0"/>
          <w:dstrike w:val="0"/>
          <w:color w:val="auto"/>
          <w:highlight w:val="none"/>
          <w:lang w:eastAsia="zh-CN"/>
        </w:rPr>
        <w:t>。</w:t>
      </w:r>
    </w:p>
    <w:p w14:paraId="7A3B9CC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1、无组织排放扬尘的防治措施</w:t>
      </w:r>
    </w:p>
    <w:p w14:paraId="03134AA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施工过程中产生的扬尘尽管是短期的，但会对周围环境带来不利的影响，因此在施工期应采取相应的措施尽量减少扬尘的产生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为降低扬尘产生量，保护大气环境，施工单位应根据《关于进一步加强建设工程扬尘污染防治专项整治的通知》等的规定，在施工期采取以下扬尘防治措施：</w:t>
      </w:r>
    </w:p>
    <w:p w14:paraId="4E21DD5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（1）施工作业区应配备专人负责，做到科学管理、文明施工；在基础施工期，应尽可能采取措施提高工程进度，并将土石方及时外运到指定地点，缩短堆放的危害周期</w:t>
      </w:r>
      <w:r>
        <w:rPr>
          <w:rFonts w:hint="eastAsia" w:ascii="Times New Roman" w:hAnsi="Times New Roman" w:eastAsia="宋体"/>
          <w:strike w:val="0"/>
          <w:dstrike w:val="0"/>
          <w:color w:val="auto"/>
          <w:highlight w:val="none"/>
          <w:lang w:eastAsia="zh-CN"/>
        </w:rPr>
        <w:t>。</w:t>
      </w:r>
    </w:p>
    <w:p w14:paraId="69E7C2B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（2）合理安排施工工期；施工工地应定期洒水，特别是旱季施工；施工现场周边设置符合要求的围拦；竣工后要及时清理场地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对于建设施工阶段的车辆和机械扬尘，采取洒水抑尘；洒水次数根据天气状况而定，一般每天洒水1～2次，若遇大风或干燥天气可适当增加洒水次数，遇雨天则不必洒水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施工场地洒水量对扬尘的影响很大，场地洒水后，扬尘量将降低28%～75%，可大大减少扬尘对环境的影响</w:t>
      </w:r>
      <w:r>
        <w:rPr>
          <w:rFonts w:hint="eastAsia" w:ascii="Times New Roman" w:hAnsi="Times New Roman" w:eastAsia="宋体"/>
          <w:strike w:val="0"/>
          <w:dstrike w:val="0"/>
          <w:color w:val="auto"/>
          <w:highlight w:val="none"/>
          <w:lang w:eastAsia="zh-CN"/>
        </w:rPr>
        <w:t>。</w:t>
      </w:r>
    </w:p>
    <w:p w14:paraId="0CE7C72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（3）对施工区周围的道路进行清扫，减少粉尘和二次扬尘的产生</w:t>
      </w:r>
      <w:r>
        <w:rPr>
          <w:rFonts w:hint="eastAsia" w:ascii="Times New Roman" w:hAnsi="Times New Roman" w:eastAsia="宋体"/>
          <w:strike w:val="0"/>
          <w:dstrike w:val="0"/>
          <w:color w:val="auto"/>
          <w:highlight w:val="none"/>
          <w:lang w:eastAsia="zh-CN"/>
        </w:rPr>
        <w:t>。</w:t>
      </w:r>
    </w:p>
    <w:p w14:paraId="57CE5D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对于装运含尘物料的运输车辆进行密封运输，严格控制和规范车辆运输量和方式，容易产生粉尘的物料装载高度不得超过车辆两边和尾部的挡板和蓬布，严格控制物料的撒落；尽量选择对周围环境影响较小的运输路线</w:t>
      </w:r>
      <w:r>
        <w:rPr>
          <w:rFonts w:hint="eastAsia" w:ascii="Times New Roman" w:hAnsi="Times New Roman" w:eastAsia="宋体"/>
          <w:strike w:val="0"/>
          <w:dstrike w:val="0"/>
          <w:color w:val="auto"/>
          <w:highlight w:val="none"/>
          <w:lang w:eastAsia="zh-CN"/>
        </w:rPr>
        <w:t>。</w:t>
      </w:r>
    </w:p>
    <w:p w14:paraId="1C5CC73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（5）限制施工区内运输车辆的速度，卡车在施工场地的车速控制在10km/h，推土机的速度控制在8km/h内</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对运输过程中散落在路面上的泥土要及时清扫，以减少运行过程中的扬尘</w:t>
      </w:r>
      <w:r>
        <w:rPr>
          <w:rFonts w:hint="eastAsia" w:ascii="Times New Roman" w:hAnsi="Times New Roman" w:eastAsia="宋体"/>
          <w:strike w:val="0"/>
          <w:dstrike w:val="0"/>
          <w:color w:val="auto"/>
          <w:highlight w:val="none"/>
          <w:lang w:eastAsia="zh-CN"/>
        </w:rPr>
        <w:t>。</w:t>
      </w:r>
    </w:p>
    <w:p w14:paraId="3806ACA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（6）施工现场应设置稳固、整齐、美观并符合安全标准要求的连续封闭式围挡（其边界设置高度2.5m以上），对于特殊地点无法设置围挡、围栏及防溢座的，应设置警示牌，严禁敞开式作业</w:t>
      </w:r>
      <w:r>
        <w:rPr>
          <w:rFonts w:hint="eastAsia" w:ascii="Times New Roman" w:hAnsi="Times New Roman" w:eastAsia="宋体"/>
          <w:strike w:val="0"/>
          <w:dstrike w:val="0"/>
          <w:color w:val="auto"/>
          <w:highlight w:val="none"/>
          <w:lang w:eastAsia="zh-CN"/>
        </w:rPr>
        <w:t>。</w:t>
      </w:r>
    </w:p>
    <w:p w14:paraId="1C0EE2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（7）施工现场必须做到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6个100%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，即施工现场100%围挡、工地砂土100%覆盖、工地路面100%硬化、拆除工程100%洒水降尘、出工地车辆100%冲净车轮车身、暂不开发的场地100%绿化</w:t>
      </w:r>
      <w:r>
        <w:rPr>
          <w:rFonts w:hint="eastAsia" w:ascii="Times New Roman" w:hAnsi="Times New Roman" w:eastAsia="宋体"/>
          <w:strike w:val="0"/>
          <w:dstrike w:val="0"/>
          <w:color w:val="auto"/>
          <w:highlight w:val="none"/>
          <w:lang w:eastAsia="zh-CN"/>
        </w:rPr>
        <w:t>。</w:t>
      </w:r>
    </w:p>
    <w:p w14:paraId="619A14A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8）易起尘物料采取袋装、覆盖等措施，严禁高空抛撒作业，施工过程中使用水泥、石灰、砂石、涂料、铺装材料等易产生扬尘的建筑材料，应采取密闭存储、设置围挡或堆砌围墙、采用防尘布苫盖或其他有效的防尘措施</w:t>
      </w:r>
      <w:r>
        <w:rPr>
          <w:rFonts w:hint="eastAsia" w:ascii="Times New Roman" w:hAnsi="Times New Roman" w:eastAsia="宋体"/>
          <w:strike w:val="0"/>
          <w:dstrike w:val="0"/>
          <w:color w:val="auto"/>
          <w:highlight w:val="none"/>
          <w:lang w:eastAsia="zh-CN"/>
        </w:rPr>
        <w:t>。</w:t>
      </w:r>
    </w:p>
    <w:p w14:paraId="5B8C29E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（9）施工期尽量避开大风、大雨天气，对施工作业面应边施工、边洒水，尽可能降低或避免对区域的扬尘污染</w:t>
      </w:r>
      <w:r>
        <w:rPr>
          <w:rFonts w:hint="eastAsia" w:ascii="Times New Roman" w:hAnsi="Times New Roman" w:eastAsia="宋体"/>
          <w:strike w:val="0"/>
          <w:dstrike w:val="0"/>
          <w:color w:val="auto"/>
          <w:highlight w:val="none"/>
          <w:lang w:eastAsia="zh-CN"/>
        </w:rPr>
        <w:t>。</w:t>
      </w:r>
    </w:p>
    <w:p w14:paraId="04A06BC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10）建筑垃圾应在48小时内完成清运，不能按时完成清运的建筑垃圾，应采取覆盖防尘布、防尘网、定期喷洒抑尘剂、定期喷水压尘或其他有效的防尘措施；不能按时完成清运的土方，在工地内堆置超过一周的，应采取固化、覆盖或绿化等扬尘控制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对楼层、脚手架、高处平台等进行建筑残渣及废料清理时，应采用洒水降尘措施，禁止采用翻竹篱笆、板铲拍打、空压机吹尘等手段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建筑内部清理时，提前一天将建筑内地面洒水湿润，尽量减少浮灰飞扬，避免污染空气</w:t>
      </w:r>
      <w:r>
        <w:rPr>
          <w:rFonts w:hint="eastAsia" w:ascii="Times New Roman" w:hAnsi="Times New Roman" w:eastAsia="宋体"/>
          <w:strike w:val="0"/>
          <w:dstrike w:val="0"/>
          <w:color w:val="auto"/>
          <w:highlight w:val="none"/>
          <w:lang w:eastAsia="zh-CN"/>
        </w:rPr>
        <w:t>。</w:t>
      </w:r>
    </w:p>
    <w:p w14:paraId="5A038B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（11）粉尘、扬尘和燃油产生的污染物对人体健康有害，对受影响的施工人员应做好劳动保护，特别是材料加工、运输粉尘较大的施工场地更应做好防护措施，配备必要的劳保用品</w:t>
      </w:r>
      <w:r>
        <w:rPr>
          <w:rFonts w:hint="eastAsia" w:ascii="Times New Roman" w:hAnsi="Times New Roman" w:eastAsia="宋体"/>
          <w:strike w:val="0"/>
          <w:dstrike w:val="0"/>
          <w:color w:val="auto"/>
          <w:highlight w:val="none"/>
          <w:lang w:eastAsia="zh-CN"/>
        </w:rPr>
        <w:t>。</w:t>
      </w:r>
    </w:p>
    <w:p w14:paraId="20C5A55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2、施工机械排放尾气的防治措施</w:t>
      </w:r>
    </w:p>
    <w:p w14:paraId="11071CD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建设单位针对汽车尾气的排放拟采取以下的措施：</w:t>
      </w:r>
    </w:p>
    <w:p w14:paraId="6569A73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（1）运输、施工单位使用符合国家有关标准的运输车辆和工程机械，严禁使用超标排放污染物的车辆和机械</w:t>
      </w:r>
      <w:r>
        <w:rPr>
          <w:rFonts w:hint="eastAsia" w:ascii="Times New Roman" w:hAnsi="Times New Roman" w:eastAsia="宋体"/>
          <w:strike w:val="0"/>
          <w:dstrike w:val="0"/>
          <w:color w:val="auto"/>
          <w:highlight w:val="none"/>
          <w:lang w:eastAsia="zh-CN"/>
        </w:rPr>
        <w:t>。</w:t>
      </w:r>
    </w:p>
    <w:p w14:paraId="3D50C8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（2）所有车辆和机械必须定时维修和维护，保证正常运营，减少事故排放</w:t>
      </w:r>
      <w:r>
        <w:rPr>
          <w:rFonts w:hint="eastAsia" w:ascii="Times New Roman" w:hAnsi="Times New Roman" w:eastAsia="宋体"/>
          <w:strike w:val="0"/>
          <w:dstrike w:val="0"/>
          <w:color w:val="auto"/>
          <w:highlight w:val="none"/>
          <w:lang w:eastAsia="zh-CN"/>
        </w:rPr>
        <w:t>。</w:t>
      </w:r>
    </w:p>
    <w:p w14:paraId="64FDDAE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（3）运输车辆统一调度，避免出现拥挤，尽可能正常装载和行驶，以免在交通不畅通的情况下，排出更多的尾气</w:t>
      </w:r>
      <w:r>
        <w:rPr>
          <w:rFonts w:hint="eastAsia" w:ascii="Times New Roman" w:hAnsi="Times New Roman" w:eastAsia="宋体"/>
          <w:strike w:val="0"/>
          <w:dstrike w:val="0"/>
          <w:color w:val="auto"/>
          <w:highlight w:val="none"/>
          <w:lang w:eastAsia="zh-CN"/>
        </w:rPr>
        <w:t>。</w:t>
      </w:r>
    </w:p>
    <w:p w14:paraId="684833D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（4）运输车辆禁止超载，不得使用劣质燃料；对车辆的尾气排放应进行监督管理，严格执行汽车排污监管办法相关规定，避免排放黑烟</w:t>
      </w:r>
      <w:r>
        <w:rPr>
          <w:rFonts w:hint="eastAsia" w:ascii="Times New Roman" w:hAnsi="Times New Roman" w:eastAsia="宋体"/>
          <w:strike w:val="0"/>
          <w:dstrike w:val="0"/>
          <w:color w:val="auto"/>
          <w:highlight w:val="none"/>
          <w:lang w:eastAsia="zh-CN"/>
        </w:rPr>
        <w:t>。</w:t>
      </w:r>
    </w:p>
    <w:p w14:paraId="0EF014B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综上所述，施工期大气污染防治措施简单，经济有效，操作难度小；在采取上述措施后，大气污染物的排放将有效减少，不会对当地大气环境质量造成大的影响；评价认为大气污染防治措施有效可行</w:t>
      </w:r>
      <w:r>
        <w:rPr>
          <w:rFonts w:hint="eastAsia" w:ascii="Times New Roman" w:hAnsi="Times New Roman" w:eastAsia="宋体"/>
          <w:strike w:val="0"/>
          <w:dstrike w:val="0"/>
          <w:color w:val="auto"/>
          <w:highlight w:val="none"/>
          <w:lang w:eastAsia="zh-CN"/>
        </w:rPr>
        <w:t>。</w:t>
      </w:r>
    </w:p>
    <w:p w14:paraId="1AEF3D98">
      <w:pPr>
        <w:pStyle w:val="4"/>
        <w:rPr>
          <w:rFonts w:ascii="Times New Roman" w:hAnsi="Times New Roman" w:eastAsia="宋体"/>
          <w:strike w:val="0"/>
          <w:dstrike w:val="0"/>
          <w:color w:val="auto"/>
          <w:highlight w:val="none"/>
        </w:rPr>
      </w:pPr>
      <w:bookmarkStart w:id="292" w:name="_Toc106663520"/>
      <w:bookmarkStart w:id="293" w:name="_Toc18421"/>
      <w:r>
        <w:rPr>
          <w:rFonts w:hint="eastAsia" w:ascii="Times New Roman" w:hAnsi="Times New Roman" w:eastAsia="宋体"/>
          <w:strike w:val="0"/>
          <w:dstrike w:val="0"/>
          <w:color w:val="auto"/>
          <w:highlight w:val="none"/>
        </w:rPr>
        <w:t>6.1.2施工期水污染防治措施</w:t>
      </w:r>
      <w:bookmarkEnd w:id="292"/>
      <w:bookmarkEnd w:id="293"/>
    </w:p>
    <w:p w14:paraId="2AC9569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施工期废水主要是来自施工废水及施工人员的生活污水</w:t>
      </w:r>
      <w:r>
        <w:rPr>
          <w:rFonts w:hint="eastAsia" w:ascii="Times New Roman" w:hAnsi="Times New Roman" w:eastAsia="宋体"/>
          <w:strike w:val="0"/>
          <w:dstrike w:val="0"/>
          <w:color w:val="auto"/>
          <w:highlight w:val="none"/>
          <w:lang w:eastAsia="zh-CN"/>
        </w:rPr>
        <w:t>。</w:t>
      </w:r>
    </w:p>
    <w:p w14:paraId="6F63DD3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为避免施工中对水环境的影响，应严格施工管理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地基填土应控制好土的最佳用水量，保证地基的压实度，并做好边坡的防护；修建临时沉淀池，收集沉淀处理含悬浮物高的废水，施工废水经沉淀处理后由于水质较为澄清，可回用作施工用水及道路的洒水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这样可以使施工期废水对水体的影响得到有效的控制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对于施工人员产生的生活污水，应设置防渗干化池或移动式环保公厕集中收集，并定期拉运至当地污水处理厂进行处理，不会对环境造成明显影响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但在施工过程中应加强环境管理，尽量避免施工废水任意乱排，以减缓施工废水对周围环境的不利影响</w:t>
      </w:r>
      <w:r>
        <w:rPr>
          <w:rFonts w:hint="eastAsia" w:ascii="Times New Roman" w:hAnsi="Times New Roman" w:eastAsia="宋体"/>
          <w:strike w:val="0"/>
          <w:dstrike w:val="0"/>
          <w:color w:val="auto"/>
          <w:highlight w:val="none"/>
          <w:lang w:eastAsia="zh-CN"/>
        </w:rPr>
        <w:t>。</w:t>
      </w:r>
    </w:p>
    <w:p w14:paraId="1F1C7DA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沉淀池、防渗干化池均为施工现场常见的废水治理设施，工程量较小，投资较低，杜绝了废水随意泼洒、肆意横流的现象</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因此上述废水防治措施从技术、经济方面来讲均可行</w:t>
      </w:r>
      <w:r>
        <w:rPr>
          <w:rFonts w:hint="eastAsia" w:ascii="Times New Roman" w:hAnsi="Times New Roman" w:eastAsia="宋体"/>
          <w:strike w:val="0"/>
          <w:dstrike w:val="0"/>
          <w:color w:val="auto"/>
          <w:highlight w:val="none"/>
          <w:lang w:eastAsia="zh-CN"/>
        </w:rPr>
        <w:t>。</w:t>
      </w:r>
    </w:p>
    <w:p w14:paraId="65FA04E0">
      <w:pPr>
        <w:pStyle w:val="4"/>
        <w:rPr>
          <w:rFonts w:ascii="Times New Roman" w:hAnsi="Times New Roman" w:eastAsia="宋体"/>
          <w:strike w:val="0"/>
          <w:dstrike w:val="0"/>
          <w:color w:val="auto"/>
          <w:highlight w:val="none"/>
        </w:rPr>
      </w:pPr>
      <w:bookmarkStart w:id="294" w:name="_Toc29233"/>
      <w:bookmarkStart w:id="295" w:name="_Toc106663521"/>
      <w:r>
        <w:rPr>
          <w:rFonts w:hint="eastAsia" w:ascii="Times New Roman" w:hAnsi="Times New Roman" w:eastAsia="宋体"/>
          <w:strike w:val="0"/>
          <w:dstrike w:val="0"/>
          <w:color w:val="auto"/>
          <w:highlight w:val="none"/>
        </w:rPr>
        <w:t>6.1.3施工期噪声污染防治措施</w:t>
      </w:r>
      <w:bookmarkEnd w:id="294"/>
      <w:bookmarkEnd w:id="295"/>
    </w:p>
    <w:p w14:paraId="5A5419C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施工期间的噪声污染主要来自于施工机械作业产生的噪声和运输车辆产生的交通噪声，施工噪声对其周围环境将产生一定影响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项目须采取相应的控制措施，严格遵守《中华人民共和国环境噪声污染防治法》中关于建筑施工噪声污染防治的有关规定，防止噪声影响周围环境和人们的正常生产生活</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建筑施工由于各阶段使用的机械设备组合情况不同，所以噪声辐射影响的程度也不尽相同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基础施工阶段设备多属高噪声机械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主体施工阶段，噪声特点是持续时间长，强度高</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建筑施工噪声污染防治措施如下：</w:t>
      </w:r>
    </w:p>
    <w:p w14:paraId="0F20A47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1、强噪声机械的降噪措施</w:t>
      </w:r>
    </w:p>
    <w:p w14:paraId="1F4A150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（1）推行清洁生产，必须采用低噪声的施工机械和先进的施工技术，以达到控制噪声的目的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施工机械进场应得到环保部门的批准，对环境噪声污染严重的落后的施工机械和施工方式实行淘汰制度</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施工中应采用低噪声新技术设备，使噪声污染在施工中得到控制</w:t>
      </w:r>
      <w:r>
        <w:rPr>
          <w:rFonts w:hint="eastAsia" w:ascii="Times New Roman" w:hAnsi="Times New Roman" w:eastAsia="宋体"/>
          <w:strike w:val="0"/>
          <w:dstrike w:val="0"/>
          <w:color w:val="auto"/>
          <w:highlight w:val="none"/>
          <w:lang w:eastAsia="zh-CN"/>
        </w:rPr>
        <w:t>。</w:t>
      </w:r>
    </w:p>
    <w:p w14:paraId="5EAFE56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（2）在施工机械与设备与基础或连接部位之间采用弹簧减震、橡皮减震、管道减震、阻尼减震技术，可减少动量，降低噪声</w:t>
      </w:r>
      <w:r>
        <w:rPr>
          <w:rFonts w:hint="eastAsia" w:ascii="Times New Roman" w:hAnsi="Times New Roman" w:eastAsia="宋体"/>
          <w:strike w:val="0"/>
          <w:dstrike w:val="0"/>
          <w:color w:val="auto"/>
          <w:highlight w:val="none"/>
          <w:lang w:eastAsia="zh-CN"/>
        </w:rPr>
        <w:t>。</w:t>
      </w:r>
    </w:p>
    <w:p w14:paraId="596C9DE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（3）降低钢模施工噪声，小钢模改为竹夹板以减少振动作业时冲击钢模产生噪声</w:t>
      </w:r>
      <w:r>
        <w:rPr>
          <w:rFonts w:hint="eastAsia" w:ascii="Times New Roman" w:hAnsi="Times New Roman" w:eastAsia="宋体"/>
          <w:strike w:val="0"/>
          <w:dstrike w:val="0"/>
          <w:color w:val="auto"/>
          <w:highlight w:val="none"/>
          <w:lang w:eastAsia="zh-CN"/>
        </w:rPr>
        <w:t>。</w:t>
      </w:r>
    </w:p>
    <w:p w14:paraId="45AB8A1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（4）合理布局施工场地，在允许的情况下，高噪声施工机械设备布置在远离居民的位置</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按照有关规定，每个施工段对作业区设置围挡</w:t>
      </w:r>
      <w:r>
        <w:rPr>
          <w:rFonts w:hint="eastAsia" w:ascii="Times New Roman" w:hAnsi="Times New Roman" w:eastAsia="宋体"/>
          <w:strike w:val="0"/>
          <w:dstrike w:val="0"/>
          <w:color w:val="auto"/>
          <w:highlight w:val="none"/>
          <w:lang w:eastAsia="zh-CN"/>
        </w:rPr>
        <w:t>。</w:t>
      </w:r>
    </w:p>
    <w:p w14:paraId="69A1637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（5）施工车辆禁鸣喇叭</w:t>
      </w:r>
      <w:r>
        <w:rPr>
          <w:rFonts w:hint="eastAsia" w:ascii="Times New Roman" w:hAnsi="Times New Roman" w:eastAsia="宋体"/>
          <w:strike w:val="0"/>
          <w:dstrike w:val="0"/>
          <w:color w:val="auto"/>
          <w:highlight w:val="none"/>
          <w:lang w:eastAsia="zh-CN"/>
        </w:rPr>
        <w:t>。</w:t>
      </w:r>
    </w:p>
    <w:p w14:paraId="60645C7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（6）施工过程中加强检查、维护和保养机械设备，保持润滑，紧固各部件，减少运行震动噪声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减轻噪声对周围环境敏感点的影响</w:t>
      </w:r>
      <w:r>
        <w:rPr>
          <w:rFonts w:hint="eastAsia" w:ascii="Times New Roman" w:hAnsi="Times New Roman" w:eastAsia="宋体"/>
          <w:strike w:val="0"/>
          <w:dstrike w:val="0"/>
          <w:color w:val="auto"/>
          <w:highlight w:val="none"/>
          <w:lang w:eastAsia="zh-CN"/>
        </w:rPr>
        <w:t>。</w:t>
      </w:r>
    </w:p>
    <w:p w14:paraId="683AD94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2、人为噪声控制</w:t>
      </w:r>
    </w:p>
    <w:p w14:paraId="7E7E4AF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（1）提倡文明施工，建立控制人为噪声的管理制度，增强施工人员的环保意识，提高防治噪声扰民的自觉性，减少人为噪声污染</w:t>
      </w:r>
      <w:r>
        <w:rPr>
          <w:rFonts w:hint="eastAsia" w:ascii="Times New Roman" w:hAnsi="Times New Roman" w:eastAsia="宋体"/>
          <w:strike w:val="0"/>
          <w:dstrike w:val="0"/>
          <w:color w:val="auto"/>
          <w:highlight w:val="none"/>
          <w:lang w:eastAsia="zh-CN"/>
        </w:rPr>
        <w:t>。</w:t>
      </w:r>
    </w:p>
    <w:p w14:paraId="0996144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（2）在施工现场禁止大声喧哗吵闹、高声唱歌或敲击工具等</w:t>
      </w:r>
      <w:r>
        <w:rPr>
          <w:rFonts w:hint="eastAsia" w:ascii="Times New Roman" w:hAnsi="Times New Roman" w:eastAsia="宋体"/>
          <w:strike w:val="0"/>
          <w:dstrike w:val="0"/>
          <w:color w:val="auto"/>
          <w:highlight w:val="none"/>
          <w:lang w:eastAsia="zh-CN"/>
        </w:rPr>
        <w:t>。</w:t>
      </w:r>
    </w:p>
    <w:p w14:paraId="7E5F165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（3）作业中搬运物件，必须轻拿轻放，钢铁件堆放不发出大的声响，严禁抛掷物件而造成噪声</w:t>
      </w:r>
      <w:r>
        <w:rPr>
          <w:rFonts w:hint="eastAsia" w:ascii="Times New Roman" w:hAnsi="Times New Roman" w:eastAsia="宋体"/>
          <w:strike w:val="0"/>
          <w:dstrike w:val="0"/>
          <w:color w:val="auto"/>
          <w:highlight w:val="none"/>
          <w:lang w:eastAsia="zh-CN"/>
        </w:rPr>
        <w:t>。</w:t>
      </w:r>
    </w:p>
    <w:p w14:paraId="6F2EE33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3、个人防护</w:t>
      </w:r>
    </w:p>
    <w:p w14:paraId="53984C2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施工单位应合理安排工作人员轮流操作产生高强噪声的施工机械，减少接触高噪声的时间，或穿插安排高噪声和低噪声的工作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加强对施工人员的个人防护，对高噪声设备附近工作的施工人员，采取配备、使用耳塞、耳机、防声头盔等防噪用具</w:t>
      </w:r>
      <w:r>
        <w:rPr>
          <w:rFonts w:hint="eastAsia" w:ascii="Times New Roman" w:hAnsi="Times New Roman" w:eastAsia="宋体"/>
          <w:strike w:val="0"/>
          <w:dstrike w:val="0"/>
          <w:color w:val="auto"/>
          <w:highlight w:val="none"/>
          <w:lang w:eastAsia="zh-CN"/>
        </w:rPr>
        <w:t>。</w:t>
      </w:r>
    </w:p>
    <w:p w14:paraId="7AE8A07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经采取以上的降噪措施后，有效的减缓了施工和运输噪声对项目施工人员和周围居民区的影响，因此施工期拟采取的噪声防治措施可行</w:t>
      </w:r>
      <w:r>
        <w:rPr>
          <w:rFonts w:hint="eastAsia" w:ascii="Times New Roman" w:hAnsi="Times New Roman" w:eastAsia="宋体"/>
          <w:strike w:val="0"/>
          <w:dstrike w:val="0"/>
          <w:color w:val="auto"/>
          <w:highlight w:val="none"/>
          <w:lang w:eastAsia="zh-CN"/>
        </w:rPr>
        <w:t>。</w:t>
      </w:r>
    </w:p>
    <w:p w14:paraId="70C49B9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施工期环境影响为短期影响，施工结束后消除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但考虑施工期对周围环境的影响，建设单位在建设过程中认真遵守各项管理制度，做到文明施工、严格管理、缩短工期，力争将项目建设过程中对周围环境产生的影响降到最低限度</w:t>
      </w:r>
      <w:r>
        <w:rPr>
          <w:rFonts w:hint="eastAsia" w:ascii="Times New Roman" w:hAnsi="Times New Roman" w:eastAsia="宋体"/>
          <w:strike w:val="0"/>
          <w:dstrike w:val="0"/>
          <w:color w:val="auto"/>
          <w:highlight w:val="none"/>
          <w:lang w:eastAsia="zh-CN"/>
        </w:rPr>
        <w:t>。</w:t>
      </w:r>
    </w:p>
    <w:p w14:paraId="717C22EE">
      <w:pPr>
        <w:pStyle w:val="4"/>
        <w:rPr>
          <w:rFonts w:ascii="Times New Roman" w:hAnsi="Times New Roman" w:eastAsia="宋体"/>
          <w:strike w:val="0"/>
          <w:dstrike w:val="0"/>
          <w:color w:val="auto"/>
          <w:highlight w:val="none"/>
        </w:rPr>
      </w:pPr>
      <w:bookmarkStart w:id="296" w:name="_Toc106663522"/>
      <w:bookmarkStart w:id="297" w:name="_Toc14081"/>
      <w:r>
        <w:rPr>
          <w:rFonts w:hint="eastAsia" w:ascii="Times New Roman" w:hAnsi="Times New Roman" w:eastAsia="宋体"/>
          <w:strike w:val="0"/>
          <w:dstrike w:val="0"/>
          <w:color w:val="auto"/>
          <w:highlight w:val="none"/>
        </w:rPr>
        <w:t>6.1.4施工期固体废物防治措施</w:t>
      </w:r>
      <w:bookmarkEnd w:id="296"/>
      <w:bookmarkEnd w:id="297"/>
    </w:p>
    <w:p w14:paraId="0CC507B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生活垃圾和建筑垃圾的影响主要体现在其堆放过程中，在风力作用下，引起垃圾及粉尘随风飘散，对空气造成污染影响</w:t>
      </w:r>
      <w:r>
        <w:rPr>
          <w:rFonts w:hint="eastAsia" w:ascii="Times New Roman" w:hAnsi="Times New Roman" w:eastAsia="宋体"/>
          <w:strike w:val="0"/>
          <w:dstrike w:val="0"/>
          <w:color w:val="auto"/>
          <w:highlight w:val="none"/>
          <w:lang w:eastAsia="zh-CN"/>
        </w:rPr>
        <w:t>。</w:t>
      </w:r>
    </w:p>
    <w:p w14:paraId="29FB063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针对项目施工期固体废弃物种类及特点，提出如下防治措施：</w:t>
      </w:r>
    </w:p>
    <w:p w14:paraId="3786F4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（1）临时土石方于施工区就近堆放，采取覆盖围护措施，防止大风和大雨时造成的水土流失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堆放前设置挡土墙，堆放后表土覆盖防尘布，抑制扬尘产生</w:t>
      </w:r>
      <w:r>
        <w:rPr>
          <w:rFonts w:hint="eastAsia" w:ascii="Times New Roman" w:hAnsi="Times New Roman" w:eastAsia="宋体"/>
          <w:strike w:val="0"/>
          <w:dstrike w:val="0"/>
          <w:color w:val="auto"/>
          <w:highlight w:val="none"/>
          <w:lang w:eastAsia="zh-CN"/>
        </w:rPr>
        <w:t>。</w:t>
      </w:r>
    </w:p>
    <w:p w14:paraId="1287C3D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对施工中产生的不能再利用的建筑垃圾，应进行分类收集、分类管理，能够回收利用的尽量回收再利用，以节约资源；对于不能回收利用的要进行收集并于施工区内固定地点集中暂存，施工完成后及时处理，拉运至当地环保部门指定的建筑垃圾填埋场填埋处置或委托处置建筑垃圾的单位及时外处置</w:t>
      </w:r>
      <w:r>
        <w:rPr>
          <w:rFonts w:hint="eastAsia" w:ascii="Times New Roman" w:hAnsi="Times New Roman" w:eastAsia="宋体"/>
          <w:strike w:val="0"/>
          <w:dstrike w:val="0"/>
          <w:color w:val="auto"/>
          <w:highlight w:val="none"/>
          <w:lang w:eastAsia="zh-CN"/>
        </w:rPr>
        <w:t>。</w:t>
      </w:r>
    </w:p>
    <w:p w14:paraId="568271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车辆运输建筑垃圾时，须采取覆盖措施，不得沿途漏撒；施工单位应在施工前5日向建设局申报工程垃圾处置计划，如实填报垃圾的种类、数量、运输路线及处置方案等事项，并与有关管理部门签订环境卫生责任书</w:t>
      </w:r>
      <w:r>
        <w:rPr>
          <w:rFonts w:hint="eastAsia" w:ascii="Times New Roman" w:hAnsi="Times New Roman" w:eastAsia="宋体"/>
          <w:strike w:val="0"/>
          <w:dstrike w:val="0"/>
          <w:color w:val="auto"/>
          <w:highlight w:val="none"/>
          <w:lang w:eastAsia="zh-CN"/>
        </w:rPr>
        <w:t>。</w:t>
      </w:r>
    </w:p>
    <w:p w14:paraId="165BC49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（4）施工部门应当持当地建设局核发的处置证明，向运输单位办理建筑垃圾托运手续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运输车辆在运输建筑垃圾时应携带处置证明，接收渣土管理部门的检查，运输路线应按渣土管理部门会同公安、交通管理部门规定的线路运输</w:t>
      </w:r>
      <w:r>
        <w:rPr>
          <w:rFonts w:hint="eastAsia" w:ascii="Times New Roman" w:hAnsi="Times New Roman" w:eastAsia="宋体"/>
          <w:strike w:val="0"/>
          <w:dstrike w:val="0"/>
          <w:color w:val="auto"/>
          <w:highlight w:val="none"/>
          <w:lang w:eastAsia="zh-CN"/>
        </w:rPr>
        <w:t>。</w:t>
      </w:r>
    </w:p>
    <w:p w14:paraId="58677EC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（5）工程完工后1个月内，应当将施工场地的剩余建筑垃圾处置干净，不得占用道路或其他类型土地来堆放建筑垃圾</w:t>
      </w:r>
      <w:r>
        <w:rPr>
          <w:rFonts w:hint="eastAsia" w:ascii="Times New Roman" w:hAnsi="Times New Roman" w:eastAsia="宋体"/>
          <w:strike w:val="0"/>
          <w:dstrike w:val="0"/>
          <w:color w:val="auto"/>
          <w:highlight w:val="none"/>
          <w:lang w:eastAsia="zh-CN"/>
        </w:rPr>
        <w:t>。</w:t>
      </w:r>
    </w:p>
    <w:p w14:paraId="1765FA0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采取上述措施后施工期固体废弃物对项目区及周边环境影响不大</w:t>
      </w:r>
      <w:r>
        <w:rPr>
          <w:rFonts w:hint="eastAsia" w:ascii="Times New Roman" w:hAnsi="Times New Roman" w:eastAsia="宋体"/>
          <w:strike w:val="0"/>
          <w:dstrike w:val="0"/>
          <w:color w:val="auto"/>
          <w:highlight w:val="none"/>
          <w:lang w:eastAsia="zh-CN"/>
        </w:rPr>
        <w:t>。</w:t>
      </w:r>
    </w:p>
    <w:p w14:paraId="25F58742">
      <w:pPr>
        <w:pStyle w:val="4"/>
        <w:rPr>
          <w:rFonts w:ascii="Times New Roman" w:hAnsi="Times New Roman" w:eastAsia="宋体"/>
          <w:strike w:val="0"/>
          <w:dstrike w:val="0"/>
          <w:color w:val="auto"/>
          <w:highlight w:val="none"/>
        </w:rPr>
      </w:pPr>
      <w:bookmarkStart w:id="298" w:name="_Toc106663523"/>
      <w:bookmarkStart w:id="299" w:name="_Toc21814"/>
      <w:r>
        <w:rPr>
          <w:rFonts w:hint="eastAsia" w:ascii="Times New Roman" w:hAnsi="Times New Roman" w:eastAsia="宋体"/>
          <w:strike w:val="0"/>
          <w:dstrike w:val="0"/>
          <w:color w:val="auto"/>
          <w:highlight w:val="none"/>
        </w:rPr>
        <w:t>6.1.5施工期生态环境防治措施</w:t>
      </w:r>
      <w:bookmarkEnd w:id="298"/>
      <w:bookmarkEnd w:id="299"/>
    </w:p>
    <w:p w14:paraId="69678E5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项目对生态产生的负面影响主要体现在施工期工程施工阶段，主要影响因素为土壤、动植物以及景观影响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针对生态影响，本次环评提出如下措施：</w:t>
      </w:r>
    </w:p>
    <w:p w14:paraId="55482E7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（1）施工期地基开挖后产生的表土于施工区域内集中堆放，就近回填，堆放期间采取覆盖围护措施，防止大风大雨时造成水土流失</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堆放前设置挡土墙，堆放后表土堆场上覆盖防尘布，要求施工过程中及时利用原表土对施工造成的裸露地面或基坑进行平整、回填覆土</w:t>
      </w:r>
      <w:r>
        <w:rPr>
          <w:rFonts w:hint="eastAsia" w:ascii="Times New Roman" w:hAnsi="Times New Roman" w:eastAsia="宋体"/>
          <w:strike w:val="0"/>
          <w:dstrike w:val="0"/>
          <w:color w:val="auto"/>
          <w:highlight w:val="none"/>
          <w:lang w:eastAsia="zh-CN"/>
        </w:rPr>
        <w:t>。</w:t>
      </w:r>
    </w:p>
    <w:p w14:paraId="6BC7CB8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（2）在施工过程中填挖土方，会产生水土流失，建设施工尽量安排于非雨天和大风天进行，以避免水土流失的发生，从而尽可能降低对生态环境的潜在影响</w:t>
      </w:r>
      <w:r>
        <w:rPr>
          <w:rFonts w:hint="eastAsia" w:ascii="Times New Roman" w:hAnsi="Times New Roman" w:eastAsia="宋体"/>
          <w:strike w:val="0"/>
          <w:dstrike w:val="0"/>
          <w:color w:val="auto"/>
          <w:highlight w:val="none"/>
          <w:lang w:eastAsia="zh-CN"/>
        </w:rPr>
        <w:t>。</w:t>
      </w:r>
    </w:p>
    <w:p w14:paraId="165E5C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（3）施工完成后，对施工区域内场地进行全面整地并采取硬化措施，避免地表裸露增加水土流失量</w:t>
      </w:r>
      <w:r>
        <w:rPr>
          <w:rFonts w:hint="eastAsia" w:ascii="Times New Roman" w:hAnsi="Times New Roman" w:eastAsia="宋体"/>
          <w:strike w:val="0"/>
          <w:dstrike w:val="0"/>
          <w:color w:val="auto"/>
          <w:highlight w:val="none"/>
          <w:lang w:eastAsia="zh-CN"/>
        </w:rPr>
        <w:t>。</w:t>
      </w:r>
    </w:p>
    <w:p w14:paraId="29DBAF4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（4）施工过程中场地内的施工运输道路等应及时清扫，洒水，减少车辆行驶过程中的扬尘产生量</w:t>
      </w:r>
      <w:r>
        <w:rPr>
          <w:rFonts w:hint="eastAsia" w:ascii="Times New Roman" w:hAnsi="Times New Roman" w:eastAsia="宋体"/>
          <w:strike w:val="0"/>
          <w:dstrike w:val="0"/>
          <w:color w:val="auto"/>
          <w:highlight w:val="none"/>
          <w:lang w:eastAsia="zh-CN"/>
        </w:rPr>
        <w:t>。</w:t>
      </w:r>
    </w:p>
    <w:p w14:paraId="1E35EB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（5）加强施工人员生态保护意识的宣传工作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禁止施工人员破坏设计用地以外的植被或占用规定施工区以外的区域</w:t>
      </w:r>
      <w:r>
        <w:rPr>
          <w:rFonts w:hint="eastAsia" w:ascii="Times New Roman" w:hAnsi="Times New Roman" w:eastAsia="宋体"/>
          <w:strike w:val="0"/>
          <w:dstrike w:val="0"/>
          <w:color w:val="auto"/>
          <w:highlight w:val="none"/>
          <w:lang w:eastAsia="zh-CN"/>
        </w:rPr>
        <w:t>。</w:t>
      </w:r>
    </w:p>
    <w:p w14:paraId="17E2129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采取以上措施后，可最大限度减少因施工引起的负面生态影响</w:t>
      </w:r>
      <w:r>
        <w:rPr>
          <w:rFonts w:hint="eastAsia" w:ascii="Times New Roman" w:hAnsi="Times New Roman" w:eastAsia="宋体"/>
          <w:strike w:val="0"/>
          <w:dstrike w:val="0"/>
          <w:color w:val="auto"/>
          <w:highlight w:val="none"/>
          <w:lang w:eastAsia="zh-CN"/>
        </w:rPr>
        <w:t>。</w:t>
      </w:r>
    </w:p>
    <w:p w14:paraId="1D3E6E6E">
      <w:pPr>
        <w:pStyle w:val="3"/>
        <w:rPr>
          <w:rFonts w:ascii="Times New Roman" w:hAnsi="Times New Roman" w:eastAsia="宋体"/>
          <w:strike w:val="0"/>
          <w:dstrike w:val="0"/>
          <w:color w:val="auto"/>
          <w:highlight w:val="none"/>
        </w:rPr>
      </w:pPr>
      <w:bookmarkStart w:id="300" w:name="_Toc89619349"/>
      <w:bookmarkStart w:id="301" w:name="_Toc20252"/>
      <w:r>
        <w:rPr>
          <w:rFonts w:hint="eastAsia" w:ascii="Times New Roman" w:hAnsi="Times New Roman" w:eastAsia="宋体"/>
          <w:strike w:val="0"/>
          <w:dstrike w:val="0"/>
          <w:color w:val="auto"/>
          <w:highlight w:val="none"/>
        </w:rPr>
        <w:t>6.2运营期污染防治措施分析</w:t>
      </w:r>
      <w:bookmarkEnd w:id="300"/>
      <w:bookmarkEnd w:id="301"/>
    </w:p>
    <w:p w14:paraId="4A983196">
      <w:pPr>
        <w:pStyle w:val="4"/>
        <w:rPr>
          <w:rFonts w:ascii="Times New Roman" w:hAnsi="Times New Roman" w:eastAsia="宋体"/>
          <w:strike w:val="0"/>
          <w:dstrike w:val="0"/>
          <w:color w:val="auto"/>
          <w:highlight w:val="none"/>
        </w:rPr>
      </w:pPr>
      <w:bookmarkStart w:id="302" w:name="_Toc21643"/>
      <w:bookmarkStart w:id="303" w:name="_Toc106663525"/>
      <w:r>
        <w:rPr>
          <w:rFonts w:hint="eastAsia" w:ascii="Times New Roman" w:hAnsi="Times New Roman" w:eastAsia="宋体"/>
          <w:strike w:val="0"/>
          <w:dstrike w:val="0"/>
          <w:color w:val="auto"/>
          <w:highlight w:val="none"/>
        </w:rPr>
        <w:t>6.2.1大气污染物防治措施</w:t>
      </w:r>
      <w:bookmarkEnd w:id="302"/>
      <w:bookmarkEnd w:id="303"/>
    </w:p>
    <w:p w14:paraId="28E1669D">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6.2.1.1恶臭治理措施可行性分析</w:t>
      </w:r>
    </w:p>
    <w:p w14:paraId="159C233D">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本项目采取的恶臭污染防治措施如下：</w:t>
      </w:r>
    </w:p>
    <w:p w14:paraId="189EE83D">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（1）合理布局</w:t>
      </w:r>
    </w:p>
    <w:p w14:paraId="5073A593">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本项目将生产区和办公区分开，且生产、生活区间设置绿化带，以减小恶臭对办公区的影响。</w:t>
      </w:r>
    </w:p>
    <w:p w14:paraId="1FED9C10">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项目拟在养殖区、办公生活区设置隔离带；场区绿化率达10%。鉴于养殖行业特殊性，在树种选择上，不仅要考虑美化效果，还必须考虑在除臭、防火、吸尘、杀菌等方面的作用。建议防疫隔离带选用杨树、榆树等树种或灌木；防护林选用乔木和灌木混合林带，乔木可选择大叶杨、早柳、榆树，最大限度地防止臭味对周围大气环境的影响。</w:t>
      </w:r>
    </w:p>
    <w:p w14:paraId="04A3372B">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在办公区内设置绿化，区内空地和路边尽量植树及种植花草，以最大限度地防止臭味对周围大气环境的影响。</w:t>
      </w:r>
    </w:p>
    <w:p w14:paraId="3409D8F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（2）选用先进的生产工艺</w:t>
      </w:r>
    </w:p>
    <w:p w14:paraId="6F0A1719">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①在选用饲料时，一是要注意消化率高、营养变异小，二是要注意选择有毒有害成分低、安全性高的饲料。设计日粮组成提高饲料利用率，尤其是氮的利用率，同时可降低骆驼排泄物中氮的含量及恶臭气体的排放。</w:t>
      </w:r>
    </w:p>
    <w:p w14:paraId="0F3AD233">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②饲料提倡使用微生物制剂、酶制剂和植物提取液等活性物质，减少污染物排放和恶臭气体的产生。这些微生物进入家畜体内后，能使肠内的有益细菌增殖，使肠的活动能力增强，从而达到抑制粪尿恶臭的目的。如台湾源泉公司开发研制出一种叫“亚罗康菌”的微生物制剂，直接添加到饲料中，可将骆驼体内的NH</w:t>
      </w:r>
      <w:r>
        <w:rPr>
          <w:rFonts w:hint="eastAsia" w:ascii="Times New Roman" w:hAnsi="Times New Roman" w:eastAsia="宋体"/>
          <w:strike w:val="0"/>
          <w:dstrike w:val="0"/>
          <w:color w:val="auto"/>
          <w:sz w:val="24"/>
          <w:highlight w:val="none"/>
          <w:vertAlign w:val="subscript"/>
          <w:lang w:val="en-US" w:eastAsia="zh-CN"/>
        </w:rPr>
        <w:t>3</w:t>
      </w:r>
      <w:r>
        <w:rPr>
          <w:rFonts w:hint="eastAsia" w:ascii="Times New Roman" w:hAnsi="Times New Roman" w:eastAsia="宋体"/>
          <w:strike w:val="0"/>
          <w:dstrike w:val="0"/>
          <w:color w:val="auto"/>
          <w:sz w:val="24"/>
          <w:highlight w:val="none"/>
          <w:lang w:val="en-US" w:eastAsia="zh-CN"/>
        </w:rPr>
        <w:t>、硫化氢等转化为可供畜体吸收的化合态氮和其他物质，可使排泄物中的营养成分和有害成分都明显降低，从而提高饲料消化利用率，并减少臭气的产生。但值得注意的是：使用添加剂时，应选择微生物、低聚糖等无公害饲料添加剂，以保证畜产品安全和无公害。</w:t>
      </w:r>
    </w:p>
    <w:p w14:paraId="576E74B9">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③在饲料中添加沸石，以减轻畜禽排泄物及其气味的污染。沸石其内部有许多孔穴，能产生极强的静电吸附力，具有离子交换性，可以交换吸附一些放射性元素和重金属元素，对畜禽消化道产生的NH</w:t>
      </w:r>
      <w:r>
        <w:rPr>
          <w:rFonts w:hint="eastAsia" w:ascii="Times New Roman" w:hAnsi="Times New Roman" w:eastAsia="宋体"/>
          <w:strike w:val="0"/>
          <w:dstrike w:val="0"/>
          <w:color w:val="auto"/>
          <w:sz w:val="24"/>
          <w:highlight w:val="none"/>
          <w:vertAlign w:val="subscript"/>
          <w:lang w:val="en-US" w:eastAsia="zh-CN"/>
        </w:rPr>
        <w:t>3</w:t>
      </w:r>
      <w:r>
        <w:rPr>
          <w:rFonts w:hint="eastAsia" w:ascii="Times New Roman" w:hAnsi="Times New Roman" w:eastAsia="宋体"/>
          <w:strike w:val="0"/>
          <w:dstrike w:val="0"/>
          <w:color w:val="auto"/>
          <w:sz w:val="24"/>
          <w:highlight w:val="none"/>
          <w:lang w:val="en-US" w:eastAsia="zh-CN"/>
        </w:rPr>
        <w:t>、H</w:t>
      </w:r>
      <w:r>
        <w:rPr>
          <w:rFonts w:hint="eastAsia" w:ascii="Times New Roman" w:hAnsi="Times New Roman" w:eastAsia="宋体"/>
          <w:strike w:val="0"/>
          <w:dstrike w:val="0"/>
          <w:color w:val="auto"/>
          <w:sz w:val="24"/>
          <w:highlight w:val="none"/>
          <w:vertAlign w:val="subscript"/>
          <w:lang w:val="en-US" w:eastAsia="zh-CN"/>
        </w:rPr>
        <w:t>2</w:t>
      </w:r>
      <w:r>
        <w:rPr>
          <w:rFonts w:hint="eastAsia" w:ascii="Times New Roman" w:hAnsi="Times New Roman" w:eastAsia="宋体"/>
          <w:strike w:val="0"/>
          <w:dstrike w:val="0"/>
          <w:color w:val="auto"/>
          <w:sz w:val="24"/>
          <w:highlight w:val="none"/>
          <w:lang w:val="en-US" w:eastAsia="zh-CN"/>
        </w:rPr>
        <w:t>S等有害气体，沸石有较强的吸附能力，可减少粪臭。试验表明，在骆驼日粮中添加5%的沸石，可使排泄物中NH</w:t>
      </w:r>
      <w:r>
        <w:rPr>
          <w:rFonts w:hint="eastAsia" w:ascii="Times New Roman" w:hAnsi="Times New Roman" w:eastAsia="宋体"/>
          <w:strike w:val="0"/>
          <w:dstrike w:val="0"/>
          <w:color w:val="auto"/>
          <w:sz w:val="24"/>
          <w:highlight w:val="none"/>
          <w:vertAlign w:val="subscript"/>
          <w:lang w:val="en-US" w:eastAsia="zh-CN"/>
        </w:rPr>
        <w:t>3</w:t>
      </w:r>
      <w:r>
        <w:rPr>
          <w:rFonts w:hint="eastAsia" w:ascii="Times New Roman" w:hAnsi="Times New Roman" w:eastAsia="宋体"/>
          <w:strike w:val="0"/>
          <w:dstrike w:val="0"/>
          <w:color w:val="auto"/>
          <w:sz w:val="24"/>
          <w:highlight w:val="none"/>
          <w:lang w:val="en-US" w:eastAsia="zh-CN"/>
        </w:rPr>
        <w:t>含量下降21%。</w:t>
      </w:r>
    </w:p>
    <w:p w14:paraId="6F94C04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④在采用科学饲喂的同时，还应采用理想蛋白质体系配方，补充合成氨基酸，如赖氨酸、蛋氨酸、苏氨酸等，提高蛋白质及其他营养的吸收效率，减少氨气排放量和粪便的产生量。</w:t>
      </w:r>
    </w:p>
    <w:p w14:paraId="394BF975">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⑤卫生管理。养殖场场区、畜禽舍、器械等消毒应采用环境友好的消毒剂和消毒措施，包括紫外、臭氧、双氧水等方法，防止产生氯代有机物及其他二次污染物。加强对驼舍的清洁卫生管理和通风措施，对骆驼粪便暂存点加强过程控制和清运管理，减少骆驼粪便堆存，并采用加密封盖及负压消臭隔离措施，以减轻臭味对区域环境的影响。</w:t>
      </w:r>
    </w:p>
    <w:p w14:paraId="62682946">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⑥安全管理。在项目建成正常运行后，对职工要进行事故处置培训；对设定的各种监控仪器要定期维护，使其正常运行，起到对恶臭的监测和控制作用。</w:t>
      </w:r>
    </w:p>
    <w:p w14:paraId="5BC9F68E">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（3）工程抑臭措施</w:t>
      </w:r>
    </w:p>
    <w:p w14:paraId="702751C4">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喷洒除臭剂和消毒剂，以1：50（除臭剂：消毒用水）的除臭液每7天喷洒一次，除臭效率约为80%，减轻臭味和防止二次污染。</w:t>
      </w:r>
    </w:p>
    <w:p w14:paraId="37F2AEF2">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加强场地及场界的绿化，场内绿化以完全消灭裸露地面为原则，宜选择对恶臭气体吸收效果好的树种，广种花草树木，场界边缘地带种植杨、槐等高大树种形成多层防护林带，以降低恶臭污染的影响程度。</w:t>
      </w:r>
    </w:p>
    <w:p w14:paraId="7A3CDCB3">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rPr>
      </w:pPr>
      <w:r>
        <w:rPr>
          <w:rFonts w:hint="eastAsia" w:ascii="Times New Roman" w:hAnsi="Times New Roman" w:eastAsia="宋体"/>
          <w:strike w:val="0"/>
          <w:dstrike w:val="0"/>
          <w:color w:val="auto"/>
          <w:sz w:val="24"/>
          <w:highlight w:val="none"/>
          <w:lang w:eastAsia="zh-CN"/>
        </w:rPr>
        <w:t>（</w:t>
      </w:r>
      <w:r>
        <w:rPr>
          <w:rFonts w:hint="eastAsia" w:ascii="Times New Roman" w:hAnsi="Times New Roman" w:eastAsia="宋体"/>
          <w:strike w:val="0"/>
          <w:dstrike w:val="0"/>
          <w:color w:val="auto"/>
          <w:sz w:val="24"/>
          <w:highlight w:val="none"/>
          <w:lang w:val="en-US" w:eastAsia="zh-CN"/>
        </w:rPr>
        <w:t>4</w:t>
      </w:r>
      <w:r>
        <w:rPr>
          <w:rFonts w:hint="eastAsia" w:ascii="Times New Roman" w:hAnsi="Times New Roman" w:eastAsia="宋体"/>
          <w:strike w:val="0"/>
          <w:dstrike w:val="0"/>
          <w:color w:val="auto"/>
          <w:sz w:val="24"/>
          <w:highlight w:val="none"/>
          <w:lang w:eastAsia="zh-CN"/>
        </w:rPr>
        <w:t>）</w:t>
      </w:r>
      <w:r>
        <w:rPr>
          <w:rFonts w:hint="eastAsia" w:ascii="Times New Roman" w:hAnsi="Times New Roman" w:eastAsia="宋体"/>
          <w:strike w:val="0"/>
          <w:dstrike w:val="0"/>
          <w:color w:val="auto"/>
          <w:sz w:val="24"/>
          <w:highlight w:val="none"/>
        </w:rPr>
        <w:t>废气污染防治措施可行性分析</w:t>
      </w:r>
    </w:p>
    <w:p w14:paraId="2C705577">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①绿化及科学喂养可行性</w:t>
      </w:r>
    </w:p>
    <w:p w14:paraId="512A8D96">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eastAsia="zh-CN"/>
        </w:rPr>
      </w:pPr>
      <w:r>
        <w:rPr>
          <w:rFonts w:hint="eastAsia" w:ascii="Times New Roman" w:hAnsi="Times New Roman" w:eastAsia="宋体"/>
          <w:strike w:val="0"/>
          <w:dstrike w:val="0"/>
          <w:color w:val="auto"/>
          <w:sz w:val="24"/>
          <w:highlight w:val="none"/>
          <w:lang w:val="en-US" w:eastAsia="zh-CN"/>
        </w:rPr>
        <w:t>根据《排污许可证申请与核发技术规范畜禽养殖行业》（HJ1029-2019），畜禽养殖行业无组织排放控制要求见表6.2-1</w:t>
      </w:r>
      <w:r>
        <w:rPr>
          <w:rFonts w:hint="eastAsia" w:ascii="Times New Roman" w:hAnsi="Times New Roman" w:eastAsia="宋体"/>
          <w:strike w:val="0"/>
          <w:dstrike w:val="0"/>
          <w:color w:val="auto"/>
          <w:sz w:val="24"/>
          <w:highlight w:val="none"/>
          <w:lang w:eastAsia="zh-CN"/>
        </w:rPr>
        <w:t>。</w:t>
      </w:r>
    </w:p>
    <w:p w14:paraId="2F3DF3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表6.2-1畜禽养殖行业排污单位恶臭无组织排放控制要求</w:t>
      </w:r>
    </w:p>
    <w:tbl>
      <w:tblPr>
        <w:tblStyle w:val="183"/>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33"/>
        <w:gridCol w:w="2980"/>
        <w:gridCol w:w="4696"/>
      </w:tblGrid>
      <w:tr w14:paraId="7CBBC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5E04CA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主要生产设施</w:t>
            </w:r>
          </w:p>
        </w:tc>
        <w:tc>
          <w:tcPr>
            <w:tcW w:w="1793" w:type="pct"/>
            <w:vAlign w:val="center"/>
          </w:tcPr>
          <w:p w14:paraId="19B774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无组织排放控制要求</w:t>
            </w:r>
          </w:p>
        </w:tc>
        <w:tc>
          <w:tcPr>
            <w:tcW w:w="2825" w:type="pct"/>
            <w:vAlign w:val="center"/>
          </w:tcPr>
          <w:p w14:paraId="011580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本项目采取措施</w:t>
            </w:r>
          </w:p>
        </w:tc>
      </w:tr>
      <w:tr w14:paraId="36E28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5D872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养殖圈舍</w:t>
            </w:r>
          </w:p>
        </w:tc>
        <w:tc>
          <w:tcPr>
            <w:tcW w:w="1793" w:type="pct"/>
            <w:vAlign w:val="center"/>
          </w:tcPr>
          <w:p w14:paraId="12A49BD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（1）选用益生菌配方饲料；</w:t>
            </w:r>
          </w:p>
          <w:p w14:paraId="70AD28D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（2）及时清运粪污；</w:t>
            </w:r>
          </w:p>
          <w:p w14:paraId="6352A947">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（3）向粪便或舍内投（铺）放吸附剂减少臭气的散发；</w:t>
            </w:r>
          </w:p>
          <w:p w14:paraId="733A93A4">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（4）投加或喷洒除臭剂；</w:t>
            </w:r>
          </w:p>
        </w:tc>
        <w:tc>
          <w:tcPr>
            <w:tcW w:w="2825" w:type="pct"/>
            <w:vAlign w:val="center"/>
          </w:tcPr>
          <w:p w14:paraId="48763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定时清理骆驼粪，加强驼舍通风，并科学合理调控饲粮，合理配置饲料成分，对驼舍定期喷洒除臭剂</w:t>
            </w:r>
          </w:p>
        </w:tc>
      </w:tr>
      <w:tr w14:paraId="0F0AC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3F09F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strike w:val="0"/>
                <w:dstrike w:val="0"/>
                <w:color w:val="auto"/>
                <w:sz w:val="21"/>
                <w:highlight w:val="none"/>
                <w:lang w:val="en-US" w:eastAsia="zh-CN"/>
              </w:rPr>
            </w:pPr>
            <w:r>
              <w:rPr>
                <w:rFonts w:hint="eastAsia" w:ascii="Times New Roman" w:hAnsi="Times New Roman" w:eastAsia="宋体"/>
                <w:strike w:val="0"/>
                <w:dstrike w:val="0"/>
                <w:color w:val="auto"/>
                <w:sz w:val="21"/>
                <w:highlight w:val="none"/>
                <w:lang w:val="en-US" w:eastAsia="zh-CN"/>
              </w:rPr>
              <w:t>粪污处理工程</w:t>
            </w:r>
          </w:p>
        </w:tc>
        <w:tc>
          <w:tcPr>
            <w:tcW w:w="1793" w:type="pct"/>
            <w:vAlign w:val="center"/>
          </w:tcPr>
          <w:p w14:paraId="3A3583A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（1）定期喷洒除臭剂；</w:t>
            </w:r>
          </w:p>
          <w:p w14:paraId="6925ACC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（2）及时清运固体粪污；</w:t>
            </w:r>
          </w:p>
          <w:p w14:paraId="25EEA820">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（3）采用厌氧或好氧堆肥方式</w:t>
            </w:r>
          </w:p>
        </w:tc>
        <w:tc>
          <w:tcPr>
            <w:tcW w:w="2825" w:type="pct"/>
            <w:vAlign w:val="center"/>
          </w:tcPr>
          <w:p w14:paraId="55221E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在</w:t>
            </w:r>
            <w:r>
              <w:rPr>
                <w:rFonts w:hint="eastAsia" w:ascii="Times New Roman" w:hAnsi="Times New Roman" w:eastAsia="宋体"/>
                <w:strike w:val="0"/>
                <w:dstrike w:val="0"/>
                <w:color w:val="auto"/>
                <w:sz w:val="21"/>
                <w:highlight w:val="none"/>
                <w:lang w:val="en-US" w:eastAsia="zh-CN"/>
              </w:rPr>
              <w:t>堆肥场</w:t>
            </w:r>
            <w:r>
              <w:rPr>
                <w:rFonts w:hint="eastAsia" w:ascii="Times New Roman" w:hAnsi="Times New Roman" w:eastAsia="宋体"/>
                <w:strike w:val="0"/>
                <w:dstrike w:val="0"/>
                <w:color w:val="auto"/>
                <w:sz w:val="21"/>
                <w:highlight w:val="none"/>
                <w:lang w:val="en-US" w:eastAsia="zh-CN"/>
              </w:rPr>
              <w:t>周边喷洒除臭剂进行处理</w:t>
            </w:r>
            <w:r>
              <w:rPr>
                <w:rFonts w:hint="eastAsia" w:ascii="Times New Roman" w:hAnsi="Times New Roman" w:eastAsia="宋体"/>
                <w:strike w:val="0"/>
                <w:dstrike w:val="0"/>
                <w:color w:val="auto"/>
                <w:sz w:val="21"/>
                <w:highlight w:val="none"/>
                <w:lang w:val="en-US" w:eastAsia="zh-CN"/>
              </w:rPr>
              <w:t>，</w:t>
            </w:r>
            <w:r>
              <w:rPr>
                <w:rFonts w:hint="eastAsia" w:ascii="Times New Roman" w:hAnsi="Times New Roman" w:eastAsia="宋体"/>
                <w:strike w:val="0"/>
                <w:dstrike w:val="0"/>
                <w:color w:val="auto"/>
                <w:sz w:val="21"/>
                <w:highlight w:val="none"/>
                <w:lang w:val="en-US" w:eastAsia="zh-CN"/>
              </w:rPr>
              <w:t>及时清运固体粪污</w:t>
            </w:r>
          </w:p>
        </w:tc>
      </w:tr>
      <w:tr w14:paraId="1C5B0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381" w:type="pct"/>
            <w:vAlign w:val="center"/>
          </w:tcPr>
          <w:p w14:paraId="41809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lang w:eastAsia="zh-CN"/>
              </w:rPr>
            </w:pPr>
            <w:r>
              <w:rPr>
                <w:rFonts w:hint="eastAsia" w:ascii="Times New Roman" w:hAnsi="Times New Roman" w:eastAsia="宋体"/>
                <w:strike w:val="0"/>
                <w:dstrike w:val="0"/>
                <w:color w:val="auto"/>
                <w:sz w:val="21"/>
                <w:highlight w:val="none"/>
                <w:lang w:val="en-US" w:eastAsia="zh-CN"/>
              </w:rPr>
              <w:t>全场</w:t>
            </w:r>
          </w:p>
        </w:tc>
        <w:tc>
          <w:tcPr>
            <w:tcW w:w="1793" w:type="pct"/>
            <w:vAlign w:val="center"/>
          </w:tcPr>
          <w:p w14:paraId="43A6D24B">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（1）固体粪污规范还田利用；</w:t>
            </w:r>
          </w:p>
          <w:p w14:paraId="1FD79EBA">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（2）场区运输道路全硬化、及时清扫、无积灰扬尘、定期洒水抑尘；</w:t>
            </w:r>
          </w:p>
          <w:p w14:paraId="60C1719D">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（3）加强场区绿化。</w:t>
            </w:r>
          </w:p>
        </w:tc>
        <w:tc>
          <w:tcPr>
            <w:tcW w:w="2825" w:type="pct"/>
            <w:vAlign w:val="center"/>
          </w:tcPr>
          <w:p w14:paraId="71215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strike w:val="0"/>
                <w:dstrike w:val="0"/>
                <w:color w:val="auto"/>
                <w:sz w:val="21"/>
                <w:highlight w:val="none"/>
              </w:rPr>
            </w:pPr>
            <w:r>
              <w:rPr>
                <w:rFonts w:hint="eastAsia" w:ascii="Times New Roman" w:hAnsi="Times New Roman" w:eastAsia="宋体"/>
                <w:strike w:val="0"/>
                <w:dstrike w:val="0"/>
                <w:color w:val="auto"/>
                <w:sz w:val="21"/>
                <w:highlight w:val="none"/>
                <w:lang w:val="en-US" w:eastAsia="zh-CN"/>
              </w:rPr>
              <w:t>驼粪发酵制有机肥</w:t>
            </w:r>
            <w:r>
              <w:rPr>
                <w:rFonts w:hint="eastAsia" w:ascii="Times New Roman" w:hAnsi="Times New Roman" w:eastAsia="宋体"/>
                <w:strike w:val="0"/>
                <w:dstrike w:val="0"/>
                <w:color w:val="auto"/>
                <w:sz w:val="21"/>
                <w:highlight w:val="none"/>
                <w:lang w:val="en-US" w:eastAsia="zh-CN"/>
              </w:rPr>
              <w:t>外售</w:t>
            </w:r>
            <w:r>
              <w:rPr>
                <w:rFonts w:hint="eastAsia" w:ascii="Times New Roman" w:hAnsi="Times New Roman" w:eastAsia="宋体"/>
                <w:strike w:val="0"/>
                <w:dstrike w:val="0"/>
                <w:color w:val="auto"/>
                <w:sz w:val="21"/>
                <w:highlight w:val="none"/>
                <w:lang w:val="en-US" w:eastAsia="zh-CN"/>
              </w:rPr>
              <w:t>；加强场区绿化</w:t>
            </w:r>
          </w:p>
        </w:tc>
      </w:tr>
    </w:tbl>
    <w:p w14:paraId="2B6B163E">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strike w:val="0"/>
          <w:dstrike w:val="0"/>
          <w:color w:val="auto"/>
          <w:sz w:val="24"/>
          <w:highlight w:val="none"/>
          <w:lang w:val="en-US" w:eastAsia="zh-CN"/>
        </w:rPr>
        <w:t>由上表可知，本项目驼舍、</w:t>
      </w:r>
      <w:r>
        <w:rPr>
          <w:rFonts w:hint="eastAsia" w:ascii="Times New Roman" w:hAnsi="Times New Roman" w:eastAsia="宋体"/>
          <w:strike w:val="0"/>
          <w:dstrike w:val="0"/>
          <w:color w:val="auto"/>
          <w:sz w:val="24"/>
          <w:highlight w:val="none"/>
          <w:lang w:val="en-US" w:eastAsia="zh-CN"/>
        </w:rPr>
        <w:t>堆肥场</w:t>
      </w:r>
      <w:r>
        <w:rPr>
          <w:rFonts w:hint="eastAsia" w:ascii="Times New Roman" w:hAnsi="Times New Roman" w:eastAsia="宋体"/>
          <w:strike w:val="0"/>
          <w:dstrike w:val="0"/>
          <w:color w:val="auto"/>
          <w:sz w:val="24"/>
          <w:highlight w:val="none"/>
          <w:lang w:val="en-US" w:eastAsia="zh-CN"/>
        </w:rPr>
        <w:t>无组织恶臭气体采取的处置措施符合《排污许可证申请与核发技术规范畜禽养殖行业》（HJ1029-2019）中可行技术。</w:t>
      </w:r>
    </w:p>
    <w:p w14:paraId="6043551C">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strike w:val="0"/>
          <w:dstrike w:val="0"/>
          <w:color w:val="auto"/>
          <w:sz w:val="24"/>
          <w:highlight w:val="none"/>
          <w:lang w:val="en-US" w:eastAsia="zh-CN"/>
        </w:rPr>
      </w:pPr>
      <w:r>
        <w:rPr>
          <w:rFonts w:hint="eastAsia" w:ascii="Times New Roman" w:hAnsi="Times New Roman" w:eastAsia="宋体" w:cs="Times New Roman"/>
          <w:strike w:val="0"/>
          <w:dstrike w:val="0"/>
          <w:color w:val="auto"/>
          <w:sz w:val="24"/>
          <w:lang w:val="en-US" w:eastAsia="zh-CN" w:bidi="ar-SA"/>
        </w:rPr>
        <w:t>②</w:t>
      </w:r>
      <w:r>
        <w:rPr>
          <w:rFonts w:hint="eastAsia" w:ascii="Times New Roman" w:hAnsi="Times New Roman" w:eastAsia="宋体"/>
          <w:strike w:val="0"/>
          <w:dstrike w:val="0"/>
          <w:color w:val="auto"/>
          <w:sz w:val="24"/>
          <w:highlight w:val="none"/>
          <w:lang w:val="en-US" w:eastAsia="zh-CN"/>
        </w:rPr>
        <w:t>设计可行性</w:t>
      </w:r>
    </w:p>
    <w:p w14:paraId="0C934131">
      <w:pPr>
        <w:ind w:firstLine="480"/>
        <w:rPr>
          <w:rFonts w:hint="default" w:ascii="Times New Roman" w:hAnsi="Times New Roman" w:eastAsia="宋体"/>
          <w:b w:val="0"/>
          <w:bCs w:val="0"/>
          <w:strike w:val="0"/>
          <w:dstrike w:val="0"/>
          <w:color w:val="auto"/>
          <w:highlight w:val="none"/>
          <w:lang w:val="en-US" w:eastAsia="zh-CN"/>
        </w:rPr>
      </w:pPr>
      <w:r>
        <w:rPr>
          <w:rFonts w:hint="eastAsia" w:ascii="Times New Roman" w:hAnsi="Times New Roman" w:eastAsia="宋体"/>
          <w:strike w:val="0"/>
          <w:dstrike w:val="0"/>
          <w:color w:val="auto"/>
          <w:sz w:val="24"/>
          <w:highlight w:val="none"/>
          <w:lang w:val="en-US" w:eastAsia="zh-CN"/>
        </w:rPr>
        <w:t>本项目</w:t>
      </w:r>
      <w:r>
        <w:rPr>
          <w:rFonts w:hint="eastAsia" w:ascii="Times New Roman" w:hAnsi="Times New Roman" w:eastAsia="宋体"/>
          <w:b w:val="0"/>
          <w:bCs w:val="0"/>
          <w:strike w:val="0"/>
          <w:dstrike w:val="0"/>
          <w:color w:val="auto"/>
          <w:highlight w:val="none"/>
          <w:lang w:val="en-US" w:eastAsia="zh-CN"/>
        </w:rPr>
        <w:t>北侧、西侧、南侧均为空地，东侧为乡道，</w:t>
      </w:r>
      <w:r>
        <w:rPr>
          <w:rFonts w:hint="eastAsia" w:ascii="Times New Roman" w:hAnsi="Times New Roman" w:eastAsia="宋体"/>
          <w:b w:val="0"/>
          <w:bCs w:val="0"/>
          <w:strike w:val="0"/>
          <w:dstrike w:val="0"/>
          <w:color w:val="auto"/>
          <w:highlight w:val="none"/>
          <w:lang w:val="en-US" w:eastAsia="zh-CN"/>
        </w:rPr>
        <w:t>项</w:t>
      </w:r>
      <w:r>
        <w:rPr>
          <w:rFonts w:hint="eastAsia" w:ascii="Times New Roman" w:hAnsi="Times New Roman" w:eastAsia="宋体"/>
          <w:b w:val="0"/>
          <w:bCs w:val="0"/>
          <w:strike w:val="0"/>
          <w:dstrike w:val="0"/>
          <w:color w:val="auto"/>
          <w:highlight w:val="none"/>
          <w:lang w:val="en-US" w:eastAsia="zh-CN"/>
        </w:rPr>
        <w:t>目周边关系卫星图见附图3.1-2</w:t>
      </w:r>
      <w:r>
        <w:rPr>
          <w:rFonts w:hint="eastAsia" w:ascii="Times New Roman" w:hAnsi="Times New Roman" w:eastAsia="宋体"/>
          <w:b w:val="0"/>
          <w:bCs w:val="0"/>
          <w:strike w:val="0"/>
          <w:dstrike w:val="0"/>
          <w:color w:val="auto"/>
          <w:highlight w:val="none"/>
          <w:lang w:val="en-US" w:eastAsia="zh-CN"/>
        </w:rPr>
        <w:t>，堆肥场和黑膜池位于厂区西南侧，远离东侧道路，骆驼互动体验区位于主出入口附近，交通便捷，对外展示、接待、办公，位于堆肥场东北方向，本项目区域常年主导风向为西风，运营期间产生恶臭对骆驼互动体验区较小；</w:t>
      </w:r>
      <w:r>
        <w:rPr>
          <w:rFonts w:hint="eastAsia" w:ascii="Times New Roman" w:hAnsi="Times New Roman" w:eastAsia="宋体"/>
          <w:strike w:val="0"/>
          <w:dstrike w:val="0"/>
          <w:color w:val="auto"/>
          <w:highlight w:val="none"/>
        </w:rPr>
        <w:t>含饲料加工间、草料房、青贮窖，</w:t>
      </w:r>
      <w:r>
        <w:rPr>
          <w:rFonts w:hint="eastAsia" w:ascii="Times New Roman" w:hAnsi="Times New Roman" w:eastAsia="宋体"/>
          <w:strike w:val="0"/>
          <w:dstrike w:val="0"/>
          <w:color w:val="auto"/>
          <w:highlight w:val="none"/>
          <w:lang w:val="en-US" w:eastAsia="zh-CN"/>
        </w:rPr>
        <w:t>位于养殖生产区北侧，</w:t>
      </w:r>
      <w:r>
        <w:rPr>
          <w:rFonts w:hint="eastAsia" w:ascii="Times New Roman" w:hAnsi="Times New Roman" w:eastAsia="宋体"/>
          <w:strike w:val="0"/>
          <w:dstrike w:val="0"/>
          <w:color w:val="auto"/>
          <w:highlight w:val="none"/>
        </w:rPr>
        <w:t>靠近场区</w:t>
      </w:r>
      <w:r>
        <w:rPr>
          <w:rFonts w:hint="eastAsia" w:ascii="Times New Roman" w:hAnsi="Times New Roman" w:eastAsia="宋体"/>
          <w:strike w:val="0"/>
          <w:dstrike w:val="0"/>
          <w:color w:val="auto"/>
          <w:highlight w:val="none"/>
          <w:lang w:val="en-US" w:eastAsia="zh-CN"/>
        </w:rPr>
        <w:t>次出入</w:t>
      </w:r>
      <w:r>
        <w:rPr>
          <w:rFonts w:hint="eastAsia" w:ascii="Times New Roman" w:hAnsi="Times New Roman" w:eastAsia="宋体"/>
          <w:strike w:val="0"/>
          <w:dstrike w:val="0"/>
          <w:color w:val="auto"/>
          <w:highlight w:val="none"/>
        </w:rPr>
        <w:t>口，减少场内运输交叉</w:t>
      </w:r>
      <w:r>
        <w:rPr>
          <w:rFonts w:hint="eastAsia" w:ascii="Times New Roman" w:hAnsi="Times New Roman" w:eastAsia="宋体"/>
          <w:b w:val="0"/>
          <w:bCs w:val="0"/>
          <w:strike w:val="0"/>
          <w:dstrike w:val="0"/>
          <w:color w:val="auto"/>
          <w:highlight w:val="none"/>
          <w:lang w:eastAsia="zh-CN"/>
        </w:rPr>
        <w:t>；</w:t>
      </w:r>
      <w:r>
        <w:rPr>
          <w:rFonts w:hint="eastAsia" w:ascii="Times New Roman" w:hAnsi="Times New Roman" w:eastAsia="宋体"/>
          <w:b w:val="0"/>
          <w:bCs w:val="0"/>
          <w:strike w:val="0"/>
          <w:dstrike w:val="0"/>
          <w:color w:val="auto"/>
          <w:highlight w:val="none"/>
        </w:rPr>
        <w:t>母驼舍布置于场区采光、通风最佳位置，满足规模化饲养。公驼舍与母驼舍保持合理间距，实行分群饲养。孕驼舍环境安静、独立设置，利于孕期母驼管护。各驼舍行列式排布，间距满足防疫、通风、采光及消防要求，舍外设活动场地与运动跑道。挤奶大厅靠近母驼舍，流线短捷，便于驼奶采集、暂存、转运。</w:t>
      </w:r>
      <w:r>
        <w:rPr>
          <w:rFonts w:hint="eastAsia" w:ascii="Times New Roman" w:hAnsi="Times New Roman" w:eastAsia="宋体"/>
          <w:b w:val="0"/>
          <w:bCs w:val="0"/>
          <w:strike w:val="0"/>
          <w:dstrike w:val="0"/>
          <w:color w:val="auto"/>
          <w:highlight w:val="none"/>
          <w:lang w:val="en-US" w:eastAsia="zh-CN"/>
        </w:rPr>
        <w:t>本环评建议加强厂区绿化及驼舍通风。</w:t>
      </w:r>
    </w:p>
    <w:p w14:paraId="3D6A7B8F">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b w:val="0"/>
          <w:bCs w:val="0"/>
          <w:strike w:val="0"/>
          <w:dstrike w:val="0"/>
          <w:color w:val="auto"/>
          <w:highlight w:val="none"/>
          <w:lang w:val="en-US" w:eastAsia="zh-CN"/>
        </w:rPr>
        <w:t>综上，本项目符合</w:t>
      </w:r>
      <w:r>
        <w:rPr>
          <w:rFonts w:hint="eastAsia" w:ascii="Times New Roman" w:hAnsi="Times New Roman" w:eastAsia="宋体"/>
          <w:strike w:val="0"/>
          <w:dstrike w:val="0"/>
          <w:color w:val="auto"/>
          <w:highlight w:val="none"/>
        </w:rPr>
        <w:t>《畜禽养殖业污染防治技术规范》（HJ/T81-2001）</w:t>
      </w:r>
      <w:r>
        <w:rPr>
          <w:rFonts w:hint="eastAsia" w:ascii="Times New Roman" w:hAnsi="Times New Roman" w:eastAsia="宋体"/>
          <w:strike w:val="0"/>
          <w:dstrike w:val="0"/>
          <w:color w:val="auto"/>
          <w:highlight w:val="none"/>
          <w:lang w:eastAsia="zh-CN"/>
        </w:rPr>
        <w:t>、《畜禽场场区设计技术规范》（NY/T682-2023）、</w:t>
      </w:r>
      <w:r>
        <w:rPr>
          <w:rFonts w:hint="eastAsia" w:ascii="Times New Roman" w:hAnsi="Times New Roman" w:eastAsia="宋体"/>
          <w:strike w:val="0"/>
          <w:dstrike w:val="0"/>
          <w:color w:val="auto"/>
          <w:highlight w:val="none"/>
        </w:rPr>
        <w:t>《畜禽养殖业污染治理工程技术规范》（HJ497-2009）</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《恶臭污染物排放标准》（GB14554-1993）</w:t>
      </w:r>
      <w:r>
        <w:rPr>
          <w:rFonts w:hint="eastAsia" w:ascii="Times New Roman" w:hAnsi="Times New Roman" w:eastAsia="宋体"/>
          <w:strike w:val="0"/>
          <w:dstrike w:val="0"/>
          <w:color w:val="auto"/>
          <w:highlight w:val="none"/>
          <w:lang w:val="en-US" w:eastAsia="zh-CN"/>
        </w:rPr>
        <w:t>等相关文件对畜禽养殖设计相关要求，设计可行。</w:t>
      </w:r>
    </w:p>
    <w:p w14:paraId="1ABAC165">
      <w:pPr>
        <w:pStyle w:val="4"/>
        <w:rPr>
          <w:rFonts w:ascii="Times New Roman" w:hAnsi="Times New Roman" w:eastAsia="宋体"/>
          <w:strike w:val="0"/>
          <w:dstrike w:val="0"/>
          <w:color w:val="auto"/>
          <w:highlight w:val="none"/>
        </w:rPr>
      </w:pPr>
      <w:bookmarkStart w:id="304" w:name="_Toc106663526"/>
      <w:bookmarkStart w:id="305" w:name="_Toc22726"/>
      <w:r>
        <w:rPr>
          <w:rFonts w:hint="eastAsia" w:ascii="Times New Roman" w:hAnsi="Times New Roman" w:eastAsia="宋体"/>
          <w:strike w:val="0"/>
          <w:dstrike w:val="0"/>
          <w:color w:val="auto"/>
          <w:highlight w:val="none"/>
        </w:rPr>
        <w:t>6.2.2运营期水污染防治措施</w:t>
      </w:r>
      <w:bookmarkEnd w:id="304"/>
      <w:bookmarkEnd w:id="305"/>
    </w:p>
    <w:p w14:paraId="536A95FE">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6.2.2.1废水排放可行性分析</w:t>
      </w:r>
    </w:p>
    <w:p w14:paraId="21906F9E">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strike w:val="0"/>
          <w:dstrike w:val="0"/>
          <w:color w:val="auto"/>
          <w:sz w:val="24"/>
          <w:szCs w:val="24"/>
          <w:highlight w:val="none"/>
        </w:rPr>
      </w:pPr>
      <w:r>
        <w:rPr>
          <w:rFonts w:hint="eastAsia" w:ascii="Times New Roman" w:hAnsi="Times New Roman" w:eastAsia="宋体"/>
          <w:strike w:val="0"/>
          <w:dstrike w:val="0"/>
          <w:color w:val="auto"/>
          <w:sz w:val="24"/>
          <w:szCs w:val="24"/>
          <w:highlight w:val="none"/>
          <w:lang w:eastAsia="zh-CN"/>
        </w:rPr>
        <w:t>（</w:t>
      </w:r>
      <w:r>
        <w:rPr>
          <w:rFonts w:ascii="Times New Roman" w:hAnsi="Times New Roman" w:eastAsia="宋体"/>
          <w:strike w:val="0"/>
          <w:dstrike w:val="0"/>
          <w:color w:val="auto"/>
          <w:sz w:val="24"/>
          <w:szCs w:val="24"/>
          <w:highlight w:val="none"/>
        </w:rPr>
        <w:t>1</w:t>
      </w:r>
      <w:r>
        <w:rPr>
          <w:rFonts w:hint="eastAsia" w:ascii="Times New Roman" w:hAnsi="Times New Roman" w:eastAsia="宋体"/>
          <w:strike w:val="0"/>
          <w:dstrike w:val="0"/>
          <w:color w:val="auto"/>
          <w:sz w:val="24"/>
          <w:szCs w:val="24"/>
          <w:highlight w:val="none"/>
          <w:lang w:eastAsia="zh-CN"/>
        </w:rPr>
        <w:t>）</w:t>
      </w:r>
      <w:r>
        <w:rPr>
          <w:rFonts w:ascii="Times New Roman" w:hAnsi="Times New Roman" w:eastAsia="宋体"/>
          <w:strike w:val="0"/>
          <w:dstrike w:val="0"/>
          <w:color w:val="auto"/>
          <w:sz w:val="24"/>
          <w:szCs w:val="24"/>
          <w:highlight w:val="none"/>
        </w:rPr>
        <w:t>废水排放情况</w:t>
      </w:r>
    </w:p>
    <w:p w14:paraId="18B01DE3">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sz w:val="24"/>
          <w:szCs w:val="24"/>
          <w:highlight w:val="none"/>
          <w:lang w:eastAsia="zh-CN"/>
        </w:rPr>
      </w:pPr>
      <w:r>
        <w:rPr>
          <w:rFonts w:ascii="Times New Roman" w:hAnsi="Times New Roman" w:eastAsia="宋体"/>
          <w:strike w:val="0"/>
          <w:dstrike w:val="0"/>
          <w:color w:val="auto"/>
          <w:sz w:val="24"/>
          <w:szCs w:val="24"/>
          <w:highlight w:val="none"/>
        </w:rPr>
        <w:t>本项目废水</w:t>
      </w:r>
      <w:r>
        <w:rPr>
          <w:rFonts w:hint="eastAsia" w:ascii="Times New Roman" w:hAnsi="Times New Roman" w:eastAsia="宋体"/>
          <w:strike w:val="0"/>
          <w:dstrike w:val="0"/>
          <w:color w:val="auto"/>
          <w:sz w:val="24"/>
          <w:szCs w:val="24"/>
          <w:highlight w:val="none"/>
          <w:lang w:val="en-US" w:eastAsia="zh-CN"/>
        </w:rPr>
        <w:t>为职工生活污水、挤奶厅（待挤区）清洗废水、挤奶设备清洗废水，</w:t>
      </w:r>
      <w:r>
        <w:rPr>
          <w:rFonts w:ascii="Times New Roman" w:hAnsi="Times New Roman" w:eastAsia="宋体"/>
          <w:strike w:val="0"/>
          <w:dstrike w:val="0"/>
          <w:color w:val="auto"/>
          <w:sz w:val="24"/>
          <w:szCs w:val="24"/>
          <w:highlight w:val="none"/>
        </w:rPr>
        <w:t>产生量约为</w:t>
      </w:r>
      <w:r>
        <w:rPr>
          <w:rFonts w:hint="eastAsia" w:ascii="Times New Roman" w:hAnsi="Times New Roman" w:eastAsia="宋体"/>
          <w:strike w:val="0"/>
          <w:dstrike w:val="0"/>
          <w:color w:val="auto"/>
          <w:sz w:val="24"/>
          <w:szCs w:val="24"/>
          <w:highlight w:val="none"/>
          <w:lang w:val="en-US" w:eastAsia="zh-CN"/>
        </w:rPr>
        <w:t>2511.2</w:t>
      </w:r>
      <w:r>
        <w:rPr>
          <w:rFonts w:ascii="Times New Roman" w:hAnsi="Times New Roman" w:eastAsia="宋体"/>
          <w:strike w:val="0"/>
          <w:dstrike w:val="0"/>
          <w:color w:val="auto"/>
          <w:sz w:val="24"/>
          <w:szCs w:val="24"/>
          <w:highlight w:val="none"/>
        </w:rPr>
        <w:t>m</w:t>
      </w:r>
      <w:r>
        <w:rPr>
          <w:rFonts w:ascii="Times New Roman" w:hAnsi="Times New Roman" w:eastAsia="宋体"/>
          <w:strike w:val="0"/>
          <w:dstrike w:val="0"/>
          <w:color w:val="auto"/>
          <w:sz w:val="24"/>
          <w:szCs w:val="24"/>
          <w:highlight w:val="none"/>
          <w:vertAlign w:val="superscript"/>
        </w:rPr>
        <w:t>3</w:t>
      </w:r>
      <w:r>
        <w:rPr>
          <w:rFonts w:ascii="Times New Roman" w:hAnsi="Times New Roman" w:eastAsia="宋体"/>
          <w:strike w:val="0"/>
          <w:dstrike w:val="0"/>
          <w:color w:val="auto"/>
          <w:sz w:val="24"/>
          <w:szCs w:val="24"/>
          <w:highlight w:val="none"/>
        </w:rPr>
        <w:t>/a，主要污染因子主要为CODcr、BOD</w:t>
      </w:r>
      <w:r>
        <w:rPr>
          <w:rFonts w:ascii="Times New Roman" w:hAnsi="Times New Roman" w:eastAsia="宋体"/>
          <w:strike w:val="0"/>
          <w:dstrike w:val="0"/>
          <w:color w:val="auto"/>
          <w:sz w:val="24"/>
          <w:szCs w:val="24"/>
          <w:highlight w:val="none"/>
          <w:vertAlign w:val="subscript"/>
        </w:rPr>
        <w:t>5</w:t>
      </w:r>
      <w:r>
        <w:rPr>
          <w:rFonts w:ascii="Times New Roman" w:hAnsi="Times New Roman" w:eastAsia="宋体"/>
          <w:strike w:val="0"/>
          <w:dstrike w:val="0"/>
          <w:color w:val="auto"/>
          <w:sz w:val="24"/>
          <w:szCs w:val="24"/>
          <w:highlight w:val="none"/>
        </w:rPr>
        <w:t>、NH</w:t>
      </w:r>
      <w:r>
        <w:rPr>
          <w:rFonts w:ascii="Times New Roman" w:hAnsi="Times New Roman" w:eastAsia="宋体"/>
          <w:strike w:val="0"/>
          <w:dstrike w:val="0"/>
          <w:color w:val="auto"/>
          <w:sz w:val="24"/>
          <w:szCs w:val="24"/>
          <w:highlight w:val="none"/>
          <w:vertAlign w:val="subscript"/>
        </w:rPr>
        <w:t>3</w:t>
      </w:r>
      <w:r>
        <w:rPr>
          <w:rFonts w:ascii="Times New Roman" w:hAnsi="Times New Roman" w:eastAsia="宋体"/>
          <w:strike w:val="0"/>
          <w:dstrike w:val="0"/>
          <w:color w:val="auto"/>
          <w:sz w:val="24"/>
          <w:szCs w:val="24"/>
          <w:highlight w:val="none"/>
        </w:rPr>
        <w:t>-N和SS</w:t>
      </w:r>
      <w:r>
        <w:rPr>
          <w:rFonts w:hint="eastAsia" w:ascii="Times New Roman" w:hAnsi="Times New Roman" w:eastAsia="宋体"/>
          <w:strike w:val="0"/>
          <w:dstrike w:val="0"/>
          <w:color w:val="auto"/>
          <w:sz w:val="24"/>
          <w:szCs w:val="24"/>
          <w:highlight w:val="none"/>
          <w:lang w:eastAsia="zh-CN"/>
        </w:rPr>
        <w:t>。</w:t>
      </w:r>
      <w:r>
        <w:rPr>
          <w:rFonts w:hint="eastAsia" w:ascii="Times New Roman" w:hAnsi="Times New Roman" w:eastAsia="宋体"/>
          <w:strike w:val="0"/>
          <w:dstrike w:val="0"/>
          <w:color w:val="auto"/>
          <w:sz w:val="24"/>
          <w:szCs w:val="24"/>
          <w:highlight w:val="none"/>
          <w:lang w:val="en-US" w:eastAsia="zh-CN"/>
        </w:rPr>
        <w:t>生活污水和生产</w:t>
      </w:r>
      <w:r>
        <w:rPr>
          <w:rFonts w:hint="eastAsia" w:ascii="Times New Roman" w:hAnsi="Times New Roman" w:eastAsia="宋体"/>
          <w:strike w:val="0"/>
          <w:dstrike w:val="0"/>
          <w:color w:val="auto"/>
          <w:sz w:val="24"/>
          <w:szCs w:val="24"/>
          <w:highlight w:val="none"/>
        </w:rPr>
        <w:t>废水经排污管道</w:t>
      </w:r>
      <w:r>
        <w:rPr>
          <w:rFonts w:hint="eastAsia" w:ascii="Times New Roman" w:hAnsi="Times New Roman" w:eastAsia="宋体"/>
          <w:strike w:val="0"/>
          <w:dstrike w:val="0"/>
          <w:color w:val="auto"/>
          <w:sz w:val="24"/>
          <w:szCs w:val="24"/>
          <w:highlight w:val="none"/>
          <w:lang w:val="en-US" w:eastAsia="zh-CN"/>
        </w:rPr>
        <w:t>排放</w:t>
      </w:r>
      <w:r>
        <w:rPr>
          <w:rFonts w:hint="eastAsia" w:ascii="Times New Roman" w:hAnsi="Times New Roman" w:eastAsia="宋体"/>
          <w:strike w:val="0"/>
          <w:dstrike w:val="0"/>
          <w:color w:val="auto"/>
          <w:sz w:val="24"/>
          <w:szCs w:val="24"/>
          <w:highlight w:val="none"/>
        </w:rPr>
        <w:t>至舍外</w:t>
      </w:r>
      <w:r>
        <w:rPr>
          <w:rFonts w:hint="eastAsia" w:ascii="Times New Roman" w:hAnsi="Times New Roman" w:eastAsia="宋体"/>
          <w:strike w:val="0"/>
          <w:dstrike w:val="0"/>
          <w:color w:val="auto"/>
          <w:sz w:val="24"/>
          <w:szCs w:val="24"/>
          <w:highlight w:val="none"/>
          <w:lang w:val="en-US" w:eastAsia="zh-CN"/>
        </w:rPr>
        <w:t>黑膜池</w:t>
      </w:r>
      <w:r>
        <w:rPr>
          <w:rFonts w:hint="eastAsia" w:ascii="Times New Roman" w:hAnsi="Times New Roman" w:eastAsia="宋体"/>
          <w:strike w:val="0"/>
          <w:dstrike w:val="0"/>
          <w:color w:val="auto"/>
          <w:sz w:val="24"/>
          <w:szCs w:val="24"/>
          <w:highlight w:val="none"/>
        </w:rPr>
        <w:t>，厌氧发酵处理后，</w:t>
      </w:r>
      <w:r>
        <w:rPr>
          <w:rFonts w:hint="eastAsia" w:ascii="Times New Roman" w:hAnsi="Times New Roman" w:eastAsia="宋体"/>
          <w:strike w:val="0"/>
          <w:dstrike w:val="0"/>
          <w:color w:val="auto"/>
          <w:sz w:val="24"/>
          <w:szCs w:val="24"/>
          <w:highlight w:val="none"/>
          <w:lang w:val="en-US" w:eastAsia="zh-CN"/>
        </w:rPr>
        <w:t>用于周边林带及厂区绿化施肥</w:t>
      </w:r>
      <w:r>
        <w:rPr>
          <w:rFonts w:hint="eastAsia" w:ascii="Times New Roman" w:hAnsi="Times New Roman" w:eastAsia="宋体"/>
          <w:strike w:val="0"/>
          <w:dstrike w:val="0"/>
          <w:color w:val="auto"/>
          <w:sz w:val="24"/>
          <w:szCs w:val="24"/>
          <w:highlight w:val="none"/>
          <w:lang w:eastAsia="zh-CN"/>
        </w:rPr>
        <w:t>。</w:t>
      </w:r>
    </w:p>
    <w:p w14:paraId="7D73367B">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strike w:val="0"/>
          <w:dstrike w:val="0"/>
          <w:color w:val="auto"/>
          <w:sz w:val="24"/>
          <w:szCs w:val="24"/>
          <w:highlight w:val="none"/>
          <w:lang w:val="en-US"/>
        </w:rPr>
      </w:pPr>
      <w:r>
        <w:rPr>
          <w:rFonts w:hint="eastAsia" w:ascii="Times New Roman" w:hAnsi="Times New Roman" w:eastAsia="宋体"/>
          <w:strike w:val="0"/>
          <w:dstrike w:val="0"/>
          <w:color w:val="auto"/>
          <w:sz w:val="24"/>
          <w:szCs w:val="24"/>
          <w:highlight w:val="none"/>
          <w:lang w:eastAsia="zh-CN"/>
        </w:rPr>
        <w:t>（</w:t>
      </w:r>
      <w:r>
        <w:rPr>
          <w:rFonts w:hint="eastAsia" w:ascii="Times New Roman" w:hAnsi="Times New Roman" w:eastAsia="宋体"/>
          <w:strike w:val="0"/>
          <w:dstrike w:val="0"/>
          <w:color w:val="auto"/>
          <w:sz w:val="24"/>
          <w:szCs w:val="24"/>
          <w:highlight w:val="none"/>
          <w:lang w:val="en-US" w:eastAsia="zh-CN"/>
        </w:rPr>
        <w:t>2</w:t>
      </w:r>
      <w:r>
        <w:rPr>
          <w:rFonts w:hint="eastAsia" w:ascii="Times New Roman" w:hAnsi="Times New Roman" w:eastAsia="宋体"/>
          <w:strike w:val="0"/>
          <w:dstrike w:val="0"/>
          <w:color w:val="auto"/>
          <w:sz w:val="24"/>
          <w:szCs w:val="24"/>
          <w:highlight w:val="none"/>
          <w:lang w:eastAsia="zh-CN"/>
        </w:rPr>
        <w:t>）</w:t>
      </w:r>
      <w:r>
        <w:rPr>
          <w:rFonts w:hint="eastAsia" w:ascii="Times New Roman" w:hAnsi="Times New Roman" w:eastAsia="宋体"/>
          <w:strike w:val="0"/>
          <w:dstrike w:val="0"/>
          <w:color w:val="auto"/>
          <w:sz w:val="24"/>
          <w:szCs w:val="24"/>
          <w:highlight w:val="none"/>
          <w:lang w:val="en-US" w:eastAsia="zh-CN"/>
        </w:rPr>
        <w:t>可行性分析</w:t>
      </w:r>
    </w:p>
    <w:p w14:paraId="0039A6DC">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项目区内</w:t>
      </w:r>
      <w:r>
        <w:rPr>
          <w:rFonts w:hint="eastAsia" w:ascii="Times New Roman" w:hAnsi="Times New Roman" w:eastAsia="宋体" w:cs="宋体"/>
          <w:color w:val="auto"/>
          <w:kern w:val="0"/>
          <w:sz w:val="24"/>
          <w:lang w:val="en-US" w:eastAsia="zh-CN" w:bidi="ar"/>
        </w:rPr>
        <w:t>生产</w:t>
      </w:r>
      <w:r>
        <w:rPr>
          <w:rFonts w:hint="eastAsia" w:ascii="Times New Roman" w:hAnsi="Times New Roman" w:eastAsia="宋体" w:cs="宋体"/>
          <w:color w:val="auto"/>
          <w:kern w:val="0"/>
          <w:sz w:val="24"/>
          <w:lang w:bidi="ar"/>
        </w:rPr>
        <w:t>废水</w:t>
      </w:r>
      <w:r>
        <w:rPr>
          <w:rFonts w:hint="eastAsia" w:ascii="Times New Roman" w:hAnsi="Times New Roman" w:eastAsia="宋体" w:cs="宋体"/>
          <w:color w:val="auto"/>
          <w:kern w:val="0"/>
          <w:sz w:val="24"/>
          <w:lang w:val="en-US" w:eastAsia="zh-CN" w:bidi="ar"/>
        </w:rPr>
        <w:t>和生活污水</w:t>
      </w:r>
      <w:r>
        <w:rPr>
          <w:rFonts w:hint="eastAsia" w:ascii="Times New Roman" w:hAnsi="Times New Roman" w:eastAsia="宋体" w:cs="宋体"/>
          <w:color w:val="auto"/>
          <w:kern w:val="0"/>
          <w:sz w:val="24"/>
          <w:lang w:bidi="ar"/>
        </w:rPr>
        <w:t>均采取密闭管道收集后进入黑膜池中，同时管道中设置水封，防止恶臭气体通过污水管道流进</w:t>
      </w:r>
      <w:r>
        <w:rPr>
          <w:rFonts w:hint="eastAsia" w:ascii="Times New Roman" w:hAnsi="Times New Roman" w:eastAsia="宋体" w:cs="宋体"/>
          <w:color w:val="auto"/>
          <w:kern w:val="0"/>
          <w:sz w:val="24"/>
          <w:lang w:val="en-US" w:eastAsia="zh-CN" w:bidi="ar"/>
        </w:rPr>
        <w:t>挤奶厅</w:t>
      </w:r>
      <w:r>
        <w:rPr>
          <w:rFonts w:hint="eastAsia" w:ascii="Times New Roman" w:hAnsi="Times New Roman" w:eastAsia="宋体"/>
          <w:strike w:val="0"/>
          <w:dstrike w:val="0"/>
          <w:color w:val="auto"/>
          <w:sz w:val="24"/>
          <w:szCs w:val="24"/>
          <w:highlight w:val="none"/>
          <w:lang w:eastAsia="zh-CN"/>
        </w:rPr>
        <w:t>。</w:t>
      </w:r>
    </w:p>
    <w:p w14:paraId="550D9BD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本项目所设计的黑膜池采用双层覆膜技术，具有防渗防蒸发的功能；能减少恶臭气体的挥发，减少对周围环境的影响。黑膜池系统简单、施工快捷，存储过程中无渗漏无蒸发，能减少存储过程中恶臭的挥发，同时存储过程中对周边大气、土壤、地下水等也不造成污染，是一种绿色、环保、高效、经济的废水存储和处置方式。厌氧消化的优点是反应速度快，适应性强，操作简单、投资较少。</w:t>
      </w:r>
    </w:p>
    <w:p w14:paraId="7E9FB763">
      <w:pPr>
        <w:pStyle w:val="175"/>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strike w:val="0"/>
          <w:dstrike w:val="0"/>
          <w:color w:val="auto"/>
          <w:sz w:val="24"/>
          <w:szCs w:val="24"/>
          <w:highlight w:val="none"/>
          <w:lang w:eastAsia="zh-CN"/>
        </w:rPr>
      </w:pPr>
      <w:r>
        <w:rPr>
          <w:rFonts w:hint="eastAsia" w:ascii="Times New Roman" w:hAnsi="Times New Roman" w:eastAsia="宋体"/>
          <w:strike w:val="0"/>
          <w:dstrike w:val="0"/>
          <w:color w:val="auto"/>
          <w:sz w:val="24"/>
          <w:szCs w:val="24"/>
          <w:highlight w:val="none"/>
          <w:lang w:val="en-US" w:eastAsia="zh-CN"/>
        </w:rPr>
        <w:t>①</w:t>
      </w:r>
      <w:r>
        <w:rPr>
          <w:rFonts w:hint="eastAsia" w:ascii="Times New Roman" w:hAnsi="Times New Roman" w:eastAsia="宋体"/>
          <w:strike w:val="0"/>
          <w:dstrike w:val="0"/>
          <w:color w:val="auto"/>
          <w:sz w:val="24"/>
          <w:szCs w:val="24"/>
          <w:highlight w:val="none"/>
          <w:lang w:eastAsia="zh-CN"/>
        </w:rPr>
        <w:t>黑膜池冬季暂存可行性分析</w:t>
      </w:r>
    </w:p>
    <w:p w14:paraId="05727759">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本项目废水处理主要工艺为黑膜池厌氧发酵工艺，是在开挖好的土方基础上，采用优质HDPE材料，由底膜和顶膜密封形成的全封闭厌氧反应器。</w:t>
      </w:r>
      <w:r>
        <w:rPr>
          <w:rFonts w:hint="eastAsia" w:ascii="Times New Roman" w:hAnsi="Times New Roman" w:eastAsia="宋体" w:cs="宋体"/>
          <w:color w:val="auto"/>
          <w:kern w:val="0"/>
          <w:sz w:val="24"/>
          <w:lang w:bidi="ar"/>
        </w:rPr>
        <w:t>本项目废水产生量为</w:t>
      </w:r>
      <w:r>
        <w:rPr>
          <w:rFonts w:hint="eastAsia" w:ascii="Times New Roman" w:hAnsi="Times New Roman" w:eastAsia="宋体" w:cs="宋体"/>
          <w:color w:val="auto"/>
          <w:kern w:val="0"/>
          <w:sz w:val="24"/>
          <w:lang w:val="en-US" w:eastAsia="zh-CN" w:bidi="ar"/>
        </w:rPr>
        <w:t>6.88</w:t>
      </w:r>
      <w:r>
        <w:rPr>
          <w:rFonts w:ascii="Times New Roman" w:hAnsi="Times New Roman" w:eastAsia="宋体" w:cs="宋体"/>
          <w:color w:val="auto"/>
          <w:kern w:val="0"/>
          <w:sz w:val="24"/>
          <w:lang w:bidi="ar"/>
        </w:rPr>
        <w:t>m</w:t>
      </w:r>
      <w:r>
        <w:rPr>
          <w:rFonts w:ascii="Times New Roman" w:hAnsi="Times New Roman" w:eastAsia="宋体" w:cs="宋体"/>
          <w:color w:val="auto"/>
          <w:kern w:val="0"/>
          <w:sz w:val="24"/>
          <w:vertAlign w:val="superscript"/>
          <w:lang w:bidi="ar"/>
        </w:rPr>
        <w:t>3</w:t>
      </w:r>
      <w:r>
        <w:rPr>
          <w:rFonts w:ascii="Times New Roman" w:hAnsi="Times New Roman" w:eastAsia="宋体" w:cs="宋体"/>
          <w:color w:val="auto"/>
          <w:kern w:val="0"/>
          <w:sz w:val="24"/>
          <w:lang w:bidi="ar"/>
        </w:rPr>
        <w:t>/d</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综合气候、发酵等因素</w:t>
      </w:r>
      <w:r>
        <w:rPr>
          <w:rFonts w:hint="default" w:ascii="Times New Roman" w:hAnsi="Times New Roman" w:eastAsia="宋体" w:cs="宋体"/>
          <w:color w:val="auto"/>
          <w:kern w:val="0"/>
          <w:sz w:val="24"/>
          <w:lang w:val="en-US" w:eastAsia="zh-CN" w:bidi="ar"/>
        </w:rPr>
        <w:t>，按照</w:t>
      </w:r>
      <w:r>
        <w:rPr>
          <w:rFonts w:hint="eastAsia" w:ascii="Times New Roman" w:hAnsi="Times New Roman" w:eastAsia="宋体" w:cs="宋体"/>
          <w:color w:val="auto"/>
          <w:kern w:val="0"/>
          <w:sz w:val="24"/>
          <w:lang w:val="en-US" w:eastAsia="zh-CN" w:bidi="ar"/>
        </w:rPr>
        <w:t>180</w:t>
      </w:r>
      <w:r>
        <w:rPr>
          <w:rFonts w:hint="default" w:ascii="Times New Roman" w:hAnsi="Times New Roman" w:eastAsia="宋体" w:cs="宋体"/>
          <w:color w:val="auto"/>
          <w:kern w:val="0"/>
          <w:sz w:val="24"/>
          <w:lang w:val="en-US" w:eastAsia="zh-CN" w:bidi="ar"/>
        </w:rPr>
        <w:t>天的废水产生量核定黑膜池容积，</w:t>
      </w:r>
      <w:r>
        <w:rPr>
          <w:rFonts w:hint="eastAsia" w:ascii="Times New Roman" w:hAnsi="Times New Roman" w:eastAsia="宋体" w:cs="宋体"/>
          <w:color w:val="auto"/>
          <w:kern w:val="0"/>
          <w:sz w:val="24"/>
          <w:lang w:val="en-US" w:eastAsia="zh-CN" w:bidi="ar"/>
        </w:rPr>
        <w:t>180天废水产生量1238.4m</w:t>
      </w:r>
      <w:r>
        <w:rPr>
          <w:rFonts w:hint="eastAsia" w:ascii="Times New Roman" w:hAnsi="Times New Roman" w:eastAsia="宋体" w:cs="宋体"/>
          <w:color w:val="auto"/>
          <w:kern w:val="0"/>
          <w:sz w:val="24"/>
          <w:vertAlign w:val="superscript"/>
          <w:lang w:val="en-US" w:eastAsia="zh-CN" w:bidi="ar"/>
        </w:rPr>
        <w:t>3</w:t>
      </w:r>
      <w:r>
        <w:rPr>
          <w:rFonts w:hint="eastAsia" w:ascii="Times New Roman" w:hAnsi="Times New Roman" w:eastAsia="宋体" w:cs="宋体"/>
          <w:color w:val="auto"/>
          <w:kern w:val="0"/>
          <w:sz w:val="24"/>
          <w:vertAlign w:val="baseline"/>
          <w:lang w:val="en-US" w:eastAsia="zh-CN" w:bidi="ar"/>
        </w:rPr>
        <w:t>，</w:t>
      </w:r>
      <w:r>
        <w:rPr>
          <w:rFonts w:hint="eastAsia" w:ascii="Times New Roman" w:hAnsi="Times New Roman" w:eastAsia="宋体" w:cs="宋体"/>
          <w:color w:val="auto"/>
          <w:kern w:val="0"/>
          <w:sz w:val="24"/>
          <w:lang w:val="en-US" w:eastAsia="zh-CN" w:bidi="ar"/>
        </w:rPr>
        <w:t>本环评要求黑膜池容积为</w:t>
      </w:r>
      <w:r>
        <w:rPr>
          <w:rFonts w:hint="eastAsia" w:ascii="Times New Roman" w:hAnsi="Times New Roman" w:eastAsia="宋体" w:cs="宋体"/>
          <w:color w:val="auto"/>
          <w:kern w:val="0"/>
          <w:sz w:val="24"/>
          <w:lang w:val="en-US" w:eastAsia="zh-CN" w:bidi="ar"/>
        </w:rPr>
        <w:t>1500</w:t>
      </w:r>
      <w:r>
        <w:rPr>
          <w:rFonts w:ascii="Times New Roman" w:hAnsi="Times New Roman" w:eastAsia="宋体" w:cs="宋体"/>
          <w:color w:val="auto"/>
          <w:kern w:val="0"/>
          <w:sz w:val="24"/>
          <w:lang w:bidi="ar"/>
        </w:rPr>
        <w:t>m</w:t>
      </w:r>
      <w:r>
        <w:rPr>
          <w:rFonts w:ascii="Times New Roman" w:hAnsi="Times New Roman" w:eastAsia="宋体" w:cs="宋体"/>
          <w:color w:val="auto"/>
          <w:kern w:val="0"/>
          <w:sz w:val="24"/>
          <w:vertAlign w:val="superscript"/>
          <w:lang w:bidi="ar"/>
        </w:rPr>
        <w:t>3</w:t>
      </w:r>
      <w:r>
        <w:rPr>
          <w:rFonts w:hint="eastAsia" w:ascii="Times New Roman" w:hAnsi="Times New Roman" w:eastAsia="宋体" w:cs="宋体"/>
          <w:color w:val="auto"/>
          <w:kern w:val="0"/>
          <w:sz w:val="24"/>
          <w:vertAlign w:val="baseline"/>
          <w:lang w:eastAsia="zh-CN" w:bidi="ar"/>
        </w:rPr>
        <w:t>以上，要求黑膜池建设在防冻层以下，</w:t>
      </w:r>
      <w:r>
        <w:rPr>
          <w:rFonts w:hint="eastAsia" w:ascii="Times New Roman" w:hAnsi="Times New Roman" w:eastAsia="宋体" w:cs="宋体"/>
          <w:color w:val="auto"/>
          <w:kern w:val="0"/>
          <w:sz w:val="24"/>
          <w:lang w:val="en-US" w:eastAsia="zh-CN" w:bidi="ar"/>
        </w:rPr>
        <w:t>黑膜池容积大、深度较深，每天进水量相对较少，因此耐污水的冲击负荷强；黑膜池主体工程位于地面以下，顶部、底部用黑膜密封，和外界环境气温不流通，形成独特的小气候。黑膜池结构示意图如下：</w:t>
      </w:r>
    </w:p>
    <w:p w14:paraId="00827058">
      <w:pPr>
        <w:ind w:firstLine="0" w:firstLineChars="0"/>
        <w:jc w:val="center"/>
        <w:rPr>
          <w:rFonts w:hint="eastAsia" w:ascii="Times New Roman" w:hAnsi="Times New Roman" w:eastAsia="宋体"/>
          <w:color w:val="auto"/>
          <w:lang w:eastAsia="zh-CN"/>
        </w:rPr>
      </w:pPr>
      <w:r>
        <w:rPr>
          <w:rFonts w:hint="eastAsia" w:ascii="Times New Roman" w:hAnsi="Times New Roman" w:eastAsia="宋体"/>
          <w:color w:val="auto"/>
          <w:lang w:eastAsia="zh-CN"/>
        </w:rPr>
        <w:drawing>
          <wp:inline distT="0" distB="0" distL="114300" distR="114300">
            <wp:extent cx="4319905" cy="2176145"/>
            <wp:effectExtent l="0" t="0" r="4445" b="14605"/>
            <wp:docPr id="77" name="图片 77"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片1(1)"/>
                    <pic:cNvPicPr>
                      <a:picLocks noChangeAspect="1"/>
                    </pic:cNvPicPr>
                  </pic:nvPicPr>
                  <pic:blipFill>
                    <a:blip r:embed="rId79"/>
                    <a:stretch>
                      <a:fillRect/>
                    </a:stretch>
                  </pic:blipFill>
                  <pic:spPr>
                    <a:xfrm>
                      <a:off x="0" y="0"/>
                      <a:ext cx="4319905" cy="2176145"/>
                    </a:xfrm>
                    <a:prstGeom prst="rect">
                      <a:avLst/>
                    </a:prstGeom>
                  </pic:spPr>
                </pic:pic>
              </a:graphicData>
            </a:graphic>
          </wp:inline>
        </w:drawing>
      </w:r>
    </w:p>
    <w:p w14:paraId="46F83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图6.2-1 黑膜沼气池结构示意图</w:t>
      </w:r>
    </w:p>
    <w:p w14:paraId="54C499BF">
      <w:pPr>
        <w:widowControl/>
        <w:spacing w:line="440" w:lineRule="exact"/>
        <w:ind w:firstLine="480" w:firstLineChars="200"/>
        <w:jc w:val="left"/>
        <w:rPr>
          <w:rFonts w:hint="default" w:ascii="Times New Roman" w:hAnsi="Times New Roman" w:eastAsia="宋体" w:cs="宋体"/>
          <w:color w:val="auto"/>
          <w:kern w:val="0"/>
          <w:sz w:val="24"/>
          <w:highlight w:val="none"/>
          <w:lang w:val="en-US" w:eastAsia="zh-CN" w:bidi="ar"/>
        </w:rPr>
      </w:pPr>
      <w:r>
        <w:rPr>
          <w:rFonts w:hint="eastAsia" w:ascii="Times New Roman" w:hAnsi="Times New Roman" w:eastAsia="宋体" w:cs="宋体"/>
          <w:color w:val="auto"/>
          <w:kern w:val="0"/>
          <w:sz w:val="24"/>
          <w:highlight w:val="none"/>
          <w:lang w:val="en-US" w:eastAsia="zh-CN" w:bidi="ar"/>
        </w:rPr>
        <w:t>②区域消纳面积可行性分析</w:t>
      </w:r>
    </w:p>
    <w:p w14:paraId="462DFE99">
      <w:pPr>
        <w:widowControl/>
        <w:spacing w:line="440" w:lineRule="exact"/>
        <w:ind w:firstLine="480" w:firstLineChars="200"/>
        <w:jc w:val="left"/>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val="en-US" w:eastAsia="zh-CN" w:bidi="ar"/>
        </w:rPr>
        <w:t>黑膜池内厌氧发酵后，</w:t>
      </w:r>
      <w:r>
        <w:rPr>
          <w:rFonts w:hint="eastAsia" w:ascii="Times New Roman" w:hAnsi="Times New Roman" w:eastAsia="宋体" w:cs="宋体"/>
          <w:color w:val="auto"/>
          <w:kern w:val="0"/>
          <w:sz w:val="24"/>
          <w:lang w:bidi="ar"/>
        </w:rPr>
        <w:t>在施肥季节用于</w:t>
      </w:r>
      <w:r>
        <w:rPr>
          <w:rFonts w:hint="eastAsia" w:ascii="Times New Roman" w:hAnsi="Times New Roman" w:eastAsia="宋体" w:cs="宋体"/>
          <w:color w:val="auto"/>
          <w:kern w:val="0"/>
          <w:sz w:val="24"/>
          <w:lang w:val="en-US" w:eastAsia="zh-CN" w:bidi="ar"/>
        </w:rPr>
        <w:t>厂区灌溉以及周边</w:t>
      </w:r>
      <w:r>
        <w:rPr>
          <w:rFonts w:hint="eastAsia" w:ascii="Times New Roman" w:hAnsi="Times New Roman" w:eastAsia="宋体" w:cs="宋体"/>
          <w:color w:val="auto"/>
          <w:kern w:val="0"/>
          <w:sz w:val="24"/>
          <w:lang w:val="en-US" w:eastAsia="zh-CN" w:bidi="ar"/>
        </w:rPr>
        <w:t>林地</w:t>
      </w:r>
      <w:r>
        <w:rPr>
          <w:rFonts w:hint="eastAsia" w:ascii="Times New Roman" w:hAnsi="Times New Roman" w:eastAsia="宋体" w:cs="宋体"/>
          <w:color w:val="auto"/>
          <w:kern w:val="0"/>
          <w:sz w:val="24"/>
          <w:lang w:bidi="ar"/>
        </w:rPr>
        <w:t>施肥；非施肥季节，</w:t>
      </w:r>
      <w:r>
        <w:rPr>
          <w:rFonts w:hint="eastAsia" w:ascii="Times New Roman" w:hAnsi="Times New Roman" w:eastAsia="宋体" w:cs="宋体"/>
          <w:color w:val="auto"/>
          <w:kern w:val="0"/>
          <w:sz w:val="24"/>
          <w:lang w:val="en-US" w:eastAsia="zh-CN" w:bidi="ar"/>
        </w:rPr>
        <w:t>废水</w:t>
      </w:r>
      <w:r>
        <w:rPr>
          <w:rFonts w:hint="eastAsia" w:ascii="Times New Roman" w:hAnsi="Times New Roman" w:eastAsia="宋体" w:cs="宋体"/>
          <w:color w:val="auto"/>
          <w:kern w:val="0"/>
          <w:sz w:val="24"/>
          <w:lang w:bidi="ar"/>
        </w:rPr>
        <w:t>主要储存</w:t>
      </w:r>
      <w:r>
        <w:rPr>
          <w:rFonts w:hint="eastAsia" w:ascii="Times New Roman" w:hAnsi="Times New Roman" w:eastAsia="宋体" w:cs="宋体"/>
          <w:color w:val="auto"/>
          <w:kern w:val="0"/>
          <w:sz w:val="24"/>
          <w:lang w:val="en-US" w:eastAsia="zh-CN" w:bidi="ar"/>
        </w:rPr>
        <w:t>黑膜</w:t>
      </w:r>
      <w:r>
        <w:rPr>
          <w:rFonts w:hint="eastAsia" w:ascii="Times New Roman" w:hAnsi="Times New Roman" w:eastAsia="宋体" w:cs="宋体"/>
          <w:color w:val="auto"/>
          <w:kern w:val="0"/>
          <w:sz w:val="24"/>
          <w:lang w:bidi="ar"/>
        </w:rPr>
        <w:t>池内，按照《国务院办公厅关于加快推进畜禽养殖废弃物资源化利用的意见》中要求：“鼓励沼液和经无害化处理的畜禽养殖废水作为肥料科学还田利用”。项目定期对</w:t>
      </w:r>
      <w:r>
        <w:rPr>
          <w:rFonts w:hint="eastAsia" w:ascii="Times New Roman" w:hAnsi="Times New Roman" w:eastAsia="宋体" w:cs="宋体"/>
          <w:color w:val="auto"/>
          <w:kern w:val="0"/>
          <w:sz w:val="24"/>
          <w:lang w:val="en-US" w:eastAsia="zh-CN" w:bidi="ar"/>
        </w:rPr>
        <w:t>黑膜池内沼液</w:t>
      </w:r>
      <w:r>
        <w:rPr>
          <w:rFonts w:hint="eastAsia" w:ascii="Times New Roman" w:hAnsi="Times New Roman" w:eastAsia="宋体" w:cs="宋体"/>
          <w:color w:val="auto"/>
          <w:kern w:val="0"/>
          <w:sz w:val="24"/>
          <w:lang w:bidi="ar"/>
        </w:rPr>
        <w:t>进行清理，实现综合利用，不外排</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农田土地施肥</w:t>
      </w:r>
      <w:r>
        <w:rPr>
          <w:rFonts w:hint="eastAsia" w:ascii="Times New Roman" w:hAnsi="Times New Roman" w:eastAsia="宋体" w:cs="宋体"/>
          <w:color w:val="auto"/>
          <w:kern w:val="0"/>
          <w:sz w:val="24"/>
          <w:lang w:bidi="ar"/>
        </w:rPr>
        <w:t>要符合《沼肥施用技术规范》（NYT2065-2011）要求</w:t>
      </w:r>
      <w:r>
        <w:rPr>
          <w:rFonts w:hint="eastAsia" w:ascii="Times New Roman" w:hAnsi="Times New Roman" w:eastAsia="宋体" w:cs="宋体"/>
          <w:color w:val="auto"/>
          <w:kern w:val="0"/>
          <w:sz w:val="24"/>
          <w:lang w:eastAsia="zh-CN" w:bidi="ar"/>
        </w:rPr>
        <w:t>，</w:t>
      </w:r>
      <w:r>
        <w:rPr>
          <w:rFonts w:hint="eastAsia" w:ascii="Times New Roman" w:hAnsi="Times New Roman" w:eastAsia="宋体" w:cs="宋体"/>
          <w:color w:val="auto"/>
          <w:kern w:val="0"/>
          <w:sz w:val="24"/>
          <w:lang w:val="en-US" w:eastAsia="zh-CN" w:bidi="ar"/>
        </w:rPr>
        <w:t>施用量根据土壤状况与作物对养分的需求量确定。</w:t>
      </w:r>
    </w:p>
    <w:p w14:paraId="174FBEBE">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本项目年产液体肥料</w:t>
      </w:r>
      <w:r>
        <w:rPr>
          <w:rFonts w:hint="eastAsia" w:ascii="Times New Roman" w:hAnsi="Times New Roman" w:eastAsia="宋体" w:cs="宋体"/>
          <w:color w:val="auto"/>
          <w:kern w:val="0"/>
          <w:sz w:val="24"/>
          <w:lang w:val="en-US" w:eastAsia="zh-CN" w:bidi="ar"/>
        </w:rPr>
        <w:t>2511.2</w:t>
      </w:r>
      <w:r>
        <w:rPr>
          <w:rFonts w:hint="eastAsia" w:ascii="Times New Roman" w:hAnsi="Times New Roman" w:eastAsia="宋体" w:cs="宋体"/>
          <w:color w:val="auto"/>
          <w:kern w:val="0"/>
          <w:sz w:val="24"/>
          <w:lang w:val="en-US" w:eastAsia="zh-CN" w:bidi="ar"/>
        </w:rPr>
        <w:t>m</w:t>
      </w:r>
      <w:r>
        <w:rPr>
          <w:rFonts w:hint="eastAsia" w:ascii="Times New Roman" w:hAnsi="Times New Roman" w:eastAsia="宋体" w:cs="宋体"/>
          <w:color w:val="auto"/>
          <w:kern w:val="0"/>
          <w:sz w:val="24"/>
          <w:vertAlign w:val="superscript"/>
          <w:lang w:val="en-US" w:eastAsia="zh-CN" w:bidi="ar"/>
        </w:rPr>
        <w:t>3</w:t>
      </w:r>
      <w:r>
        <w:rPr>
          <w:rFonts w:hint="eastAsia" w:ascii="Times New Roman" w:hAnsi="Times New Roman" w:eastAsia="宋体" w:cs="宋体"/>
          <w:color w:val="auto"/>
          <w:kern w:val="0"/>
          <w:sz w:val="24"/>
          <w:lang w:val="en-US" w:eastAsia="zh-CN" w:bidi="ar"/>
        </w:rPr>
        <w:t>/a，根据《江苏农业学报》2021年05期“沼液主要养分含量特征分析”结果显示沼液中N含量为1369.31mg/L，P含量为665.90mg/L，因此本项目氮供给量为</w:t>
      </w:r>
      <w:r>
        <w:rPr>
          <w:rFonts w:hint="eastAsia" w:ascii="Times New Roman" w:hAnsi="Times New Roman" w:eastAsia="宋体" w:cs="宋体"/>
          <w:color w:val="auto"/>
          <w:kern w:val="0"/>
          <w:sz w:val="24"/>
          <w:lang w:val="en-US" w:eastAsia="zh-CN" w:bidi="ar"/>
        </w:rPr>
        <w:t>3438.61</w:t>
      </w:r>
      <w:r>
        <w:rPr>
          <w:rFonts w:hint="eastAsia" w:ascii="Times New Roman" w:hAnsi="Times New Roman" w:eastAsia="宋体" w:cs="宋体"/>
          <w:color w:val="auto"/>
          <w:kern w:val="0"/>
          <w:sz w:val="24"/>
          <w:lang w:val="en-US" w:eastAsia="zh-CN" w:bidi="ar"/>
        </w:rPr>
        <w:t>kg/a，磷肥供给量为</w:t>
      </w:r>
      <w:r>
        <w:rPr>
          <w:rFonts w:hint="eastAsia" w:ascii="Times New Roman" w:hAnsi="Times New Roman" w:eastAsia="宋体" w:cs="宋体"/>
          <w:color w:val="auto"/>
          <w:kern w:val="0"/>
          <w:sz w:val="24"/>
          <w:lang w:val="en-US" w:eastAsia="zh-CN" w:bidi="ar"/>
        </w:rPr>
        <w:t>1672.21</w:t>
      </w:r>
      <w:r>
        <w:rPr>
          <w:rFonts w:hint="eastAsia" w:ascii="Times New Roman" w:hAnsi="Times New Roman" w:eastAsia="宋体" w:cs="宋体"/>
          <w:color w:val="auto"/>
          <w:kern w:val="0"/>
          <w:sz w:val="24"/>
          <w:lang w:val="en-US" w:eastAsia="zh-CN" w:bidi="ar"/>
        </w:rPr>
        <w:t>kg/a</w:t>
      </w:r>
      <w:r>
        <w:rPr>
          <w:rFonts w:hint="eastAsia" w:ascii="Times New Roman" w:hAnsi="Times New Roman" w:eastAsia="宋体" w:cs="宋体"/>
          <w:color w:val="auto"/>
          <w:kern w:val="0"/>
          <w:sz w:val="24"/>
          <w:lang w:val="en-US" w:eastAsia="zh-CN" w:bidi="ar"/>
        </w:rPr>
        <w:t>，按照</w:t>
      </w:r>
      <w:r>
        <w:rPr>
          <w:rFonts w:hint="eastAsia" w:ascii="Times New Roman" w:hAnsi="Times New Roman" w:eastAsia="宋体" w:cs="宋体"/>
          <w:color w:val="auto"/>
          <w:kern w:val="0"/>
          <w:sz w:val="24"/>
          <w:lang w:val="en-US" w:eastAsia="zh-CN" w:bidi="ar"/>
        </w:rPr>
        <w:t>氮供给量</w:t>
      </w:r>
      <w:r>
        <w:rPr>
          <w:rFonts w:hint="eastAsia" w:ascii="Times New Roman" w:hAnsi="Times New Roman" w:eastAsia="宋体" w:cs="宋体"/>
          <w:color w:val="auto"/>
          <w:kern w:val="0"/>
          <w:sz w:val="24"/>
          <w:lang w:val="en-US" w:eastAsia="zh-CN" w:bidi="ar"/>
        </w:rPr>
        <w:t>核算消纳林地面积</w:t>
      </w:r>
      <w:r>
        <w:rPr>
          <w:rFonts w:hint="eastAsia" w:ascii="Times New Roman" w:hAnsi="Times New Roman" w:eastAsia="宋体" w:cs="宋体"/>
          <w:color w:val="auto"/>
          <w:kern w:val="0"/>
          <w:sz w:val="24"/>
          <w:lang w:val="en-US" w:eastAsia="zh-CN" w:bidi="ar"/>
        </w:rPr>
        <w:t>。</w:t>
      </w:r>
    </w:p>
    <w:p w14:paraId="6AE83A2C">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单位土地液肥养分需求量=（单位土地养分需求量×施肥供给养分占比×液肥占施肥比例）/液肥当季利用率</w:t>
      </w:r>
    </w:p>
    <w:p w14:paraId="6A0CAD1B">
      <w:pPr>
        <w:widowControl/>
        <w:spacing w:line="360" w:lineRule="auto"/>
        <w:ind w:firstLine="480" w:firstLineChars="200"/>
        <w:jc w:val="left"/>
        <w:rPr>
          <w:rFonts w:hint="eastAsia" w:ascii="Times New Roman" w:hAnsi="Times New Roman" w:eastAsia="宋体" w:cs="宋体"/>
          <w:color w:val="auto"/>
          <w:kern w:val="0"/>
          <w:sz w:val="24"/>
          <w:highlight w:val="none"/>
          <w:lang w:val="en-US" w:eastAsia="zh-CN" w:bidi="ar"/>
        </w:rPr>
      </w:pPr>
      <w:r>
        <w:rPr>
          <w:rFonts w:hint="eastAsia" w:ascii="Times New Roman" w:hAnsi="Times New Roman" w:eastAsia="宋体" w:cs="宋体"/>
          <w:color w:val="auto"/>
          <w:kern w:val="0"/>
          <w:sz w:val="24"/>
          <w:lang w:val="en-US" w:eastAsia="zh-CN" w:bidi="ar"/>
        </w:rPr>
        <w:t>单位土地养分需求量</w:t>
      </w:r>
      <w:r>
        <w:rPr>
          <w:rFonts w:hint="eastAsia" w:ascii="Times New Roman" w:hAnsi="Times New Roman" w:eastAsia="宋体" w:cs="宋体"/>
          <w:color w:val="auto"/>
          <w:kern w:val="0"/>
          <w:sz w:val="24"/>
          <w:highlight w:val="none"/>
          <w:lang w:val="en-US" w:eastAsia="zh-CN" w:bidi="ar"/>
        </w:rPr>
        <w:t>：根据《畜禽粪污土地承载力测算技术指南》，单位土地养分需求量为规模养殖场单位面积配套土地种植的各类植物在目标产量下的氮（磷）养分需求量之和；由《指南》中的表</w:t>
      </w:r>
      <w:r>
        <w:rPr>
          <w:rFonts w:hint="eastAsia" w:ascii="Times New Roman" w:hAnsi="Times New Roman" w:eastAsia="宋体" w:cs="宋体"/>
          <w:color w:val="auto"/>
          <w:kern w:val="0"/>
          <w:sz w:val="24"/>
          <w:highlight w:val="none"/>
          <w:lang w:val="en-US" w:eastAsia="zh-CN" w:bidi="ar"/>
        </w:rPr>
        <w:t>3-</w:t>
      </w:r>
      <w:r>
        <w:rPr>
          <w:rFonts w:hint="eastAsia" w:ascii="Times New Roman" w:hAnsi="Times New Roman" w:eastAsia="宋体" w:cs="宋体"/>
          <w:color w:val="auto"/>
          <w:kern w:val="0"/>
          <w:sz w:val="24"/>
          <w:highlight w:val="none"/>
          <w:lang w:val="en-US" w:eastAsia="zh-CN" w:bidi="ar"/>
        </w:rPr>
        <w:t>1</w:t>
      </w:r>
      <w:r>
        <w:rPr>
          <w:rFonts w:hint="eastAsia" w:ascii="Times New Roman" w:hAnsi="Times New Roman" w:eastAsia="宋体" w:cs="宋体"/>
          <w:color w:val="auto"/>
          <w:kern w:val="0"/>
          <w:sz w:val="24"/>
          <w:highlight w:val="none"/>
          <w:lang w:val="en-US" w:eastAsia="zh-CN" w:bidi="ar"/>
        </w:rPr>
        <w:t>和3-2</w:t>
      </w:r>
      <w:r>
        <w:rPr>
          <w:rFonts w:hint="eastAsia" w:ascii="Times New Roman" w:hAnsi="Times New Roman" w:eastAsia="宋体" w:cs="宋体"/>
          <w:color w:val="auto"/>
          <w:kern w:val="0"/>
          <w:sz w:val="24"/>
          <w:highlight w:val="none"/>
          <w:lang w:val="en-US" w:eastAsia="zh-CN" w:bidi="ar"/>
        </w:rPr>
        <w:t>可知</w:t>
      </w:r>
      <w:r>
        <w:rPr>
          <w:rFonts w:hint="eastAsia" w:ascii="Times New Roman" w:hAnsi="Times New Roman" w:eastAsia="宋体" w:cs="宋体"/>
          <w:color w:val="auto"/>
          <w:kern w:val="0"/>
          <w:sz w:val="24"/>
          <w:highlight w:val="none"/>
          <w:lang w:val="en-US" w:eastAsia="zh-CN" w:bidi="ar"/>
        </w:rPr>
        <w:t>人工林地每公顷</w:t>
      </w:r>
      <w:r>
        <w:rPr>
          <w:rFonts w:hint="eastAsia" w:ascii="Times New Roman" w:hAnsi="Times New Roman" w:eastAsia="宋体" w:cs="宋体"/>
          <w:color w:val="auto"/>
          <w:kern w:val="0"/>
          <w:sz w:val="24"/>
          <w:highlight w:val="none"/>
          <w:lang w:val="en-US" w:eastAsia="zh-CN" w:bidi="ar"/>
        </w:rPr>
        <w:t>需要吸收氮量为</w:t>
      </w:r>
      <w:r>
        <w:rPr>
          <w:rFonts w:hint="eastAsia" w:ascii="Times New Roman" w:hAnsi="Times New Roman" w:eastAsia="宋体" w:cs="宋体"/>
          <w:color w:val="auto"/>
          <w:kern w:val="0"/>
          <w:sz w:val="24"/>
          <w:highlight w:val="none"/>
          <w:lang w:val="en-US" w:eastAsia="zh-CN" w:bidi="ar"/>
        </w:rPr>
        <w:t>50</w:t>
      </w:r>
      <w:r>
        <w:rPr>
          <w:rFonts w:hint="eastAsia" w:ascii="Times New Roman" w:hAnsi="Times New Roman" w:eastAsia="宋体" w:cs="宋体"/>
          <w:color w:val="auto"/>
          <w:kern w:val="0"/>
          <w:sz w:val="24"/>
          <w:highlight w:val="none"/>
          <w:lang w:val="en-US" w:eastAsia="zh-CN" w:bidi="ar"/>
        </w:rPr>
        <w:t>kg</w:t>
      </w:r>
      <w:r>
        <w:rPr>
          <w:rFonts w:hint="eastAsia" w:ascii="Times New Roman" w:hAnsi="Times New Roman" w:eastAsia="宋体" w:cs="宋体"/>
          <w:color w:val="auto"/>
          <w:kern w:val="0"/>
          <w:sz w:val="24"/>
          <w:highlight w:val="none"/>
          <w:lang w:val="en-US" w:eastAsia="zh-CN" w:bidi="ar"/>
        </w:rPr>
        <w:t>、磷</w:t>
      </w:r>
      <w:r>
        <w:rPr>
          <w:rFonts w:hint="eastAsia" w:ascii="Times New Roman" w:hAnsi="Times New Roman" w:eastAsia="宋体" w:cs="宋体"/>
          <w:color w:val="auto"/>
          <w:kern w:val="0"/>
          <w:sz w:val="24"/>
          <w:highlight w:val="none"/>
          <w:lang w:val="en-US" w:eastAsia="zh-CN" w:bidi="ar"/>
        </w:rPr>
        <w:t>量为</w:t>
      </w:r>
      <w:r>
        <w:rPr>
          <w:rFonts w:hint="eastAsia" w:ascii="Times New Roman" w:hAnsi="Times New Roman" w:eastAsia="宋体" w:cs="宋体"/>
          <w:color w:val="auto"/>
          <w:kern w:val="0"/>
          <w:sz w:val="24"/>
          <w:highlight w:val="none"/>
          <w:lang w:val="en-US" w:eastAsia="zh-CN" w:bidi="ar"/>
        </w:rPr>
        <w:t>50</w:t>
      </w:r>
      <w:r>
        <w:rPr>
          <w:rFonts w:hint="eastAsia" w:ascii="Times New Roman" w:hAnsi="Times New Roman" w:eastAsia="宋体" w:cs="宋体"/>
          <w:color w:val="auto"/>
          <w:kern w:val="0"/>
          <w:sz w:val="24"/>
          <w:highlight w:val="none"/>
          <w:lang w:val="en-US" w:eastAsia="zh-CN" w:bidi="ar"/>
        </w:rPr>
        <w:t>kg；</w:t>
      </w:r>
    </w:p>
    <w:p w14:paraId="0359E038">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施肥供给养分占比：</w:t>
      </w:r>
      <w:r>
        <w:rPr>
          <w:rFonts w:hint="eastAsia" w:ascii="Times New Roman" w:hAnsi="Times New Roman" w:eastAsia="宋体" w:cs="宋体"/>
          <w:color w:val="auto"/>
          <w:kern w:val="0"/>
          <w:sz w:val="24"/>
          <w:lang w:val="en-US" w:eastAsia="zh-CN" w:bidi="ar"/>
        </w:rPr>
        <w:t>木垒县</w:t>
      </w:r>
      <w:r>
        <w:rPr>
          <w:rFonts w:hint="eastAsia" w:ascii="Times New Roman" w:hAnsi="Times New Roman" w:eastAsia="宋体" w:cs="宋体"/>
          <w:color w:val="auto"/>
          <w:kern w:val="0"/>
          <w:sz w:val="24"/>
          <w:lang w:val="en-US" w:eastAsia="zh-CN" w:bidi="ar"/>
        </w:rPr>
        <w:t>土壤全氮含量</w:t>
      </w:r>
      <w:r>
        <w:rPr>
          <w:rFonts w:hint="eastAsia" w:ascii="Times New Roman" w:hAnsi="Times New Roman" w:eastAsia="宋体" w:cs="宋体"/>
          <w:color w:val="auto"/>
          <w:kern w:val="0"/>
          <w:sz w:val="24"/>
          <w:lang w:val="en-US" w:eastAsia="zh-CN" w:bidi="ar"/>
        </w:rPr>
        <w:t>0.7~1.5</w:t>
      </w:r>
      <w:r>
        <w:rPr>
          <w:rFonts w:hint="eastAsia" w:ascii="Times New Roman" w:hAnsi="Times New Roman" w:eastAsia="宋体" w:cs="宋体"/>
          <w:color w:val="auto"/>
          <w:kern w:val="0"/>
          <w:sz w:val="24"/>
          <w:lang w:val="en-US" w:eastAsia="zh-CN" w:bidi="ar"/>
        </w:rPr>
        <w:t xml:space="preserve"> g/kg，</w:t>
      </w:r>
      <w:r>
        <w:rPr>
          <w:rFonts w:hint="eastAsia" w:ascii="Times New Roman" w:hAnsi="Times New Roman" w:eastAsia="宋体" w:cs="宋体"/>
          <w:color w:val="auto"/>
          <w:kern w:val="0"/>
          <w:sz w:val="24"/>
          <w:lang w:val="en-US" w:eastAsia="zh-CN" w:bidi="ar"/>
        </w:rPr>
        <w:t>本项目取1.0</w:t>
      </w:r>
      <w:r>
        <w:rPr>
          <w:rFonts w:hint="eastAsia" w:ascii="Times New Roman" w:hAnsi="Times New Roman" w:eastAsia="宋体" w:cs="宋体"/>
          <w:color w:val="auto"/>
          <w:kern w:val="0"/>
          <w:sz w:val="24"/>
          <w:lang w:val="en-US" w:eastAsia="zh-CN" w:bidi="ar"/>
        </w:rPr>
        <w:t>g/kg</w:t>
      </w:r>
      <w:r>
        <w:rPr>
          <w:rFonts w:hint="eastAsia" w:ascii="Times New Roman" w:hAnsi="Times New Roman" w:eastAsia="宋体" w:cs="宋体"/>
          <w:color w:val="auto"/>
          <w:kern w:val="0"/>
          <w:sz w:val="24"/>
          <w:lang w:val="en-US" w:eastAsia="zh-CN" w:bidi="ar"/>
        </w:rPr>
        <w:t>，</w:t>
      </w:r>
      <w:r>
        <w:rPr>
          <w:rFonts w:hint="eastAsia" w:ascii="Times New Roman" w:hAnsi="Times New Roman" w:eastAsia="宋体" w:cs="宋体"/>
          <w:color w:val="auto"/>
          <w:kern w:val="0"/>
          <w:sz w:val="24"/>
          <w:lang w:val="en-US" w:eastAsia="zh-CN" w:bidi="ar"/>
        </w:rPr>
        <w:t>耕地为旱地，结合《畜禽粪污土地承载力测算技术指南》中表2，土壤养分水平为</w:t>
      </w:r>
      <w:r>
        <w:rPr>
          <w:rFonts w:hint="eastAsia" w:ascii="Times New Roman" w:hAnsi="Times New Roman" w:eastAsia="宋体" w:cs="宋体"/>
          <w:color w:val="auto"/>
          <w:kern w:val="0"/>
          <w:sz w:val="24"/>
          <w:lang w:val="en-US" w:eastAsia="zh-CN" w:bidi="ar"/>
        </w:rPr>
        <w:t>Ⅱ</w:t>
      </w:r>
      <w:r>
        <w:rPr>
          <w:rFonts w:hint="eastAsia" w:ascii="Times New Roman" w:hAnsi="Times New Roman" w:eastAsia="宋体" w:cs="宋体"/>
          <w:color w:val="auto"/>
          <w:kern w:val="0"/>
          <w:sz w:val="24"/>
          <w:lang w:val="en-US" w:eastAsia="zh-CN" w:bidi="ar"/>
        </w:rPr>
        <w:t>类土壤，本次施肥供给占比取</w:t>
      </w:r>
      <w:r>
        <w:rPr>
          <w:rFonts w:hint="eastAsia" w:ascii="Times New Roman" w:hAnsi="Times New Roman" w:eastAsia="宋体" w:cs="宋体"/>
          <w:color w:val="auto"/>
          <w:kern w:val="0"/>
          <w:sz w:val="24"/>
          <w:lang w:val="en-US" w:eastAsia="zh-CN" w:bidi="ar"/>
        </w:rPr>
        <w:t>45</w:t>
      </w:r>
      <w:r>
        <w:rPr>
          <w:rFonts w:hint="eastAsia" w:ascii="Times New Roman" w:hAnsi="Times New Roman" w:eastAsia="宋体" w:cs="宋体"/>
          <w:color w:val="auto"/>
          <w:kern w:val="0"/>
          <w:sz w:val="24"/>
          <w:lang w:val="en-US" w:eastAsia="zh-CN" w:bidi="ar"/>
        </w:rPr>
        <w:t>%；</w:t>
      </w:r>
    </w:p>
    <w:p w14:paraId="29FB7E0A">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液肥占施肥比例：70%（根据当地实际情况确定，本项目取70%）；</w:t>
      </w:r>
    </w:p>
    <w:p w14:paraId="301F1A3A">
      <w:pPr>
        <w:widowControl/>
        <w:spacing w:line="360" w:lineRule="auto"/>
        <w:ind w:firstLine="480" w:firstLineChars="200"/>
        <w:jc w:val="left"/>
        <w:rPr>
          <w:rFonts w:hint="eastAsia" w:ascii="Times New Roman" w:hAnsi="Times New Roman" w:eastAsia="宋体" w:cs="宋体"/>
          <w:color w:val="auto"/>
          <w:kern w:val="0"/>
          <w:sz w:val="24"/>
          <w:lang w:val="en-US" w:eastAsia="zh-CN" w:bidi="ar"/>
        </w:rPr>
      </w:pPr>
      <w:r>
        <w:rPr>
          <w:rFonts w:hint="eastAsia" w:ascii="Times New Roman" w:hAnsi="Times New Roman" w:eastAsia="宋体" w:cs="宋体"/>
          <w:color w:val="auto"/>
          <w:kern w:val="0"/>
          <w:sz w:val="24"/>
          <w:lang w:val="en-US" w:eastAsia="zh-CN" w:bidi="ar"/>
        </w:rPr>
        <w:t>液肥当季利用率：25%（液肥中氮素当季利用率推荐值为25%～30%，具体根据当地实际情况确定，本项目取25%）；</w:t>
      </w:r>
    </w:p>
    <w:p w14:paraId="72338AB8">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ascii="Times New Roman" w:hAnsi="Times New Roman" w:eastAsia="宋体" w:cs="宋体"/>
          <w:color w:val="auto"/>
          <w:kern w:val="0"/>
          <w:sz w:val="24"/>
          <w:highlight w:val="none"/>
          <w:lang w:val="en-US" w:eastAsia="zh-CN" w:bidi="ar"/>
        </w:rPr>
        <w:t>项目区</w:t>
      </w:r>
      <w:r>
        <w:rPr>
          <w:rFonts w:hint="eastAsia" w:ascii="Times New Roman" w:hAnsi="Times New Roman" w:eastAsia="宋体" w:cs="宋体"/>
          <w:color w:val="auto"/>
          <w:kern w:val="0"/>
          <w:sz w:val="24"/>
          <w:highlight w:val="none"/>
          <w:lang w:val="en-US" w:eastAsia="zh-CN" w:bidi="ar"/>
        </w:rPr>
        <w:t>周边人工林地液肥需求量</w:t>
      </w:r>
      <w:r>
        <w:rPr>
          <w:rFonts w:hint="eastAsia" w:ascii="Times New Roman" w:hAnsi="Times New Roman" w:eastAsia="宋体" w:cs="宋体"/>
          <w:color w:val="auto"/>
          <w:kern w:val="0"/>
          <w:sz w:val="24"/>
          <w:highlight w:val="none"/>
          <w:lang w:val="en-US" w:eastAsia="zh-CN" w:bidi="ar"/>
        </w:rPr>
        <w:t>为</w:t>
      </w:r>
      <w:r>
        <w:rPr>
          <w:rFonts w:hint="eastAsia" w:ascii="Times New Roman" w:hAnsi="Times New Roman" w:eastAsia="宋体" w:cs="宋体"/>
          <w:color w:val="auto"/>
          <w:kern w:val="0"/>
          <w:sz w:val="24"/>
          <w:highlight w:val="none"/>
          <w:lang w:val="en-US" w:eastAsia="zh-CN" w:bidi="ar"/>
        </w:rPr>
        <w:t>63</w:t>
      </w:r>
      <w:r>
        <w:rPr>
          <w:rFonts w:hint="eastAsia" w:ascii="Times New Roman" w:hAnsi="Times New Roman" w:eastAsia="宋体" w:cs="宋体"/>
          <w:color w:val="auto"/>
          <w:kern w:val="0"/>
          <w:sz w:val="24"/>
          <w:highlight w:val="none"/>
          <w:lang w:val="en-US" w:eastAsia="zh-CN" w:bidi="ar"/>
        </w:rPr>
        <w:t>kg/</w:t>
      </w:r>
      <w:r>
        <w:rPr>
          <w:rFonts w:hint="eastAsia" w:ascii="Times New Roman" w:hAnsi="Times New Roman" w:eastAsia="宋体" w:cs="宋体"/>
          <w:color w:val="auto"/>
          <w:kern w:val="0"/>
          <w:sz w:val="24"/>
          <w:highlight w:val="none"/>
          <w:lang w:val="en-US" w:eastAsia="zh-CN" w:bidi="ar"/>
        </w:rPr>
        <w:t>公顷</w:t>
      </w:r>
      <w:r>
        <w:rPr>
          <w:rFonts w:hint="eastAsia" w:ascii="Times New Roman" w:hAnsi="Times New Roman" w:eastAsia="宋体" w:cs="宋体"/>
          <w:color w:val="auto"/>
          <w:kern w:val="0"/>
          <w:sz w:val="24"/>
          <w:highlight w:val="none"/>
          <w:lang w:val="en-US" w:eastAsia="zh-CN" w:bidi="ar"/>
        </w:rPr>
        <w:t>；经计算，本项目配套消纳地面积约为</w:t>
      </w:r>
      <w:r>
        <w:rPr>
          <w:rFonts w:hint="eastAsia" w:ascii="Times New Roman" w:hAnsi="Times New Roman" w:eastAsia="宋体" w:cs="宋体"/>
          <w:color w:val="auto"/>
          <w:kern w:val="0"/>
          <w:sz w:val="24"/>
          <w:highlight w:val="none"/>
          <w:lang w:val="en-US" w:eastAsia="zh-CN" w:bidi="ar"/>
        </w:rPr>
        <w:t>55公顷（825亩）</w:t>
      </w:r>
      <w:r>
        <w:rPr>
          <w:rFonts w:hint="eastAsia" w:ascii="Times New Roman" w:hAnsi="Times New Roman" w:eastAsia="宋体" w:cs="宋体"/>
          <w:color w:val="auto"/>
          <w:kern w:val="0"/>
          <w:sz w:val="24"/>
          <w:highlight w:val="none"/>
          <w:lang w:val="en-US" w:eastAsia="zh-CN" w:bidi="ar"/>
        </w:rPr>
        <w:t>，</w:t>
      </w:r>
      <w:r>
        <w:rPr>
          <w:rFonts w:hint="eastAsia" w:ascii="Times New Roman" w:hAnsi="Times New Roman" w:eastAsia="宋体" w:cs="宋体"/>
          <w:color w:val="auto"/>
          <w:kern w:val="0"/>
          <w:sz w:val="24"/>
          <w:highlight w:val="none"/>
          <w:lang w:val="en-US" w:eastAsia="zh-CN" w:bidi="ar"/>
        </w:rPr>
        <w:t>博斯坦乡总计林地面积6750亩</w:t>
      </w:r>
      <w:r>
        <w:rPr>
          <w:rFonts w:hint="eastAsia" w:ascii="Times New Roman" w:hAnsi="Times New Roman" w:eastAsia="宋体" w:cs="宋体"/>
          <w:color w:val="auto"/>
          <w:kern w:val="0"/>
          <w:sz w:val="24"/>
          <w:highlight w:val="none"/>
          <w:lang w:val="en-US" w:eastAsia="zh-CN" w:bidi="ar"/>
        </w:rPr>
        <w:t>，</w:t>
      </w:r>
      <w:r>
        <w:rPr>
          <w:rFonts w:hint="eastAsia" w:ascii="Times New Roman" w:hAnsi="Times New Roman" w:eastAsia="宋体" w:cs="Times New Roman"/>
          <w:color w:val="auto"/>
          <w:sz w:val="24"/>
          <w:szCs w:val="24"/>
          <w:lang w:val="en-US" w:eastAsia="zh-CN"/>
        </w:rPr>
        <w:t>可完全消纳本项目产生的液肥，</w:t>
      </w:r>
      <w:r>
        <w:rPr>
          <w:rFonts w:hint="default" w:ascii="Times New Roman" w:hAnsi="Times New Roman" w:eastAsia="宋体" w:cs="Times New Roman"/>
          <w:color w:val="auto"/>
          <w:sz w:val="24"/>
          <w:szCs w:val="24"/>
          <w:lang w:val="en-US" w:eastAsia="zh-CN"/>
        </w:rPr>
        <w:t>不会超过</w:t>
      </w:r>
      <w:r>
        <w:rPr>
          <w:rFonts w:hint="eastAsia" w:ascii="Times New Roman" w:hAnsi="Times New Roman" w:eastAsia="宋体" w:cs="Times New Roman"/>
          <w:color w:val="auto"/>
          <w:sz w:val="24"/>
          <w:szCs w:val="24"/>
          <w:lang w:val="en-US" w:eastAsia="zh-CN"/>
        </w:rPr>
        <w:t>林地</w:t>
      </w:r>
      <w:r>
        <w:rPr>
          <w:rFonts w:hint="default" w:ascii="Times New Roman" w:hAnsi="Times New Roman" w:eastAsia="宋体" w:cs="Times New Roman"/>
          <w:color w:val="auto"/>
          <w:sz w:val="24"/>
          <w:szCs w:val="24"/>
          <w:lang w:val="en-US" w:eastAsia="zh-CN"/>
        </w:rPr>
        <w:t>的肥力承载力。</w:t>
      </w:r>
    </w:p>
    <w:p w14:paraId="6B771F2F">
      <w:pPr>
        <w:widowControl/>
        <w:spacing w:line="360" w:lineRule="auto"/>
        <w:ind w:firstLine="480" w:firstLineChars="200"/>
        <w:jc w:val="left"/>
        <w:rPr>
          <w:rFonts w:hint="default" w:ascii="Times New Roman" w:hAnsi="Times New Roman" w:eastAsia="宋体"/>
          <w:color w:val="auto"/>
          <w:lang w:val="en-US" w:eastAsia="zh-CN"/>
        </w:rPr>
      </w:pPr>
      <w:r>
        <w:rPr>
          <w:rFonts w:hint="eastAsia" w:ascii="Times New Roman" w:hAnsi="Times New Roman" w:eastAsia="宋体" w:cs="Times New Roman"/>
          <w:color w:val="auto"/>
          <w:sz w:val="24"/>
          <w:szCs w:val="24"/>
          <w:lang w:val="en-US" w:eastAsia="zh-CN"/>
        </w:rPr>
        <w:t>综上所述，本项目采取的污水防治措施可行。</w:t>
      </w:r>
    </w:p>
    <w:p w14:paraId="0F290624">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6.2.2.3</w:t>
      </w:r>
      <w:r>
        <w:rPr>
          <w:rFonts w:ascii="Times New Roman" w:hAnsi="Times New Roman" w:eastAsia="宋体"/>
          <w:strike w:val="0"/>
          <w:dstrike w:val="0"/>
          <w:color w:val="auto"/>
          <w:highlight w:val="none"/>
        </w:rPr>
        <w:t>地下水</w:t>
      </w:r>
      <w:r>
        <w:rPr>
          <w:rFonts w:hint="eastAsia" w:ascii="Times New Roman" w:hAnsi="Times New Roman" w:eastAsia="宋体"/>
          <w:strike w:val="0"/>
          <w:dstrike w:val="0"/>
          <w:color w:val="auto"/>
          <w:highlight w:val="none"/>
        </w:rPr>
        <w:t>污染防治措施</w:t>
      </w:r>
    </w:p>
    <w:p w14:paraId="57192BB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1、防控措施</w:t>
      </w:r>
    </w:p>
    <w:p w14:paraId="5D9FA07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为了进一步保护所在区域地下水资源，本工程在设计上对</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等采取以下防渗处理措施：</w:t>
      </w:r>
    </w:p>
    <w:p w14:paraId="2B6CAE6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渗漏等进入地下水含水层，可能造成地下水污染，需重点防渗和防腐</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本项目地下水埋深约60~80m。因此</w:t>
      </w:r>
      <w:r>
        <w:rPr>
          <w:rFonts w:hint="eastAsia" w:ascii="Times New Roman" w:hAnsi="Times New Roman" w:eastAsia="宋体"/>
          <w:strike w:val="0"/>
          <w:dstrike w:val="0"/>
          <w:color w:val="auto"/>
          <w:highlight w:val="none"/>
        </w:rPr>
        <w:t>本项目必须加强对</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暂存间和临时</w:t>
      </w:r>
      <w:r>
        <w:rPr>
          <w:rFonts w:hint="eastAsia" w:ascii="Times New Roman" w:hAnsi="Times New Roman" w:eastAsia="宋体"/>
          <w:strike w:val="0"/>
          <w:dstrike w:val="0"/>
          <w:color w:val="auto"/>
          <w:highlight w:val="none"/>
          <w:lang w:eastAsia="zh-CN"/>
        </w:rPr>
        <w:t>堆肥场</w:t>
      </w:r>
      <w:r>
        <w:rPr>
          <w:rFonts w:hint="eastAsia" w:ascii="Times New Roman" w:hAnsi="Times New Roman" w:eastAsia="宋体"/>
          <w:strike w:val="0"/>
          <w:dstrike w:val="0"/>
          <w:color w:val="auto"/>
          <w:highlight w:val="none"/>
        </w:rPr>
        <w:t>的防渗处理措施，</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暂存间严格按照《工业建筑防腐蚀设计</w:t>
      </w:r>
      <w:r>
        <w:rPr>
          <w:rFonts w:hint="eastAsia" w:ascii="Times New Roman" w:hAnsi="Times New Roman" w:eastAsia="宋体"/>
          <w:strike w:val="0"/>
          <w:dstrike w:val="0"/>
          <w:color w:val="auto"/>
          <w:highlight w:val="none"/>
          <w:lang w:val="en-US" w:eastAsia="zh-CN"/>
        </w:rPr>
        <w:t>标准</w:t>
      </w:r>
      <w:r>
        <w:rPr>
          <w:rFonts w:hint="eastAsia" w:ascii="Times New Roman" w:hAnsi="Times New Roman" w:eastAsia="宋体"/>
          <w:strike w:val="0"/>
          <w:dstrike w:val="0"/>
          <w:color w:val="auto"/>
          <w:highlight w:val="none"/>
        </w:rPr>
        <w:t>》(GB500446-</w:t>
      </w:r>
      <w:r>
        <w:rPr>
          <w:rFonts w:hint="eastAsia" w:ascii="Times New Roman" w:hAnsi="Times New Roman" w:eastAsia="宋体"/>
          <w:strike w:val="0"/>
          <w:dstrike w:val="0"/>
          <w:color w:val="auto"/>
          <w:highlight w:val="none"/>
          <w:lang w:val="en-US" w:eastAsia="zh-CN"/>
        </w:rPr>
        <w:t>2018</w:t>
      </w:r>
      <w:r>
        <w:rPr>
          <w:rFonts w:hint="eastAsia" w:ascii="Times New Roman" w:hAnsi="Times New Roman" w:eastAsia="宋体"/>
          <w:strike w:val="0"/>
          <w:dstrike w:val="0"/>
          <w:color w:val="auto"/>
          <w:highlight w:val="none"/>
        </w:rPr>
        <w:t>)、《建筑防腐蚀工程施工及验收规范》(GB50212-2014)、《环境影响评价技术导则地下水环境》(HJ610-2016)的要求对地坪进行防渗、防腐，对地坪进行防渗、防腐铺设基础防渗，防渗层为至少1m厚黏土层（渗透系数不大于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cm/s），或至少2 mm厚高密度聚乙烯膜等人工防渗材料（渗透系数不大于10</w:t>
      </w:r>
      <w:r>
        <w:rPr>
          <w:rFonts w:hint="eastAsia" w:ascii="Times New Roman" w:hAnsi="Times New Roman" w:eastAsia="宋体"/>
          <w:strike w:val="0"/>
          <w:dstrike w:val="0"/>
          <w:color w:val="auto"/>
          <w:highlight w:val="none"/>
          <w:vertAlign w:val="superscript"/>
        </w:rPr>
        <w:t>-10</w:t>
      </w:r>
      <w:r>
        <w:rPr>
          <w:rFonts w:hint="eastAsia" w:ascii="Times New Roman" w:hAnsi="Times New Roman" w:eastAsia="宋体"/>
          <w:strike w:val="0"/>
          <w:dstrike w:val="0"/>
          <w:color w:val="auto"/>
          <w:highlight w:val="none"/>
        </w:rPr>
        <w:t>cm/s），或其他防渗性能等效的材料。</w:t>
      </w:r>
    </w:p>
    <w:p w14:paraId="3CED4EF6">
      <w:pPr>
        <w:numPr>
          <w:ilvl w:val="0"/>
          <w:numId w:val="0"/>
        </w:numPr>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rPr>
        <w:t>本项目应设置明显的警示标志和责任监督牌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要求重点防渗区在施工时，保存质检报告。</w:t>
      </w:r>
    </w:p>
    <w:p w14:paraId="720A7DE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（2）对一般固废暂存区、养殖圈舍和周围地面等按一般防渗区采取防渗措施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底压实粘土层厚度要≥1m，满足渗透系数K≤1.0×10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cm/s；防渗粘土层上部及贮水池侧面铺设1.0mm高密度聚乙烯（HDPE）防渗膜（渗透系数K≤10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cm/s），在做好基层防渗的基础上进行水泥硬化</w:t>
      </w:r>
      <w:r>
        <w:rPr>
          <w:rFonts w:hint="eastAsia" w:ascii="Times New Roman" w:hAnsi="Times New Roman" w:eastAsia="宋体"/>
          <w:strike w:val="0"/>
          <w:dstrike w:val="0"/>
          <w:color w:val="auto"/>
          <w:highlight w:val="none"/>
          <w:lang w:eastAsia="zh-CN"/>
        </w:rPr>
        <w:t>。</w:t>
      </w:r>
    </w:p>
    <w:p w14:paraId="1476652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（3）其他建筑物及道路采取简单防渗，对其地面采用混凝土进行一般地面硬化</w:t>
      </w:r>
      <w:r>
        <w:rPr>
          <w:rFonts w:hint="eastAsia" w:ascii="Times New Roman" w:hAnsi="Times New Roman" w:eastAsia="宋体"/>
          <w:strike w:val="0"/>
          <w:dstrike w:val="0"/>
          <w:color w:val="auto"/>
          <w:highlight w:val="none"/>
          <w:lang w:eastAsia="zh-CN"/>
        </w:rPr>
        <w:t>。</w:t>
      </w:r>
    </w:p>
    <w:p w14:paraId="636C14D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（4）平时注意污水处理等设施的维护，确保系统正常运行</w:t>
      </w:r>
      <w:r>
        <w:rPr>
          <w:rFonts w:hint="eastAsia" w:ascii="Times New Roman" w:hAnsi="Times New Roman" w:eastAsia="宋体"/>
          <w:strike w:val="0"/>
          <w:dstrike w:val="0"/>
          <w:color w:val="auto"/>
          <w:highlight w:val="none"/>
          <w:lang w:eastAsia="zh-CN"/>
        </w:rPr>
        <w:t>。</w:t>
      </w:r>
    </w:p>
    <w:p w14:paraId="770D781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（5）确保污水管道质量，应用质量良好的管材，增加管段长度，减少管道接口，避免废水的跑、冒、滴、漏现象的发生</w:t>
      </w:r>
      <w:r>
        <w:rPr>
          <w:rFonts w:hint="eastAsia" w:ascii="Times New Roman" w:hAnsi="Times New Roman" w:eastAsia="宋体"/>
          <w:strike w:val="0"/>
          <w:dstrike w:val="0"/>
          <w:color w:val="auto"/>
          <w:highlight w:val="none"/>
          <w:lang w:eastAsia="zh-CN"/>
        </w:rPr>
        <w:t>。</w:t>
      </w:r>
    </w:p>
    <w:p w14:paraId="72A3AFF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（6）加强管理，建立巡逻制度，定期对场地进行检查，及时发现问题，查找隐患，杜绝污染物的外排</w:t>
      </w:r>
      <w:r>
        <w:rPr>
          <w:rFonts w:hint="eastAsia" w:ascii="Times New Roman" w:hAnsi="Times New Roman" w:eastAsia="宋体"/>
          <w:strike w:val="0"/>
          <w:dstrike w:val="0"/>
          <w:color w:val="auto"/>
          <w:highlight w:val="none"/>
          <w:lang w:eastAsia="zh-CN"/>
        </w:rPr>
        <w:t>。</w:t>
      </w:r>
    </w:p>
    <w:p w14:paraId="2BEEEE6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（7）应及时监控厂区周边地下水环境</w:t>
      </w:r>
      <w:r>
        <w:rPr>
          <w:rFonts w:hint="eastAsia" w:ascii="Times New Roman" w:hAnsi="Times New Roman" w:eastAsia="宋体"/>
          <w:strike w:val="0"/>
          <w:dstrike w:val="0"/>
          <w:color w:val="auto"/>
          <w:highlight w:val="none"/>
          <w:lang w:eastAsia="zh-CN"/>
        </w:rPr>
        <w:t>。</w:t>
      </w:r>
    </w:p>
    <w:p w14:paraId="67962A6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本项目对地下水的主要污染途径为废水渗透，在认真采取以上措施的基础上，一旦水泥硬化层发生断裂，由于防渗层的保护作用，废水不会对地下水源造成影响</w:t>
      </w:r>
      <w:r>
        <w:rPr>
          <w:rFonts w:hint="eastAsia" w:ascii="Times New Roman" w:hAnsi="Times New Roman" w:eastAsia="宋体"/>
          <w:strike w:val="0"/>
          <w:dstrike w:val="0"/>
          <w:color w:val="auto"/>
          <w:highlight w:val="none"/>
          <w:lang w:eastAsia="zh-CN"/>
        </w:rPr>
        <w:t>。</w:t>
      </w:r>
    </w:p>
    <w:p w14:paraId="23678ED0">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2、跟踪监测</w:t>
      </w:r>
    </w:p>
    <w:p w14:paraId="44CB059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定期对厂区周边地下水环境进行监测，委托具有资质的单位进行，监测报告应包括建设项目所在地及其影响区地下水环境跟踪监测数据，各生产设施及污染防控措施等设施的运行状况、维护记录，同时对监测结果进行信息公开，每年公开一次</w:t>
      </w:r>
      <w:r>
        <w:rPr>
          <w:rFonts w:hint="eastAsia" w:ascii="Times New Roman" w:hAnsi="Times New Roman" w:eastAsia="宋体"/>
          <w:strike w:val="0"/>
          <w:dstrike w:val="0"/>
          <w:color w:val="auto"/>
          <w:highlight w:val="none"/>
          <w:lang w:eastAsia="zh-CN"/>
        </w:rPr>
        <w:t>。</w:t>
      </w:r>
    </w:p>
    <w:p w14:paraId="2EAB6B5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经现场踏勘，建设单位将项目区上游、下游地下水井作为日后地下水监控井，与本项目所在区域属于同一水文地质单元，每年对地下水环境进行监测，监测项目为pH、COD、BOD、氨氮、粪大肠菌群，发现问题及时解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单位在运营过程中应认真落实跟踪监测的工作，专职人员应编写地下水环境跟踪监测报告，报告中的内容应包括：地下水跟踪监测的数据（污染物种类、数量、浓度），生产设备、管线、贮存和运输装置的运行情况，跑冒滴漏记录和维护记录</w:t>
      </w:r>
      <w:r>
        <w:rPr>
          <w:rFonts w:hint="eastAsia" w:ascii="Times New Roman" w:hAnsi="Times New Roman" w:eastAsia="宋体"/>
          <w:strike w:val="0"/>
          <w:dstrike w:val="0"/>
          <w:color w:val="auto"/>
          <w:highlight w:val="none"/>
          <w:lang w:eastAsia="zh-CN"/>
        </w:rPr>
        <w:t>。</w:t>
      </w:r>
    </w:p>
    <w:p w14:paraId="4FA02E6B">
      <w:pPr>
        <w:pStyle w:val="4"/>
        <w:rPr>
          <w:rFonts w:ascii="Times New Roman" w:hAnsi="Times New Roman" w:eastAsia="宋体"/>
          <w:strike w:val="0"/>
          <w:dstrike w:val="0"/>
          <w:color w:val="auto"/>
          <w:highlight w:val="none"/>
        </w:rPr>
      </w:pPr>
      <w:bookmarkStart w:id="306" w:name="_Toc1198"/>
      <w:bookmarkStart w:id="307" w:name="_Toc106663527"/>
      <w:r>
        <w:rPr>
          <w:rFonts w:hint="eastAsia" w:ascii="Times New Roman" w:hAnsi="Times New Roman" w:eastAsia="宋体"/>
          <w:strike w:val="0"/>
          <w:dstrike w:val="0"/>
          <w:color w:val="auto"/>
          <w:highlight w:val="none"/>
        </w:rPr>
        <w:t>6.2.3运营期噪声污染防治措施</w:t>
      </w:r>
      <w:bookmarkEnd w:id="306"/>
      <w:bookmarkEnd w:id="307"/>
    </w:p>
    <w:p w14:paraId="427589B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本项目的噪声源主要来源于场内</w:t>
      </w:r>
      <w:r>
        <w:rPr>
          <w:rFonts w:hint="eastAsia" w:ascii="Times New Roman" w:hAnsi="Times New Roman" w:eastAsia="宋体"/>
          <w:strike w:val="0"/>
          <w:dstrike w:val="0"/>
          <w:color w:val="auto"/>
          <w:highlight w:val="none"/>
          <w:lang w:val="en-US" w:eastAsia="zh-CN"/>
        </w:rPr>
        <w:t>骆驼叫</w:t>
      </w:r>
      <w:r>
        <w:rPr>
          <w:rFonts w:hint="eastAsia" w:ascii="Times New Roman" w:hAnsi="Times New Roman" w:eastAsia="宋体"/>
          <w:strike w:val="0"/>
          <w:dstrike w:val="0"/>
          <w:color w:val="auto"/>
          <w:highlight w:val="none"/>
        </w:rPr>
        <w:t>声、圈舍换气扇噪声、水泵、运输车辆等设备噪声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企业采取声源上降低噪声和从噪声传播途径上降低噪声两个环节着手：</w:t>
      </w:r>
    </w:p>
    <w:p w14:paraId="7D480FF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（1）企业选用低噪声设备，并使其处于良好的运转状态，同时对声源采用减震、消声措施</w:t>
      </w:r>
      <w:r>
        <w:rPr>
          <w:rFonts w:hint="eastAsia" w:ascii="Times New Roman" w:hAnsi="Times New Roman" w:eastAsia="宋体"/>
          <w:strike w:val="0"/>
          <w:dstrike w:val="0"/>
          <w:color w:val="auto"/>
          <w:highlight w:val="none"/>
          <w:lang w:eastAsia="zh-CN"/>
        </w:rPr>
        <w:t>。</w:t>
      </w:r>
    </w:p>
    <w:p w14:paraId="5C1085B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（2）在设备的基础与地面之间安装减振垫，减少机械振动产生的噪声污染</w:t>
      </w:r>
      <w:r>
        <w:rPr>
          <w:rFonts w:hint="eastAsia" w:ascii="Times New Roman" w:hAnsi="Times New Roman" w:eastAsia="宋体"/>
          <w:strike w:val="0"/>
          <w:dstrike w:val="0"/>
          <w:color w:val="auto"/>
          <w:highlight w:val="none"/>
          <w:lang w:eastAsia="zh-CN"/>
        </w:rPr>
        <w:t>。</w:t>
      </w:r>
    </w:p>
    <w:p w14:paraId="6DF4C7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（3）选取低噪声水泵，并将水泵设在各密闭机房，再经减震处理</w:t>
      </w:r>
      <w:r>
        <w:rPr>
          <w:rFonts w:hint="eastAsia" w:ascii="Times New Roman" w:hAnsi="Times New Roman" w:eastAsia="宋体"/>
          <w:strike w:val="0"/>
          <w:dstrike w:val="0"/>
          <w:color w:val="auto"/>
          <w:highlight w:val="none"/>
          <w:lang w:eastAsia="zh-CN"/>
        </w:rPr>
        <w:t>。</w:t>
      </w:r>
    </w:p>
    <w:p w14:paraId="15656A2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（4）加强场区机动车特别是货运机动车的管理，在场内不准随意鸣笛，达到预定停车位后及时熄火</w:t>
      </w:r>
      <w:r>
        <w:rPr>
          <w:rFonts w:hint="eastAsia" w:ascii="Times New Roman" w:hAnsi="Times New Roman" w:eastAsia="宋体"/>
          <w:strike w:val="0"/>
          <w:dstrike w:val="0"/>
          <w:color w:val="auto"/>
          <w:highlight w:val="none"/>
          <w:lang w:eastAsia="zh-CN"/>
        </w:rPr>
        <w:t>。</w:t>
      </w:r>
    </w:p>
    <w:p w14:paraId="6389811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）加强设备的维护，确保设备处于良好的运转状态，杜绝因设备不正常运转时产生的高噪声现象</w:t>
      </w:r>
      <w:r>
        <w:rPr>
          <w:rFonts w:hint="eastAsia" w:ascii="Times New Roman" w:hAnsi="Times New Roman" w:eastAsia="宋体"/>
          <w:strike w:val="0"/>
          <w:dstrike w:val="0"/>
          <w:color w:val="auto"/>
          <w:highlight w:val="none"/>
          <w:lang w:eastAsia="zh-CN"/>
        </w:rPr>
        <w:t>。</w:t>
      </w:r>
    </w:p>
    <w:p w14:paraId="06F4A3A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上述治理措施后可有效治理噪声污染，降低对周围声环境影响，产生较好的社会效益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同时根据项目厂界噪声实测结果可知，本项目运营期间噪声值满足《工业企业厂界环境噪声排放标准》（GB12348-2008）中</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类标准排放限值，噪声可满足达标排放要求</w:t>
      </w:r>
      <w:r>
        <w:rPr>
          <w:rFonts w:hint="eastAsia" w:ascii="Times New Roman" w:hAnsi="Times New Roman" w:eastAsia="宋体"/>
          <w:strike w:val="0"/>
          <w:dstrike w:val="0"/>
          <w:color w:val="auto"/>
          <w:highlight w:val="none"/>
          <w:lang w:eastAsia="zh-CN"/>
        </w:rPr>
        <w:t>。</w:t>
      </w:r>
    </w:p>
    <w:p w14:paraId="20058DFC">
      <w:pPr>
        <w:pStyle w:val="4"/>
        <w:rPr>
          <w:rFonts w:ascii="Times New Roman" w:hAnsi="Times New Roman" w:eastAsia="宋体"/>
          <w:strike w:val="0"/>
          <w:dstrike w:val="0"/>
          <w:color w:val="auto"/>
          <w:highlight w:val="none"/>
        </w:rPr>
      </w:pPr>
      <w:bookmarkStart w:id="308" w:name="_Toc106663528"/>
      <w:bookmarkStart w:id="309" w:name="_Toc13467"/>
      <w:r>
        <w:rPr>
          <w:rFonts w:hint="eastAsia" w:ascii="Times New Roman" w:hAnsi="Times New Roman" w:eastAsia="宋体"/>
          <w:strike w:val="0"/>
          <w:dstrike w:val="0"/>
          <w:color w:val="auto"/>
          <w:highlight w:val="none"/>
        </w:rPr>
        <w:t>6.2.4运营期固废污染防治措施</w:t>
      </w:r>
      <w:bookmarkEnd w:id="308"/>
      <w:bookmarkEnd w:id="309"/>
    </w:p>
    <w:p w14:paraId="64AEC3E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本项目产生的固体废物主要为</w:t>
      </w:r>
      <w:r>
        <w:rPr>
          <w:rFonts w:hint="eastAsia" w:ascii="Times New Roman" w:hAnsi="Times New Roman" w:eastAsia="宋体"/>
          <w:strike w:val="0"/>
          <w:dstrike w:val="0"/>
          <w:color w:val="auto"/>
          <w:highlight w:val="none"/>
          <w:lang w:eastAsia="zh-CN"/>
        </w:rPr>
        <w:t>骆驼粪便、病死骆驼、分娩废弃物（胎衣、死胎、胎盘附属物）、挤奶大厅废弃的一次性挤奶耗材、塑料奶管、废弃包装物、生活垃圾、医疗废物、黑膜池污泥。</w:t>
      </w:r>
    </w:p>
    <w:p w14:paraId="2B1774D2">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）骆驼粪便</w:t>
      </w:r>
    </w:p>
    <w:p w14:paraId="59C26F2B">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本项目</w:t>
      </w:r>
      <w:r>
        <w:rPr>
          <w:rFonts w:hint="eastAsia" w:ascii="Times New Roman" w:hAnsi="Times New Roman" w:eastAsia="宋体" w:cs="宋体"/>
          <w:strike w:val="0"/>
          <w:dstrike w:val="0"/>
          <w:color w:val="auto"/>
          <w:spacing w:val="0"/>
          <w:sz w:val="24"/>
          <w:szCs w:val="24"/>
          <w:highlight w:val="none"/>
          <w:lang w:val="en-US" w:eastAsia="zh-CN"/>
        </w:rPr>
        <w:t>骆驼粪便定期清运至堆肥场，经过处理后作为有机肥外售</w:t>
      </w:r>
      <w:r>
        <w:rPr>
          <w:rFonts w:hint="default" w:ascii="Times New Roman" w:hAnsi="Times New Roman" w:eastAsia="宋体"/>
          <w:strike w:val="0"/>
          <w:dstrike w:val="0"/>
          <w:color w:val="auto"/>
          <w:highlight w:val="none"/>
          <w:lang w:val="en-US" w:eastAsia="zh-CN"/>
        </w:rPr>
        <w:t>。</w:t>
      </w:r>
    </w:p>
    <w:p w14:paraId="5AB226C0">
      <w:pPr>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strike w:val="0"/>
          <w:dstrike w:val="0"/>
          <w:color w:val="auto"/>
          <w:highlight w:val="none"/>
          <w:lang w:val="en-US" w:eastAsia="zh-CN"/>
        </w:rPr>
        <w:t>①</w:t>
      </w:r>
      <w:r>
        <w:rPr>
          <w:rFonts w:hint="eastAsia" w:ascii="Times New Roman" w:hAnsi="Times New Roman" w:eastAsia="宋体" w:cs="Times New Roman"/>
          <w:color w:val="auto"/>
          <w:sz w:val="24"/>
          <w:szCs w:val="24"/>
          <w:lang w:val="en-US" w:eastAsia="zh-CN"/>
        </w:rPr>
        <w:t>堆粪场设计规模</w:t>
      </w:r>
    </w:p>
    <w:p w14:paraId="44F24314">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堆粪场地的设计应满足《畜禽养殖业污染治理工程技术规范》有关规定要求</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应建立收集堆肥渗滤液的贮存池</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应考虑防渗漏措施，不得对地下水造成污染</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应配置防雨淋设施和雨水排水系统。</w:t>
      </w:r>
    </w:p>
    <w:p w14:paraId="34E5B10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本项目堆粪场设计平面占地</w:t>
      </w:r>
      <w:r>
        <w:rPr>
          <w:rFonts w:hint="eastAsia" w:ascii="Times New Roman" w:hAnsi="Times New Roman" w:eastAsia="宋体" w:cs="Times New Roman"/>
          <w:color w:val="auto"/>
          <w:sz w:val="24"/>
          <w:szCs w:val="24"/>
          <w:lang w:val="en-US" w:eastAsia="zh-CN"/>
        </w:rPr>
        <w:t>2000m</w:t>
      </w:r>
      <w:r>
        <w:rPr>
          <w:rFonts w:hint="eastAsia" w:ascii="Times New Roman" w:hAnsi="Times New Roman" w:eastAsia="宋体"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按粪堆高度</w:t>
      </w:r>
      <w:r>
        <w:rPr>
          <w:rFonts w:hint="eastAsia"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m计算</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可堆放</w:t>
      </w:r>
      <w:r>
        <w:rPr>
          <w:rFonts w:hint="eastAsia" w:ascii="Times New Roman" w:hAnsi="Times New Roman" w:eastAsia="宋体" w:cs="Times New Roman"/>
          <w:color w:val="auto"/>
          <w:sz w:val="24"/>
          <w:szCs w:val="24"/>
          <w:lang w:val="en-US" w:eastAsia="zh-CN"/>
        </w:rPr>
        <w:t>6000</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olor w:val="auto"/>
          <w:sz w:val="24"/>
          <w:szCs w:val="24"/>
          <w:lang w:val="en-US" w:eastAsia="zh-CN"/>
        </w:rPr>
        <w:t>粪污（便）</w:t>
      </w:r>
      <w:r>
        <w:rPr>
          <w:rFonts w:hint="eastAsia" w:ascii="Times New Roman" w:hAnsi="Times New Roman" w:eastAsia="宋体" w:cs="Times New Roman"/>
          <w:color w:val="auto"/>
          <w:sz w:val="24"/>
          <w:szCs w:val="24"/>
          <w:lang w:val="en-US" w:eastAsia="zh-CN"/>
        </w:rPr>
        <w:t>及垫料</w:t>
      </w:r>
      <w:r>
        <w:rPr>
          <w:rFonts w:hint="eastAsia" w:ascii="Times New Roman" w:hAnsi="Times New Roman" w:eastAsia="宋体" w:cs="Times New Roman"/>
          <w:color w:val="auto"/>
          <w:sz w:val="24"/>
          <w:szCs w:val="28"/>
          <w:highlight w:val="none"/>
          <w:lang w:val="en-US" w:eastAsia="zh-CN"/>
        </w:rPr>
        <w:t>（密度约0.7t/m</w:t>
      </w:r>
      <w:r>
        <w:rPr>
          <w:rFonts w:hint="eastAsia" w:ascii="Times New Roman" w:hAnsi="Times New Roman" w:eastAsia="宋体" w:cs="Times New Roman"/>
          <w:color w:val="auto"/>
          <w:sz w:val="24"/>
          <w:szCs w:val="28"/>
          <w:highlight w:val="none"/>
          <w:vertAlign w:val="superscript"/>
          <w:lang w:val="en-US" w:eastAsia="zh-CN"/>
        </w:rPr>
        <w:t>3</w:t>
      </w:r>
      <w:r>
        <w:rPr>
          <w:rFonts w:hint="eastAsia" w:ascii="Times New Roman" w:hAnsi="Times New Roman" w:eastAsia="宋体" w:cs="Times New Roman"/>
          <w:color w:val="auto"/>
          <w:sz w:val="24"/>
          <w:szCs w:val="28"/>
          <w:highlight w:val="none"/>
          <w:lang w:val="en-US" w:eastAsia="zh-CN"/>
        </w:rPr>
        <w:t>），总计最大贮存量约</w:t>
      </w:r>
      <w:r>
        <w:rPr>
          <w:rFonts w:hint="eastAsia" w:ascii="Times New Roman" w:hAnsi="Times New Roman" w:eastAsia="宋体" w:cs="Times New Roman"/>
          <w:color w:val="auto"/>
          <w:sz w:val="24"/>
          <w:szCs w:val="28"/>
          <w:highlight w:val="none"/>
          <w:lang w:val="en-US" w:eastAsia="zh-CN"/>
        </w:rPr>
        <w:t>5400</w:t>
      </w:r>
      <w:r>
        <w:rPr>
          <w:rFonts w:hint="eastAsia" w:ascii="Times New Roman" w:hAnsi="Times New Roman" w:eastAsia="宋体" w:cs="Times New Roman"/>
          <w:color w:val="auto"/>
          <w:sz w:val="24"/>
          <w:szCs w:val="28"/>
          <w:highlight w:val="none"/>
          <w:lang w:val="en-US" w:eastAsia="zh-CN"/>
        </w:rPr>
        <w:t>吨。本项目总计产生</w:t>
      </w:r>
      <w:r>
        <w:rPr>
          <w:rFonts w:hint="eastAsia" w:ascii="Times New Roman" w:hAnsi="Times New Roman" w:eastAsia="宋体" w:cs="Times New Roman"/>
          <w:color w:val="auto"/>
          <w:sz w:val="24"/>
          <w:szCs w:val="28"/>
          <w:highlight w:val="none"/>
          <w:lang w:val="en-US" w:eastAsia="zh-CN"/>
        </w:rPr>
        <w:t>驼粪</w:t>
      </w:r>
      <w:r>
        <w:rPr>
          <w:rFonts w:hint="eastAsia" w:ascii="Times New Roman" w:hAnsi="Times New Roman" w:eastAsia="宋体" w:cs="Times New Roman"/>
          <w:color w:val="auto"/>
          <w:sz w:val="24"/>
          <w:szCs w:val="24"/>
          <w:highlight w:val="none"/>
          <w:lang w:val="en-US" w:eastAsia="zh-CN"/>
        </w:rPr>
        <w:t>4134.501</w:t>
      </w:r>
      <w:r>
        <w:rPr>
          <w:rFonts w:hint="default" w:ascii="Times New Roman" w:hAnsi="Times New Roman" w:eastAsia="宋体" w:cs="Times New Roman"/>
          <w:color w:val="auto"/>
          <w:sz w:val="24"/>
          <w:szCs w:val="24"/>
          <w:highlight w:val="none"/>
          <w:lang w:val="en-US" w:eastAsia="zh-CN"/>
        </w:rPr>
        <w:t>t/a</w:t>
      </w:r>
      <w:r>
        <w:rPr>
          <w:rFonts w:hint="eastAsia" w:ascii="Times New Roman" w:hAnsi="Times New Roman" w:eastAsia="宋体" w:cs="Times New Roman"/>
          <w:color w:val="auto"/>
          <w:sz w:val="24"/>
          <w:szCs w:val="24"/>
          <w:highlight w:val="none"/>
          <w:lang w:val="en-US" w:eastAsia="zh-CN"/>
        </w:rPr>
        <w:t>，6月产生量约为</w:t>
      </w:r>
      <w:r>
        <w:rPr>
          <w:rFonts w:hint="eastAsia" w:ascii="Times New Roman" w:hAnsi="Times New Roman" w:eastAsia="宋体" w:cs="Times New Roman"/>
          <w:color w:val="auto"/>
          <w:sz w:val="24"/>
          <w:szCs w:val="24"/>
          <w:highlight w:val="none"/>
          <w:lang w:val="en-US" w:eastAsia="zh-CN"/>
        </w:rPr>
        <w:t>2026</w:t>
      </w:r>
      <w:r>
        <w:rPr>
          <w:rFonts w:hint="eastAsia" w:ascii="Times New Roman" w:hAnsi="Times New Roman" w:eastAsia="宋体" w:cs="Times New Roman"/>
          <w:color w:val="auto"/>
          <w:sz w:val="24"/>
          <w:szCs w:val="24"/>
          <w:highlight w:val="none"/>
          <w:lang w:val="en-US" w:eastAsia="zh-CN"/>
        </w:rPr>
        <w:t>吨，可满足堆粪场收纳6月粪污及垫料的产生量，符合</w:t>
      </w:r>
      <w:r>
        <w:rPr>
          <w:rFonts w:hint="default" w:ascii="Times New Roman" w:hAnsi="Times New Roman" w:eastAsia="宋体" w:cs="Times New Roman"/>
          <w:color w:val="auto"/>
          <w:sz w:val="24"/>
          <w:szCs w:val="24"/>
        </w:rPr>
        <w:t>《畜禽养殖业污染治理工程技术规范》（HJ 497－2009）中间歇式堆肥工艺宜设有至少能容纳6个月粪便产生量的贮存设施的要求</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骆驼粪经过处理后作为有机肥外售</w:t>
      </w:r>
      <w:r>
        <w:rPr>
          <w:rFonts w:hint="default" w:ascii="Times New Roman" w:hAnsi="Times New Roman" w:eastAsia="宋体" w:cs="Times New Roman"/>
          <w:color w:val="auto"/>
          <w:sz w:val="24"/>
          <w:szCs w:val="24"/>
          <w:lang w:val="en-US" w:eastAsia="zh-CN"/>
        </w:rPr>
        <w:t>。</w:t>
      </w:r>
    </w:p>
    <w:p w14:paraId="0C2F8F0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olor w:val="auto"/>
          <w:sz w:val="24"/>
          <w:szCs w:val="24"/>
          <w:lang w:val="en-US" w:eastAsia="zh-CN"/>
        </w:rPr>
        <w:t>堆粪场</w:t>
      </w:r>
      <w:r>
        <w:rPr>
          <w:rFonts w:hint="default" w:ascii="Times New Roman" w:hAnsi="Times New Roman" w:eastAsia="宋体" w:cs="Times New Roman"/>
          <w:color w:val="auto"/>
          <w:sz w:val="24"/>
          <w:szCs w:val="24"/>
          <w:lang w:val="en-US" w:eastAsia="zh-CN"/>
        </w:rPr>
        <w:t>的设计具体内容如下</w:t>
      </w:r>
      <w:r>
        <w:rPr>
          <w:rFonts w:hint="eastAsia" w:ascii="Times New Roman" w:hAnsi="Times New Roman" w:eastAsia="宋体" w:cs="Times New Roman"/>
          <w:color w:val="auto"/>
          <w:sz w:val="24"/>
          <w:szCs w:val="24"/>
          <w:lang w:val="en-US" w:eastAsia="zh-CN"/>
        </w:rPr>
        <w:t>：</w:t>
      </w:r>
    </w:p>
    <w:p w14:paraId="5CD39DA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a、采用混凝土地坪，用水泥砂浆进行防渗处理</w:t>
      </w:r>
      <w:r>
        <w:rPr>
          <w:rFonts w:hint="eastAsia" w:ascii="Times New Roman" w:hAnsi="Times New Roman" w:eastAsia="宋体" w:cs="Times New Roman"/>
          <w:color w:val="auto"/>
          <w:sz w:val="24"/>
          <w:szCs w:val="24"/>
          <w:lang w:val="en-US" w:eastAsia="zh-CN"/>
        </w:rPr>
        <w:t>；</w:t>
      </w:r>
    </w:p>
    <w:p w14:paraId="58BB07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b、沿</w:t>
      </w:r>
      <w:r>
        <w:rPr>
          <w:rFonts w:hint="eastAsia" w:ascii="Times New Roman" w:hAnsi="Times New Roman" w:eastAsia="宋体" w:cs="Times New Roman"/>
          <w:color w:val="auto"/>
          <w:sz w:val="24"/>
          <w:szCs w:val="24"/>
          <w:lang w:val="en-US" w:eastAsia="zh-CN"/>
        </w:rPr>
        <w:t>堆粪场</w:t>
      </w:r>
      <w:r>
        <w:rPr>
          <w:rFonts w:hint="default" w:ascii="Times New Roman" w:hAnsi="Times New Roman" w:eastAsia="宋体" w:cs="Times New Roman"/>
          <w:color w:val="auto"/>
          <w:sz w:val="24"/>
          <w:szCs w:val="24"/>
          <w:lang w:val="en-US" w:eastAsia="zh-CN"/>
        </w:rPr>
        <w:t>场地四周修建挡水墙，挡水墙高度0.5m，避免场外雨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雪水流入堆粪场内，同时也可避免粪污外流散落</w:t>
      </w:r>
      <w:r>
        <w:rPr>
          <w:rFonts w:hint="eastAsia" w:ascii="Times New Roman" w:hAnsi="Times New Roman" w:eastAsia="宋体" w:cs="Times New Roman"/>
          <w:color w:val="auto"/>
          <w:sz w:val="24"/>
          <w:szCs w:val="24"/>
          <w:lang w:val="en-US" w:eastAsia="zh-CN"/>
        </w:rPr>
        <w:t>；</w:t>
      </w:r>
    </w:p>
    <w:p w14:paraId="0CCCEE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c、沿挡水墙内侧修建导流沟并设置收集池，雨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雪水及堆粪场内形成的渗水随导流沟汇入收集池</w:t>
      </w:r>
      <w:r>
        <w:rPr>
          <w:rFonts w:hint="eastAsia" w:ascii="Times New Roman" w:hAnsi="Times New Roman" w:eastAsia="宋体" w:cs="Times New Roman"/>
          <w:color w:val="auto"/>
          <w:sz w:val="24"/>
          <w:szCs w:val="24"/>
          <w:lang w:val="en-US" w:eastAsia="zh-CN"/>
        </w:rPr>
        <w:t>；</w:t>
      </w:r>
    </w:p>
    <w:p w14:paraId="78CA99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d、设置彩钢顶棚，避免雨水的淋漓。</w:t>
      </w:r>
    </w:p>
    <w:p w14:paraId="7EF1A9B0">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②堆粪外售可行性分析</w:t>
      </w:r>
    </w:p>
    <w:p w14:paraId="4B453757">
      <w:pPr>
        <w:ind w:firstLine="48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经与业主确认并结合木垒县环保局意见，木垒作为畜牧业大县，已无粪污消纳能力，因此本项目产生的粪便作为生产原料均外售有机肥厂，木垒县境内现有多家具备畜禽粪污处置资质的有机肥加工企业，其中距离项目较近的木垒县旺盛有机肥料加工厂年产有机肥1.2万t，东城镇咬牙沟农牧业科技发展有限公司年产有机肥1.5万t，芨芨湖工业园区旭阳腐殖酸有机肥公司设计年产有机肥10万t，民生工业园区新疆自然之源生物科技有限公司年产有机肥2.8万t，可作为备用消纳单位。</w:t>
      </w:r>
    </w:p>
    <w:p w14:paraId="3E6018EF">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本项目采用干清粪工艺，驼粪无尿液混入，粪便本身含水率低，堆肥棚为混凝土防渗硬化结构，配套防雨顶棚、外围截洪沟，做到雨污分流，无渗滤液产生；转运过程全部采用全封闭厢式货运车辆，车厢加盖防雨篷布，车厢底部铺设防渗苫布；车辆加装防滴漏密封条，做到无遗撒、无粪水渗漏；装载量不超过车厢容积，不超高、不超载；提前规划固定运输路线，避开居民区、河道、饮用水水源地等环境敏感点，优先选择乡村硬化道路；场内装车在堆肥棚内作业，装车完毕后清扫车厢外散落物料；出场前对车身进行清理，杜绝带泥上路；车辆出场与进场均做好现场保洁，不污染场区出入口路面；建立完整转运台账，记录出场量、车牌号、运输时间、接收单位及卸车凭证，全程去向可追溯，严禁中途随意倾倒、私自转卖；从场内暂存、密闭装车、道路运输到定点进厂，全过程防控措施完善。驼粪简单堆肥物料定向外售有机肥厂，运输途中无物料遗撒、污水渗漏、臭气扩散问题，货物去向全程可追溯，外运环节不存在土壤、地下水、地表水及大气二次污染环境风险。</w:t>
      </w:r>
    </w:p>
    <w:p w14:paraId="5EB19517">
      <w:pPr>
        <w:ind w:firstLine="480"/>
        <w:rPr>
          <w:rFonts w:hint="default" w:ascii="Times New Roman" w:hAnsi="Times New Roman" w:eastAsia="宋体"/>
          <w:strike w:val="0"/>
          <w:dstrike w:val="0"/>
          <w:color w:val="auto"/>
          <w:highlight w:val="none"/>
          <w:lang w:val="en-US" w:eastAsia="zh-CN"/>
        </w:rPr>
      </w:pPr>
      <w:r>
        <w:rPr>
          <w:rFonts w:hint="eastAsia" w:ascii="Times New Roman" w:hAnsi="Times New Roman" w:eastAsia="宋体"/>
          <w:strike w:val="0"/>
          <w:dstrike w:val="0"/>
          <w:color w:val="auto"/>
          <w:highlight w:val="none"/>
          <w:lang w:val="en-US" w:eastAsia="zh-CN"/>
        </w:rPr>
        <w:t>综上所属本项目堆粪外售可行。</w:t>
      </w:r>
    </w:p>
    <w:p w14:paraId="6B2BBCC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病死骆驼、分娩废弃物（胎衣、死胎、胎盘附属物）</w:t>
      </w:r>
    </w:p>
    <w:p w14:paraId="5627E391">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根据环办函[2014]789号文《关于病害动物无害化处理有关意见的复函》：“病害动物无害化处理项目由农业部门按照有关法律法规和技术规范进行监管，可以实现病害动物无害化处理和环境污染防控的目的，不宜再认定为危险废物集中处置项目。病害动物的无害化处理应执行《中华人民共和国动物防疫法》。”</w:t>
      </w:r>
    </w:p>
    <w:p w14:paraId="7E720285">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本环评要求病死骆驼</w:t>
      </w:r>
      <w:r>
        <w:rPr>
          <w:rFonts w:hint="eastAsia" w:ascii="Times New Roman" w:hAnsi="Times New Roman" w:eastAsia="宋体"/>
          <w:strike w:val="0"/>
          <w:dstrike w:val="0"/>
          <w:color w:val="auto"/>
          <w:highlight w:val="none"/>
          <w:lang w:val="en-US" w:eastAsia="zh-CN"/>
        </w:rPr>
        <w:t>、分娩废弃物（胎衣、死胎、胎盘附属物）</w:t>
      </w:r>
      <w:r>
        <w:rPr>
          <w:rFonts w:hint="default" w:ascii="Times New Roman" w:hAnsi="Times New Roman" w:eastAsia="宋体"/>
          <w:strike w:val="0"/>
          <w:dstrike w:val="0"/>
          <w:color w:val="auto"/>
          <w:highlight w:val="none"/>
          <w:lang w:val="en-US" w:eastAsia="zh-CN"/>
        </w:rPr>
        <w:t>严格执行《病死及病害动物无害化处理技术规范》（农医发〔2017〕25号）、《病死畜禽和病害畜禽产品无害化处理管理办法》（农业农村部令2022年第3号）、《畜禽规模养殖污染防治条例》相关要求。</w:t>
      </w:r>
    </w:p>
    <w:p w14:paraId="296BE6A1">
      <w:pPr>
        <w:ind w:firstLine="480"/>
        <w:rPr>
          <w:rFonts w:hint="default" w:ascii="Times New Roman" w:hAnsi="Times New Roman" w:eastAsia="宋体"/>
          <w:strike w:val="0"/>
          <w:dstrike w:val="0"/>
          <w:color w:val="auto"/>
          <w:highlight w:val="none"/>
          <w:lang w:val="en-US" w:eastAsia="zh-CN"/>
        </w:rPr>
      </w:pPr>
      <w:r>
        <w:rPr>
          <w:rFonts w:hint="default" w:ascii="Times New Roman" w:hAnsi="Times New Roman" w:eastAsia="宋体"/>
          <w:strike w:val="0"/>
          <w:dstrike w:val="0"/>
          <w:color w:val="auto"/>
          <w:highlight w:val="none"/>
          <w:lang w:val="en-US" w:eastAsia="zh-CN"/>
        </w:rPr>
        <w:t>博斯坦乡农业(畜牧业)发展服务中心设有专业畜牧人员，负责接收并核实死亡牲畜信息。确认无误后，畜牧人员将向上级(如县级或市级农牧业主管部门)进行报备，并按照上级指示及无害化处理规范，统一组织无害化处理工作</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无害化处理工作由专业畜牧人员或委托具有合法资质的无害化处理单位进行</w:t>
      </w:r>
      <w:r>
        <w:rPr>
          <w:rFonts w:hint="eastAsia" w:ascii="Times New Roman" w:hAnsi="Times New Roman" w:eastAsia="宋体"/>
          <w:strike w:val="0"/>
          <w:dstrike w:val="0"/>
          <w:color w:val="auto"/>
          <w:highlight w:val="none"/>
          <w:lang w:val="en-US" w:eastAsia="zh-CN"/>
        </w:rPr>
        <w:t>，</w:t>
      </w:r>
      <w:r>
        <w:rPr>
          <w:rFonts w:hint="default" w:ascii="Times New Roman" w:hAnsi="Times New Roman" w:eastAsia="宋体"/>
          <w:strike w:val="0"/>
          <w:dstrike w:val="0"/>
          <w:color w:val="auto"/>
          <w:highlight w:val="none"/>
          <w:lang w:val="en-US" w:eastAsia="zh-CN"/>
        </w:rPr>
        <w:t>每次无害化处理工作完成后，均会进行详细记录，包括处理时间、地点、方式、处理人员等信息，以备查证。同时，</w:t>
      </w:r>
      <w:r>
        <w:rPr>
          <w:rFonts w:hint="eastAsia" w:ascii="Times New Roman" w:hAnsi="Times New Roman" w:eastAsia="宋体"/>
          <w:strike w:val="0"/>
          <w:dstrike w:val="0"/>
          <w:color w:val="auto"/>
          <w:highlight w:val="none"/>
          <w:lang w:val="en-US" w:eastAsia="zh-CN"/>
        </w:rPr>
        <w:t>博斯坦</w:t>
      </w:r>
      <w:r>
        <w:rPr>
          <w:rFonts w:hint="default" w:ascii="Times New Roman" w:hAnsi="Times New Roman" w:eastAsia="宋体"/>
          <w:strike w:val="0"/>
          <w:dstrike w:val="0"/>
          <w:color w:val="auto"/>
          <w:highlight w:val="none"/>
          <w:lang w:val="en-US" w:eastAsia="zh-CN"/>
        </w:rPr>
        <w:t>乡农牧业发展服务中心将定期对无害化处理工作进行监督检查，确保处理过程符合法律法规要求。</w:t>
      </w:r>
    </w:p>
    <w:p w14:paraId="588BF71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3</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挤奶大厅废弃的一次性挤奶耗材、塑料奶管、废弃包装物</w:t>
      </w:r>
    </w:p>
    <w:p w14:paraId="28F99D7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w:t>
      </w:r>
      <w:r>
        <w:rPr>
          <w:rFonts w:hint="eastAsia" w:ascii="Times New Roman" w:hAnsi="Times New Roman" w:eastAsia="宋体" w:cs="宋体"/>
          <w:strike w:val="0"/>
          <w:dstrike w:val="0"/>
          <w:color w:val="auto"/>
          <w:spacing w:val="0"/>
          <w:kern w:val="0"/>
          <w:sz w:val="24"/>
          <w:szCs w:val="24"/>
          <w:highlight w:val="none"/>
          <w:lang w:val="en-US" w:eastAsia="zh-CN"/>
        </w:rPr>
        <w:t>挤奶过程中会产生</w:t>
      </w:r>
      <w:r>
        <w:rPr>
          <w:rFonts w:hint="eastAsia" w:ascii="Times New Roman" w:hAnsi="Times New Roman" w:eastAsia="宋体" w:cs="宋体"/>
          <w:strike w:val="0"/>
          <w:dstrike w:val="0"/>
          <w:color w:val="auto"/>
          <w:spacing w:val="0"/>
          <w:kern w:val="0"/>
          <w:sz w:val="24"/>
          <w:szCs w:val="24"/>
          <w:highlight w:val="none"/>
          <w:lang w:eastAsia="zh-CN"/>
        </w:rPr>
        <w:t>一次性挤奶耗材、塑料奶管，</w:t>
      </w:r>
      <w:r>
        <w:rPr>
          <w:rFonts w:ascii="Times New Roman" w:hAnsi="Times New Roman" w:eastAsia="宋体" w:cs="宋体"/>
          <w:strike w:val="0"/>
          <w:dstrike w:val="0"/>
          <w:color w:val="auto"/>
          <w:spacing w:val="0"/>
          <w:kern w:val="0"/>
          <w:sz w:val="24"/>
          <w:szCs w:val="24"/>
          <w:highlight w:val="none"/>
        </w:rPr>
        <w:t>外购饲料会产生废包装袋</w:t>
      </w:r>
      <w:r>
        <w:rPr>
          <w:rFonts w:ascii="Times New Roman" w:hAnsi="Times New Roman" w:eastAsia="宋体"/>
          <w:strike w:val="0"/>
          <w:dstrike w:val="0"/>
          <w:color w:val="auto"/>
          <w:highlight w:val="none"/>
        </w:rPr>
        <w:t>，</w:t>
      </w:r>
      <w:r>
        <w:rPr>
          <w:rFonts w:ascii="Times New Roman" w:hAnsi="Times New Roman" w:eastAsia="宋体" w:cs="宋体"/>
          <w:strike w:val="0"/>
          <w:dstrike w:val="0"/>
          <w:color w:val="auto"/>
          <w:spacing w:val="0"/>
          <w:kern w:val="0"/>
          <w:sz w:val="24"/>
          <w:szCs w:val="24"/>
          <w:highlight w:val="none"/>
        </w:rPr>
        <w:t>集中收集后进行外售</w:t>
      </w:r>
      <w:r>
        <w:rPr>
          <w:rFonts w:hint="eastAsia" w:ascii="Times New Roman" w:hAnsi="Times New Roman" w:eastAsia="宋体" w:cs="宋体"/>
          <w:strike w:val="0"/>
          <w:dstrike w:val="0"/>
          <w:color w:val="auto"/>
          <w:spacing w:val="0"/>
          <w:kern w:val="0"/>
          <w:sz w:val="24"/>
          <w:szCs w:val="24"/>
          <w:highlight w:val="none"/>
          <w:lang w:eastAsia="zh-CN"/>
        </w:rPr>
        <w:t>，</w:t>
      </w:r>
      <w:r>
        <w:rPr>
          <w:rFonts w:ascii="Times New Roman" w:hAnsi="Times New Roman" w:eastAsia="宋体"/>
          <w:strike w:val="0"/>
          <w:dstrike w:val="0"/>
          <w:color w:val="auto"/>
          <w:highlight w:val="none"/>
        </w:rPr>
        <w:t>废弃包装物得到了合理利用</w:t>
      </w:r>
      <w:r>
        <w:rPr>
          <w:rFonts w:hint="eastAsia" w:ascii="Times New Roman" w:hAnsi="Times New Roman" w:eastAsia="宋体"/>
          <w:strike w:val="0"/>
          <w:dstrike w:val="0"/>
          <w:color w:val="auto"/>
          <w:highlight w:val="none"/>
          <w:lang w:eastAsia="zh-CN"/>
        </w:rPr>
        <w:t>。</w:t>
      </w:r>
    </w:p>
    <w:p w14:paraId="282723E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4</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生活垃圾</w:t>
      </w:r>
    </w:p>
    <w:p w14:paraId="62FC88A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本项目生活垃圾集中收集起来运至当地生态环境部门指定的垃圾填埋场进行处理</w:t>
      </w:r>
      <w:r>
        <w:rPr>
          <w:rFonts w:hint="eastAsia" w:ascii="Times New Roman" w:hAnsi="Times New Roman" w:eastAsia="宋体"/>
          <w:strike w:val="0"/>
          <w:dstrike w:val="0"/>
          <w:color w:val="auto"/>
          <w:highlight w:val="none"/>
          <w:lang w:eastAsia="zh-CN"/>
        </w:rPr>
        <w:t>。</w:t>
      </w:r>
    </w:p>
    <w:p w14:paraId="3140E975">
      <w:pPr>
        <w:numPr>
          <w:ilvl w:val="0"/>
          <w:numId w:val="0"/>
        </w:numPr>
        <w:ind w:firstLine="480" w:firstLineChars="200"/>
        <w:rPr>
          <w:rFonts w:hint="eastAsia" w:ascii="Times New Roman" w:hAnsi="Times New Roman" w:eastAsia="宋体"/>
          <w:strike w:val="0"/>
          <w:dstrike w:val="0"/>
          <w:color w:val="auto"/>
          <w:highlight w:val="none"/>
          <w:lang w:val="en-US" w:eastAsia="zh-CN"/>
        </w:rPr>
      </w:pPr>
      <w:r>
        <w:rPr>
          <w:rFonts w:hint="eastAsia" w:ascii="Times New Roman" w:hAnsi="Times New Roman" w:eastAsia="宋体" w:cs="Times New Roman"/>
          <w:strike w:val="0"/>
          <w:dstrike w:val="0"/>
          <w:color w:val="auto"/>
          <w:sz w:val="24"/>
          <w:lang w:val="en-US" w:eastAsia="zh-CN" w:bidi="ar-SA"/>
        </w:rPr>
        <w:t>（5）</w:t>
      </w:r>
      <w:r>
        <w:rPr>
          <w:rFonts w:hint="eastAsia" w:ascii="Times New Roman" w:hAnsi="Times New Roman" w:eastAsia="宋体"/>
          <w:strike w:val="0"/>
          <w:dstrike w:val="0"/>
          <w:color w:val="auto"/>
          <w:highlight w:val="none"/>
          <w:lang w:val="en-US" w:eastAsia="zh-CN"/>
        </w:rPr>
        <w:t>黑膜池污泥</w:t>
      </w:r>
    </w:p>
    <w:p w14:paraId="3A2DE94B">
      <w:pPr>
        <w:keepNext w:val="0"/>
        <w:keepLines w:val="0"/>
        <w:pageBreakBefore w:val="0"/>
        <w:widowControl w:val="0"/>
        <w:kinsoku/>
        <w:wordWrap/>
        <w:overflowPunct/>
        <w:topLinePunct w:val="0"/>
        <w:autoSpaceDE/>
        <w:autoSpaceDN/>
        <w:bidi w:val="0"/>
        <w:adjustRightInd/>
        <w:snapToGrid/>
        <w:spacing w:line="360" w:lineRule="auto"/>
        <w:ind w:left="0" w:right="0" w:firstLine="478"/>
        <w:textAlignment w:val="auto"/>
        <w:rPr>
          <w:rFonts w:ascii="Times New Roman" w:hAnsi="Times New Roman" w:eastAsia="宋体"/>
          <w:color w:val="auto"/>
          <w:sz w:val="24"/>
        </w:rPr>
      </w:pPr>
      <w:r>
        <w:rPr>
          <w:rFonts w:hint="eastAsia" w:ascii="Times New Roman" w:hAnsi="Times New Roman" w:eastAsia="宋体"/>
          <w:strike w:val="0"/>
          <w:dstrike w:val="0"/>
          <w:color w:val="auto"/>
          <w:highlight w:val="none"/>
          <w:lang w:val="en-US" w:eastAsia="zh-CN"/>
        </w:rPr>
        <w:t>本项目黑膜池污泥</w:t>
      </w:r>
      <w:r>
        <w:rPr>
          <w:rFonts w:hint="eastAsia" w:ascii="Times New Roman" w:hAnsi="Times New Roman" w:eastAsia="宋体" w:cs="宋体"/>
          <w:color w:val="auto"/>
          <w:kern w:val="0"/>
          <w:sz w:val="24"/>
          <w:highlight w:val="none"/>
          <w:lang w:val="en-US" w:eastAsia="zh-CN" w:bidi="ar"/>
        </w:rPr>
        <w:t>定期</w:t>
      </w:r>
      <w:r>
        <w:rPr>
          <w:rFonts w:hint="eastAsia" w:ascii="Times New Roman" w:hAnsi="Times New Roman" w:eastAsia="宋体" w:cs="宋体"/>
          <w:strike w:val="0"/>
          <w:dstrike w:val="0"/>
          <w:color w:val="auto"/>
          <w:spacing w:val="0"/>
          <w:kern w:val="0"/>
          <w:sz w:val="24"/>
          <w:szCs w:val="24"/>
          <w:highlight w:val="none"/>
          <w:lang w:val="en-US" w:eastAsia="zh-CN"/>
        </w:rPr>
        <w:t>运至堆肥场，经过处理后作为同骆驼粪便一同作为有机肥外售</w:t>
      </w:r>
      <w:r>
        <w:rPr>
          <w:rFonts w:hint="eastAsia" w:ascii="Times New Roman" w:hAnsi="Times New Roman" w:eastAsia="宋体" w:cs="宋体"/>
          <w:color w:val="auto"/>
          <w:kern w:val="0"/>
          <w:sz w:val="24"/>
          <w:lang w:bidi="ar"/>
        </w:rPr>
        <w:t>。</w:t>
      </w:r>
    </w:p>
    <w:p w14:paraId="17C2CA0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医疗废物</w:t>
      </w:r>
    </w:p>
    <w:p w14:paraId="54DB124C">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本项目对</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进行防疫、治疗过程中产生少量废弃药品、废针管等，医疗垃圾属于HW01类危险废物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集中交由交由有资质的单位进行处置</w:t>
      </w:r>
      <w:r>
        <w:rPr>
          <w:rFonts w:hint="eastAsia" w:ascii="Times New Roman" w:hAnsi="Times New Roman" w:eastAsia="宋体"/>
          <w:strike w:val="0"/>
          <w:dstrike w:val="0"/>
          <w:color w:val="auto"/>
          <w:highlight w:val="none"/>
          <w:lang w:eastAsia="zh-CN"/>
        </w:rPr>
        <w:t>。</w:t>
      </w:r>
    </w:p>
    <w:p w14:paraId="4837AAD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本项目医疗废物暂存间建设应按照</w:t>
      </w:r>
      <w:r>
        <w:rPr>
          <w:rFonts w:hint="eastAsia" w:ascii="Times New Roman" w:hAnsi="Times New Roman" w:eastAsia="宋体"/>
          <w:strike w:val="0"/>
          <w:dstrike w:val="0"/>
          <w:color w:val="auto"/>
          <w:highlight w:val="none"/>
        </w:rPr>
        <w:t>《医疗废物处理处置污染控制标准》（GB 39707—2020）</w:t>
      </w:r>
      <w:r>
        <w:rPr>
          <w:rFonts w:ascii="Times New Roman" w:hAnsi="Times New Roman" w:eastAsia="宋体"/>
          <w:strike w:val="0"/>
          <w:dstrike w:val="0"/>
          <w:color w:val="auto"/>
          <w:highlight w:val="none"/>
        </w:rPr>
        <w:t>、《医疗卫生机构医疗废物管理办法》</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卫生部令36号</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和《危险废物污染防治技术政策》</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环发</w:t>
      </w:r>
      <w:r>
        <w:rPr>
          <w:rFonts w:hint="eastAsia" w:ascii="Times New Roman" w:hAnsi="Times New Roman" w:eastAsia="宋体"/>
          <w:strike w:val="0"/>
          <w:dstrike w:val="0"/>
          <w:color w:val="auto"/>
          <w:highlight w:val="none"/>
          <w:lang w:eastAsia="zh-CN"/>
        </w:rPr>
        <w:t>〔2001〕199号）</w:t>
      </w:r>
      <w:r>
        <w:rPr>
          <w:rFonts w:ascii="Times New Roman" w:hAnsi="Times New Roman" w:eastAsia="宋体"/>
          <w:strike w:val="0"/>
          <w:dstrike w:val="0"/>
          <w:color w:val="auto"/>
          <w:highlight w:val="none"/>
        </w:rPr>
        <w:t>的要求设置，暂存间地面必须防渗，防渗层需为渗透系数≤10</w:t>
      </w:r>
      <w:r>
        <w:rPr>
          <w:rFonts w:ascii="Times New Roman" w:hAnsi="Times New Roman" w:eastAsia="宋体"/>
          <w:strike w:val="0"/>
          <w:dstrike w:val="0"/>
          <w:color w:val="auto"/>
          <w:highlight w:val="none"/>
          <w:vertAlign w:val="superscript"/>
        </w:rPr>
        <w:t>-7</w:t>
      </w:r>
      <w:r>
        <w:rPr>
          <w:rFonts w:ascii="Times New Roman" w:hAnsi="Times New Roman" w:eastAsia="宋体"/>
          <w:strike w:val="0"/>
          <w:dstrike w:val="0"/>
          <w:color w:val="auto"/>
          <w:highlight w:val="none"/>
        </w:rPr>
        <w:t>cm/s的1m厚的黏土层，暂存间地面与裙脚要用兼顾、防渗的材料建造，建筑材料必须与危险废物相容</w:t>
      </w:r>
      <w:r>
        <w:rPr>
          <w:rFonts w:hint="eastAsia" w:ascii="Times New Roman" w:hAnsi="Times New Roman" w:eastAsia="宋体"/>
          <w:strike w:val="0"/>
          <w:dstrike w:val="0"/>
          <w:color w:val="auto"/>
          <w:highlight w:val="none"/>
          <w:lang w:eastAsia="zh-CN"/>
        </w:rPr>
        <w:t>。</w:t>
      </w:r>
    </w:p>
    <w:p w14:paraId="1AC1C53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针对项目危险固废的特点和性质，建设单位应采取如下的处置措施：</w:t>
      </w:r>
    </w:p>
    <w:p w14:paraId="615D0601">
      <w:pPr>
        <w:numPr>
          <w:ilvl w:val="0"/>
          <w:numId w:val="0"/>
        </w:numPr>
        <w:ind w:firstLine="480" w:firstLineChars="200"/>
        <w:rPr>
          <w:rFonts w:hint="eastAsia" w:ascii="Times New Roman" w:hAnsi="Times New Roman" w:eastAsia="宋体"/>
          <w:strike w:val="0"/>
          <w:dstrike w:val="0"/>
          <w:color w:val="auto"/>
          <w:highlight w:val="none"/>
        </w:rPr>
      </w:pPr>
      <w:r>
        <w:rPr>
          <w:rFonts w:hint="eastAsia" w:ascii="Times New Roman" w:hAnsi="Times New Roman" w:eastAsia="宋体" w:cs="Times New Roman"/>
          <w:strike w:val="0"/>
          <w:dstrike w:val="0"/>
          <w:color w:val="auto"/>
          <w:sz w:val="24"/>
          <w:lang w:val="en-US" w:eastAsia="zh-CN" w:bidi="ar-SA"/>
        </w:rPr>
        <w:t>1、</w:t>
      </w:r>
      <w:r>
        <w:rPr>
          <w:rFonts w:hint="eastAsia" w:ascii="Times New Roman" w:hAnsi="Times New Roman" w:eastAsia="宋体"/>
          <w:strike w:val="0"/>
          <w:dstrike w:val="0"/>
          <w:color w:val="auto"/>
          <w:highlight w:val="none"/>
        </w:rPr>
        <w:t>分类收集污染防控</w:t>
      </w:r>
    </w:p>
    <w:p w14:paraId="023E7C24">
      <w:pPr>
        <w:numPr>
          <w:ilvl w:val="0"/>
          <w:numId w:val="0"/>
        </w:numPr>
        <w:ind w:firstLine="480" w:firstLineChars="200"/>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分区配置HW01感染性、损伤性、药物性专用防渗收集袋、硬质锐器盒、密封药剂桶，实施分类分装，粘贴产废信息标签；</w:t>
      </w:r>
    </w:p>
    <w:p w14:paraId="04ADFB15">
      <w:pPr>
        <w:numPr>
          <w:ilvl w:val="0"/>
          <w:numId w:val="0"/>
        </w:numPr>
        <w:ind w:firstLine="480" w:firstLineChars="200"/>
        <w:rPr>
          <w:rFonts w:hint="eastAsia" w:ascii="Times New Roman" w:hAnsi="Times New Roman" w:eastAsia="宋体" w:cs="Times New Roman"/>
          <w:strike w:val="0"/>
          <w:dstrike w:val="0"/>
          <w:color w:val="auto"/>
          <w:sz w:val="24"/>
          <w:lang w:val="en-US" w:eastAsia="zh-CN" w:bidi="ar-SA"/>
        </w:rPr>
      </w:pPr>
      <w:r>
        <w:rPr>
          <w:rFonts w:hint="eastAsia" w:ascii="Times New Roman" w:hAnsi="Times New Roman" w:eastAsia="宋体" w:cs="Times New Roman"/>
          <w:strike w:val="0"/>
          <w:dstrike w:val="0"/>
          <w:color w:val="auto"/>
          <w:sz w:val="24"/>
          <w:lang w:val="en-US" w:eastAsia="zh-CN" w:bidi="ar-SA"/>
        </w:rPr>
        <w:t>区域配套消杀药剂，包装破损、外渗废物二次套袋密封，作业面每日消毒，避免病原扩散、渗液污染土壤。</w:t>
      </w:r>
    </w:p>
    <w:p w14:paraId="152731A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防治措施</w:t>
      </w:r>
    </w:p>
    <w:p w14:paraId="57EB3D4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属于《国家危险废物名录》（2021年）中划定的危险废物，严格按《危险废物贮存污染控制标准》（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）要求设置贮存场所</w:t>
      </w:r>
      <w:r>
        <w:rPr>
          <w:rFonts w:hint="eastAsia" w:ascii="Times New Roman" w:hAnsi="Times New Roman" w:eastAsia="宋体"/>
          <w:strike w:val="0"/>
          <w:dstrike w:val="0"/>
          <w:color w:val="auto"/>
          <w:highlight w:val="none"/>
          <w:lang w:eastAsia="zh-CN"/>
        </w:rPr>
        <w:t>。</w:t>
      </w:r>
    </w:p>
    <w:p w14:paraId="5906E98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建设单位拟在项目区内设置</w:t>
      </w:r>
      <w:r>
        <w:rPr>
          <w:rFonts w:hint="eastAsia" w:ascii="Times New Roman" w:hAnsi="Times New Roman" w:eastAsia="宋体"/>
          <w:strike w:val="0"/>
          <w:dstrike w:val="0"/>
          <w:color w:val="auto"/>
          <w:highlight w:val="none"/>
          <w:lang w:val="en-US" w:eastAsia="zh-CN"/>
        </w:rPr>
        <w:t>医疗废物</w:t>
      </w:r>
      <w:r>
        <w:rPr>
          <w:rFonts w:hint="eastAsia" w:ascii="Times New Roman" w:hAnsi="Times New Roman" w:eastAsia="宋体"/>
          <w:strike w:val="0"/>
          <w:dstrike w:val="0"/>
          <w:color w:val="auto"/>
          <w:highlight w:val="none"/>
        </w:rPr>
        <w:t>暂存间，医疗废物存于</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，定期交由</w:t>
      </w:r>
      <w:r>
        <w:rPr>
          <w:rFonts w:hint="eastAsia" w:ascii="Times New Roman" w:hAnsi="Times New Roman" w:eastAsia="宋体"/>
          <w:strike w:val="0"/>
          <w:dstrike w:val="0"/>
          <w:color w:val="auto"/>
          <w:highlight w:val="none"/>
          <w:lang w:val="en-US" w:eastAsia="zh-CN"/>
        </w:rPr>
        <w:t>有资质单位</w:t>
      </w:r>
      <w:r>
        <w:rPr>
          <w:rFonts w:hint="eastAsia" w:ascii="Times New Roman" w:hAnsi="Times New Roman" w:eastAsia="宋体"/>
          <w:strike w:val="0"/>
          <w:dstrike w:val="0"/>
          <w:color w:val="auto"/>
          <w:highlight w:val="none"/>
        </w:rPr>
        <w:t>运输及处置</w:t>
      </w:r>
      <w:r>
        <w:rPr>
          <w:rFonts w:hint="eastAsia" w:ascii="Times New Roman" w:hAnsi="Times New Roman" w:eastAsia="宋体"/>
          <w:strike w:val="0"/>
          <w:dstrike w:val="0"/>
          <w:color w:val="auto"/>
          <w:highlight w:val="none"/>
          <w:lang w:eastAsia="zh-CN"/>
        </w:rPr>
        <w:t>。</w:t>
      </w:r>
    </w:p>
    <w:p w14:paraId="3C71ABA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建设应满足《危险废物贮存污染控制标准》（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）的要求，配套相应的防渗、防漏设施，保持密闭，防止雨水进入</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地面与裙脚要用坚固、防渗的材料建造，建筑材料须与危险废物相容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用于存放危险废物的容器，必须有耐腐蚀的地面硬化，且表面无裂痕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应设计堵截泄漏的裙脚，地面与裙脚所围建的容积不低于堵截最大容器的最大存储量或总储量的1/5</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危险废物堆放要防风、防雨、防晒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同时危险固废采取专用贮存装置，并设立危险物警示标志，由专人进行管理，做好危险废物排放量及处置记录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向相应的固体废物管理中心申报登记本项目产生的危险废物，并按照该中心的要求对上述危险废物进行全过程严格管理和安全处置</w:t>
      </w:r>
      <w:r>
        <w:rPr>
          <w:rFonts w:hint="eastAsia" w:ascii="Times New Roman" w:hAnsi="Times New Roman" w:eastAsia="宋体"/>
          <w:strike w:val="0"/>
          <w:dstrike w:val="0"/>
          <w:color w:val="auto"/>
          <w:highlight w:val="none"/>
          <w:lang w:eastAsia="zh-CN"/>
        </w:rPr>
        <w:t>。</w:t>
      </w:r>
    </w:p>
    <w:p w14:paraId="330D0A7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项目危险废物贮存场所（设施）基本情况见表6.2-</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lang w:eastAsia="zh-CN"/>
        </w:rPr>
        <w:t>。</w:t>
      </w:r>
    </w:p>
    <w:p w14:paraId="00C985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表6.2-2建设项目危险废物贮存场所（设施）基本情况表</w:t>
      </w:r>
    </w:p>
    <w:tbl>
      <w:tblPr>
        <w:tblStyle w:val="8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050"/>
        <w:gridCol w:w="964"/>
        <w:gridCol w:w="935"/>
        <w:gridCol w:w="1196"/>
        <w:gridCol w:w="926"/>
        <w:gridCol w:w="910"/>
        <w:gridCol w:w="917"/>
        <w:gridCol w:w="910"/>
      </w:tblGrid>
      <w:tr w14:paraId="54F6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20B054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序号</w:t>
            </w:r>
          </w:p>
        </w:tc>
        <w:tc>
          <w:tcPr>
            <w:tcW w:w="1050" w:type="dxa"/>
            <w:vAlign w:val="center"/>
          </w:tcPr>
          <w:p w14:paraId="78278EF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贮存场所</w:t>
            </w:r>
          </w:p>
        </w:tc>
        <w:tc>
          <w:tcPr>
            <w:tcW w:w="964" w:type="dxa"/>
            <w:vAlign w:val="center"/>
          </w:tcPr>
          <w:p w14:paraId="3A7F1F3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危险废物名称</w:t>
            </w:r>
          </w:p>
        </w:tc>
        <w:tc>
          <w:tcPr>
            <w:tcW w:w="935" w:type="dxa"/>
            <w:vAlign w:val="center"/>
          </w:tcPr>
          <w:p w14:paraId="71435C2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危险废物类别</w:t>
            </w:r>
          </w:p>
        </w:tc>
        <w:tc>
          <w:tcPr>
            <w:tcW w:w="1196" w:type="dxa"/>
            <w:vAlign w:val="center"/>
          </w:tcPr>
          <w:p w14:paraId="2C907E2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危险废物代码</w:t>
            </w:r>
          </w:p>
        </w:tc>
        <w:tc>
          <w:tcPr>
            <w:tcW w:w="926" w:type="dxa"/>
            <w:vAlign w:val="center"/>
          </w:tcPr>
          <w:p w14:paraId="5EDA58E7">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占地面积</w:t>
            </w:r>
          </w:p>
        </w:tc>
        <w:tc>
          <w:tcPr>
            <w:tcW w:w="910" w:type="dxa"/>
            <w:vAlign w:val="center"/>
          </w:tcPr>
          <w:p w14:paraId="1283C9C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贮存方式</w:t>
            </w:r>
          </w:p>
        </w:tc>
        <w:tc>
          <w:tcPr>
            <w:tcW w:w="917" w:type="dxa"/>
            <w:vAlign w:val="center"/>
          </w:tcPr>
          <w:p w14:paraId="16B3DB1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贮存能力</w:t>
            </w:r>
          </w:p>
        </w:tc>
        <w:tc>
          <w:tcPr>
            <w:tcW w:w="910" w:type="dxa"/>
            <w:vAlign w:val="center"/>
          </w:tcPr>
          <w:p w14:paraId="7C636DD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贮存周期</w:t>
            </w:r>
          </w:p>
        </w:tc>
      </w:tr>
      <w:tr w14:paraId="3C24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6112944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w:t>
            </w:r>
          </w:p>
        </w:tc>
        <w:tc>
          <w:tcPr>
            <w:tcW w:w="1050" w:type="dxa"/>
            <w:vAlign w:val="center"/>
          </w:tcPr>
          <w:p w14:paraId="5310C11B">
            <w:pPr>
              <w:snapToGrid w:val="0"/>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lang w:eastAsia="zh-CN"/>
              </w:rPr>
              <w:t>医疗废物暂存间</w:t>
            </w:r>
          </w:p>
        </w:tc>
        <w:tc>
          <w:tcPr>
            <w:tcW w:w="964" w:type="dxa"/>
            <w:vAlign w:val="center"/>
          </w:tcPr>
          <w:p w14:paraId="49FA356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医疗固废</w:t>
            </w:r>
          </w:p>
        </w:tc>
        <w:tc>
          <w:tcPr>
            <w:tcW w:w="935" w:type="dxa"/>
            <w:vAlign w:val="center"/>
          </w:tcPr>
          <w:p w14:paraId="1F7F1C8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HW01</w:t>
            </w:r>
          </w:p>
        </w:tc>
        <w:tc>
          <w:tcPr>
            <w:tcW w:w="1196" w:type="dxa"/>
            <w:vAlign w:val="center"/>
          </w:tcPr>
          <w:p w14:paraId="244F20F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900-001-01</w:t>
            </w:r>
          </w:p>
        </w:tc>
        <w:tc>
          <w:tcPr>
            <w:tcW w:w="926" w:type="dxa"/>
            <w:vAlign w:val="center"/>
          </w:tcPr>
          <w:p w14:paraId="0948709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lang w:val="en-US" w:eastAsia="zh-CN"/>
              </w:rPr>
              <w:t>15</w:t>
            </w:r>
            <w:r>
              <w:rPr>
                <w:rFonts w:hint="eastAsia" w:ascii="Times New Roman" w:hAnsi="Times New Roman" w:eastAsia="宋体"/>
                <w:strike w:val="0"/>
                <w:dstrike w:val="0"/>
                <w:color w:val="auto"/>
                <w:kern w:val="2"/>
                <w:sz w:val="21"/>
                <w:szCs w:val="21"/>
                <w:highlight w:val="none"/>
              </w:rPr>
              <w:t>m</w:t>
            </w:r>
            <w:r>
              <w:rPr>
                <w:rFonts w:hint="eastAsia" w:ascii="Times New Roman" w:hAnsi="Times New Roman" w:eastAsia="宋体"/>
                <w:strike w:val="0"/>
                <w:dstrike w:val="0"/>
                <w:color w:val="auto"/>
                <w:kern w:val="2"/>
                <w:sz w:val="21"/>
                <w:szCs w:val="21"/>
                <w:highlight w:val="none"/>
                <w:vertAlign w:val="superscript"/>
              </w:rPr>
              <w:t>2</w:t>
            </w:r>
          </w:p>
        </w:tc>
        <w:tc>
          <w:tcPr>
            <w:tcW w:w="910" w:type="dxa"/>
            <w:vAlign w:val="center"/>
          </w:tcPr>
          <w:p w14:paraId="3ED3CAA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桶装</w:t>
            </w:r>
          </w:p>
        </w:tc>
        <w:tc>
          <w:tcPr>
            <w:tcW w:w="917" w:type="dxa"/>
            <w:vAlign w:val="center"/>
          </w:tcPr>
          <w:p w14:paraId="194A034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1t/a</w:t>
            </w:r>
          </w:p>
        </w:tc>
        <w:tc>
          <w:tcPr>
            <w:tcW w:w="910" w:type="dxa"/>
            <w:vAlign w:val="center"/>
          </w:tcPr>
          <w:p w14:paraId="5BA34F9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1周</w:t>
            </w:r>
          </w:p>
        </w:tc>
      </w:tr>
    </w:tbl>
    <w:p w14:paraId="0715D322">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val="en-US" w:eastAsia="zh-CN"/>
        </w:rPr>
        <w:t>3</w:t>
      </w:r>
      <w:r>
        <w:rPr>
          <w:rFonts w:hint="eastAsia" w:ascii="Times New Roman" w:hAnsi="Times New Roman" w:eastAsia="宋体"/>
          <w:strike w:val="0"/>
          <w:dstrike w:val="0"/>
          <w:color w:val="auto"/>
          <w:highlight w:val="none"/>
        </w:rPr>
        <w:t>、委托转运过程的污染防治措施</w:t>
      </w:r>
    </w:p>
    <w:p w14:paraId="7C089530">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委托具备HW01医疗危险废物经营资质单位处置，签订处置协议</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按照《危险废物收集贮存运输技术规范》（HJ2025-2012），分析危险废物的收集和转运过程中采取的污染防治措施的可行性，并论证运输方式、运输线路的合理性</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危险废物在运输过程中，如果管理不当或未采取适当的污染防治和安全防护措施，则极易造成污染</w:t>
      </w:r>
      <w:r>
        <w:rPr>
          <w:rFonts w:hint="eastAsia" w:ascii="Times New Roman" w:hAnsi="Times New Roman" w:eastAsia="宋体"/>
          <w:strike w:val="0"/>
          <w:dstrike w:val="0"/>
          <w:color w:val="auto"/>
          <w:highlight w:val="none"/>
          <w:lang w:eastAsia="zh-CN"/>
        </w:rPr>
        <w:t>。</w:t>
      </w:r>
    </w:p>
    <w:p w14:paraId="65FBCCB4">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危险废物在出厂前经分类收集到危废桶，然后运至危废间暂存间</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项目危废处置单位定期进厂收集、运输及处置；危废运输由危废处置单位专用车辆运输，沿途尽量避免穿越人群密集区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因此，只要在危废运输中加强控制和管理，项目危险废物输送对环境的影响不明显</w:t>
      </w:r>
      <w:r>
        <w:rPr>
          <w:rFonts w:hint="eastAsia" w:ascii="Times New Roman" w:hAnsi="Times New Roman" w:eastAsia="宋体"/>
          <w:strike w:val="0"/>
          <w:dstrike w:val="0"/>
          <w:color w:val="auto"/>
          <w:highlight w:val="none"/>
          <w:lang w:eastAsia="zh-CN"/>
        </w:rPr>
        <w:t>。</w:t>
      </w:r>
    </w:p>
    <w:p w14:paraId="73E131F9">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项目对危废运输过程中拟采取如下防治措施：</w:t>
      </w:r>
    </w:p>
    <w:p w14:paraId="5C5CDC9C">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（1）运输时应采取密闭、遮盖、捆扎等措施防止扬散；</w:t>
      </w:r>
    </w:p>
    <w:p w14:paraId="5F6153DD">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（2）对运输危险废物的设施和设备应加强管理和未付，保证其正常运行和使用；</w:t>
      </w:r>
    </w:p>
    <w:p w14:paraId="127F2A23">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（3）不能混合运输性质不相容而又未经安全性处置的危险废物；</w:t>
      </w:r>
    </w:p>
    <w:p w14:paraId="2EBF00EC">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（4）转移危险废物时，必须按照规定填写危险废物转移联单，并向危险废物移出地和接受地的县级以上地方人民政府环境保护行政主管部门报告；</w:t>
      </w:r>
    </w:p>
    <w:p w14:paraId="35D94FC9">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（5）禁止将危险废物与旅客在用一运输工具上载运；</w:t>
      </w:r>
    </w:p>
    <w:p w14:paraId="5C8A9F19">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（6）运输危险废物的车辆应尽可能避开城市、城镇等人群居住区、闹市区等；</w:t>
      </w:r>
    </w:p>
    <w:p w14:paraId="1CB781FC">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（7）运输危险废物的人员应当接受专业培训，经考核合格后，方可从事运输危险废物的工作；</w:t>
      </w:r>
    </w:p>
    <w:p w14:paraId="23341DE5">
      <w:pPr>
        <w:keepNext w:val="0"/>
        <w:keepLines w:val="0"/>
        <w:pageBreakBefore w:val="0"/>
        <w:widowControl w:val="0"/>
        <w:kinsoku/>
        <w:wordWrap/>
        <w:overflowPunct/>
        <w:topLinePunct w:val="0"/>
        <w:autoSpaceDE/>
        <w:autoSpaceDN/>
        <w:bidi w:val="0"/>
        <w:adjustRightInd/>
        <w:snapToGrid/>
        <w:ind w:firstLine="480"/>
        <w:textAlignment w:val="auto"/>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（8）应制定在发生意外事故时采取的应急措施和防范措施；</w:t>
      </w:r>
    </w:p>
    <w:p w14:paraId="535CAE00">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（9）若发生突发性事故必须立即采取措施消除或者减轻对环境的污染危害，及时通报给附近的单位和居民，并向事故发生地县级以上人民政府环境保护行政主管部门和有关部门报告，接受调查处理</w:t>
      </w:r>
      <w:r>
        <w:rPr>
          <w:rFonts w:hint="eastAsia" w:ascii="Times New Roman" w:hAnsi="Times New Roman" w:eastAsia="宋体"/>
          <w:strike w:val="0"/>
          <w:dstrike w:val="0"/>
          <w:color w:val="auto"/>
          <w:highlight w:val="none"/>
          <w:lang w:eastAsia="zh-CN"/>
        </w:rPr>
        <w:t>。</w:t>
      </w:r>
    </w:p>
    <w:p w14:paraId="0CB79FFA">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综上所述，本项目产生的固体废弃物经过收集、处理处置后，实现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减量化、资源化和无害化</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的要求，不会对周围环境产生明显的不利影响</w:t>
      </w:r>
      <w:r>
        <w:rPr>
          <w:rFonts w:hint="eastAsia" w:ascii="Times New Roman" w:hAnsi="Times New Roman" w:eastAsia="宋体"/>
          <w:strike w:val="0"/>
          <w:dstrike w:val="0"/>
          <w:color w:val="auto"/>
          <w:highlight w:val="none"/>
          <w:lang w:eastAsia="zh-CN"/>
        </w:rPr>
        <w:t>。</w:t>
      </w:r>
    </w:p>
    <w:p w14:paraId="669D0F86">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检疫及兽医站产生的医疗废物必须当日消毒，消毒后装入容器，常温下贮存不得超过一天，于5℃以下冷藏的，不得超过7天，夏季医疗垃圾在常温下贮存期不得超过一天，冬季由于气温较低，低于5℃以下冷藏的，医疗垃圾最长储存时间不得超过2d，根据《医疗废物管理条例》</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2011年</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要求，医疗废物经临时储存后交由有医疗废物处置资质的单位进行集中清运处理，要严格按照要求，在医疗废弃物的管理上必须要有交接签字制度，医疗废物产生量必须要有登记，以避免医疗废弃物的流失</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在医疗废弃物的处置方面还必须做到分类、消毒、专人管理</w:t>
      </w:r>
      <w:r>
        <w:rPr>
          <w:rFonts w:hint="eastAsia" w:ascii="Times New Roman" w:hAnsi="Times New Roman" w:eastAsia="宋体"/>
          <w:strike w:val="0"/>
          <w:dstrike w:val="0"/>
          <w:color w:val="auto"/>
          <w:highlight w:val="none"/>
          <w:lang w:eastAsia="zh-CN"/>
        </w:rPr>
        <w:t>。</w:t>
      </w:r>
    </w:p>
    <w:p w14:paraId="03AC5BDF">
      <w:pPr>
        <w:keepNext w:val="0"/>
        <w:keepLines w:val="0"/>
        <w:pageBreakBefore w:val="0"/>
        <w:widowControl w:val="0"/>
        <w:kinsoku/>
        <w:wordWrap/>
        <w:overflowPunct/>
        <w:topLinePunct w:val="0"/>
        <w:autoSpaceDE/>
        <w:autoSpaceDN/>
        <w:bidi w:val="0"/>
        <w:adjustRightInd/>
        <w:snapToGrid/>
        <w:ind w:firstLine="480"/>
        <w:textAlignment w:val="auto"/>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综上分析，对固体废物采取相应治理措施后，固废可以得到合理处置，产生的固体废物对周围环境影响不大</w:t>
      </w:r>
      <w:r>
        <w:rPr>
          <w:rFonts w:hint="eastAsia" w:ascii="Times New Roman" w:hAnsi="Times New Roman" w:eastAsia="宋体"/>
          <w:strike w:val="0"/>
          <w:dstrike w:val="0"/>
          <w:color w:val="auto"/>
          <w:highlight w:val="none"/>
          <w:lang w:eastAsia="zh-CN"/>
        </w:rPr>
        <w:t>。</w:t>
      </w:r>
    </w:p>
    <w:p w14:paraId="25689269">
      <w:pPr>
        <w:pStyle w:val="4"/>
        <w:rPr>
          <w:rFonts w:ascii="Times New Roman" w:hAnsi="Times New Roman" w:eastAsia="宋体"/>
          <w:strike w:val="0"/>
          <w:dstrike w:val="0"/>
          <w:color w:val="auto"/>
          <w:highlight w:val="none"/>
        </w:rPr>
      </w:pPr>
      <w:bookmarkStart w:id="310" w:name="_Toc12690"/>
      <w:bookmarkStart w:id="311" w:name="_Toc106663529"/>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土壤污染防治措施</w:t>
      </w:r>
      <w:bookmarkEnd w:id="310"/>
      <w:bookmarkEnd w:id="311"/>
    </w:p>
    <w:p w14:paraId="1EC996E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.1防治措施</w:t>
      </w:r>
    </w:p>
    <w:p w14:paraId="489EDBB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（1）加强废水处理设施的维护和管理，及时发现处理设备的隐患，确保处理系统正常运行</w:t>
      </w:r>
      <w:r>
        <w:rPr>
          <w:rFonts w:hint="eastAsia" w:ascii="Times New Roman" w:hAnsi="Times New Roman" w:eastAsia="宋体"/>
          <w:strike w:val="0"/>
          <w:dstrike w:val="0"/>
          <w:color w:val="auto"/>
          <w:highlight w:val="none"/>
          <w:lang w:eastAsia="zh-CN"/>
        </w:rPr>
        <w:t>。</w:t>
      </w:r>
    </w:p>
    <w:p w14:paraId="05F2C7F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（2）加强施工质量，对</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lang w:val="en-US" w:eastAsia="zh-CN"/>
        </w:rPr>
        <w:t>黑膜池、堆肥场</w:t>
      </w:r>
      <w:r>
        <w:rPr>
          <w:rFonts w:hint="eastAsia" w:ascii="Times New Roman" w:hAnsi="Times New Roman" w:eastAsia="宋体"/>
          <w:strike w:val="0"/>
          <w:dstrike w:val="0"/>
          <w:color w:val="auto"/>
          <w:highlight w:val="none"/>
        </w:rPr>
        <w:t>按重点防渗区采取措施，参照《危险废物贮存污染控制标准》（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）：基础防渗，防渗层为至少1m厚黏土层（渗透系数不大于10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cm/s），或至少2 mm厚高密度聚乙烯膜等人工防渗材料（渗透系数不大于10</w:t>
      </w:r>
      <w:r>
        <w:rPr>
          <w:rFonts w:hint="eastAsia" w:ascii="Times New Roman" w:hAnsi="Times New Roman" w:eastAsia="宋体"/>
          <w:strike w:val="0"/>
          <w:dstrike w:val="0"/>
          <w:color w:val="auto"/>
          <w:highlight w:val="none"/>
          <w:vertAlign w:val="superscript"/>
        </w:rPr>
        <w:t>-10</w:t>
      </w:r>
      <w:r>
        <w:rPr>
          <w:rFonts w:hint="eastAsia" w:ascii="Times New Roman" w:hAnsi="Times New Roman" w:eastAsia="宋体"/>
          <w:strike w:val="0"/>
          <w:dstrike w:val="0"/>
          <w:color w:val="auto"/>
          <w:highlight w:val="none"/>
        </w:rPr>
        <w:t>cm/s），或其他防渗性能等效的材料。</w:t>
      </w:r>
    </w:p>
    <w:p w14:paraId="6B7DDB0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（3）对</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等按一般防渗区采取防渗措施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底压实粘土层厚度要≥1m，满足渗透系数K≤1.0×10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cm/s；防渗粘土层上部及贮水池侧面铺设1.0mm高密度聚乙烯（HDPE）防渗膜（渗透系数K≤10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cm/s），在做好基层防渗的基础上进行水泥硬化</w:t>
      </w:r>
      <w:r>
        <w:rPr>
          <w:rFonts w:hint="eastAsia" w:ascii="Times New Roman" w:hAnsi="Times New Roman" w:eastAsia="宋体"/>
          <w:strike w:val="0"/>
          <w:dstrike w:val="0"/>
          <w:color w:val="auto"/>
          <w:highlight w:val="none"/>
          <w:lang w:eastAsia="zh-CN"/>
        </w:rPr>
        <w:t>。</w:t>
      </w:r>
    </w:p>
    <w:p w14:paraId="0012CB4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（4）场区边界建设雨水截流沟、排水沟，及时拦截和导排雨水，减少废水产生量，降低事故风险</w:t>
      </w:r>
      <w:r>
        <w:rPr>
          <w:rFonts w:hint="eastAsia" w:ascii="Times New Roman" w:hAnsi="Times New Roman" w:eastAsia="宋体"/>
          <w:strike w:val="0"/>
          <w:dstrike w:val="0"/>
          <w:color w:val="auto"/>
          <w:highlight w:val="none"/>
          <w:lang w:eastAsia="zh-CN"/>
        </w:rPr>
        <w:t>。</w:t>
      </w:r>
    </w:p>
    <w:p w14:paraId="6CC17802">
      <w:pPr>
        <w:pStyle w:val="5"/>
        <w:ind w:firstLine="0" w:firstLineChars="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.2跟踪监测</w:t>
      </w:r>
    </w:p>
    <w:p w14:paraId="49803C6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（1）监测点位</w:t>
      </w:r>
    </w:p>
    <w:p w14:paraId="20570A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根据《环境影响评价技术导则土壤环境》（HJ964-2018）的要求确定土壤跟踪监测点布设原则，结合厂区占地位置，共布设1个土壤跟踪监测点，考虑项目运营期土壤最可能受到污染同时受到污染后应交较严重的</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，因此在上述区域分别设置1个土壤跟踪监测点位</w:t>
      </w:r>
      <w:r>
        <w:rPr>
          <w:rFonts w:hint="eastAsia" w:ascii="Times New Roman" w:hAnsi="Times New Roman" w:eastAsia="宋体"/>
          <w:strike w:val="0"/>
          <w:dstrike w:val="0"/>
          <w:color w:val="auto"/>
          <w:highlight w:val="none"/>
          <w:lang w:eastAsia="zh-CN"/>
        </w:rPr>
        <w:t>。</w:t>
      </w:r>
    </w:p>
    <w:p w14:paraId="2519D02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监测点布设情况见表6.2-</w:t>
      </w:r>
      <w:r>
        <w:rPr>
          <w:rFonts w:ascii="Times New Roman" w:hAnsi="Times New Roman" w:eastAsia="宋体"/>
          <w:strike w:val="0"/>
          <w:dstrike w:val="0"/>
          <w:color w:val="auto"/>
          <w:highlight w:val="none"/>
        </w:rPr>
        <w:t>5</w:t>
      </w:r>
      <w:r>
        <w:rPr>
          <w:rFonts w:hint="eastAsia" w:ascii="Times New Roman" w:hAnsi="Times New Roman" w:eastAsia="宋体"/>
          <w:strike w:val="0"/>
          <w:dstrike w:val="0"/>
          <w:color w:val="auto"/>
          <w:highlight w:val="none"/>
          <w:lang w:eastAsia="zh-CN"/>
        </w:rPr>
        <w:t>。</w:t>
      </w:r>
    </w:p>
    <w:p w14:paraId="3FFDC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表6.2-5环境监测点一览表</w:t>
      </w:r>
    </w:p>
    <w:tbl>
      <w:tblPr>
        <w:tblStyle w:val="8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6B4F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2130" w:type="dxa"/>
            <w:vAlign w:val="center"/>
          </w:tcPr>
          <w:p w14:paraId="7F37C23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功能</w:t>
            </w:r>
          </w:p>
        </w:tc>
        <w:tc>
          <w:tcPr>
            <w:tcW w:w="2130" w:type="dxa"/>
            <w:vAlign w:val="center"/>
          </w:tcPr>
          <w:p w14:paraId="2FAA694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编号</w:t>
            </w:r>
          </w:p>
        </w:tc>
        <w:tc>
          <w:tcPr>
            <w:tcW w:w="2131" w:type="dxa"/>
            <w:vAlign w:val="center"/>
          </w:tcPr>
          <w:p w14:paraId="22E5C7B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位置</w:t>
            </w:r>
          </w:p>
        </w:tc>
        <w:tc>
          <w:tcPr>
            <w:tcW w:w="2131" w:type="dxa"/>
            <w:vAlign w:val="center"/>
          </w:tcPr>
          <w:p w14:paraId="7592E15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监测要求</w:t>
            </w:r>
          </w:p>
        </w:tc>
      </w:tr>
      <w:tr w14:paraId="5A5A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30" w:type="dxa"/>
            <w:vAlign w:val="center"/>
          </w:tcPr>
          <w:p w14:paraId="06B7ADC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占地范围内</w:t>
            </w:r>
          </w:p>
        </w:tc>
        <w:tc>
          <w:tcPr>
            <w:tcW w:w="2130" w:type="dxa"/>
            <w:vAlign w:val="center"/>
          </w:tcPr>
          <w:p w14:paraId="1BE58BD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T1</w:t>
            </w:r>
          </w:p>
        </w:tc>
        <w:tc>
          <w:tcPr>
            <w:tcW w:w="2131" w:type="dxa"/>
            <w:vAlign w:val="center"/>
          </w:tcPr>
          <w:p w14:paraId="7E9AD217">
            <w:pPr>
              <w:snapToGrid w:val="0"/>
              <w:spacing w:line="240" w:lineRule="auto"/>
              <w:ind w:firstLine="0" w:firstLineChars="0"/>
              <w:jc w:val="center"/>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lang w:val="en-US" w:eastAsia="zh-CN"/>
              </w:rPr>
              <w:t>黑膜池</w:t>
            </w:r>
          </w:p>
        </w:tc>
        <w:tc>
          <w:tcPr>
            <w:tcW w:w="2131" w:type="dxa"/>
            <w:vAlign w:val="center"/>
          </w:tcPr>
          <w:p w14:paraId="3FCF2FE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柱状样</w:t>
            </w:r>
          </w:p>
        </w:tc>
      </w:tr>
    </w:tbl>
    <w:p w14:paraId="1252860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（2）监测频率及监测因子</w:t>
      </w:r>
    </w:p>
    <w:p w14:paraId="5B47163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监测频率：1次/年</w:t>
      </w:r>
      <w:r>
        <w:rPr>
          <w:rFonts w:hint="eastAsia" w:ascii="Times New Roman" w:hAnsi="Times New Roman" w:eastAsia="宋体"/>
          <w:strike w:val="0"/>
          <w:dstrike w:val="0"/>
          <w:color w:val="auto"/>
          <w:highlight w:val="none"/>
          <w:lang w:eastAsia="zh-CN"/>
        </w:rPr>
        <w:t>。</w:t>
      </w:r>
    </w:p>
    <w:p w14:paraId="4F2738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监测项目为：《畜禽养殖产地评价规范》（HJ568-2010）中表4养殖场土壤环境质量评价标准全值</w:t>
      </w:r>
      <w:r>
        <w:rPr>
          <w:rFonts w:hint="eastAsia" w:ascii="Times New Roman" w:hAnsi="Times New Roman" w:eastAsia="宋体"/>
          <w:strike w:val="0"/>
          <w:dstrike w:val="0"/>
          <w:color w:val="auto"/>
          <w:highlight w:val="none"/>
          <w:lang w:eastAsia="zh-CN"/>
        </w:rPr>
        <w:t>。</w:t>
      </w:r>
    </w:p>
    <w:p w14:paraId="71CE4F69">
      <w:pPr>
        <w:pStyle w:val="4"/>
        <w:rPr>
          <w:rFonts w:ascii="Times New Roman" w:hAnsi="Times New Roman" w:eastAsia="宋体"/>
          <w:strike w:val="0"/>
          <w:dstrike w:val="0"/>
          <w:color w:val="auto"/>
          <w:highlight w:val="none"/>
        </w:rPr>
      </w:pPr>
      <w:bookmarkStart w:id="312" w:name="_Toc23908"/>
      <w:bookmarkStart w:id="313" w:name="_Toc106663530"/>
      <w:r>
        <w:rPr>
          <w:rFonts w:hint="eastAsia" w:ascii="Times New Roman" w:hAnsi="Times New Roman" w:eastAsia="宋体"/>
          <w:strike w:val="0"/>
          <w:dstrike w:val="0"/>
          <w:color w:val="auto"/>
          <w:highlight w:val="none"/>
        </w:rPr>
        <w:t>6.2.</w:t>
      </w:r>
      <w:r>
        <w:rPr>
          <w:rFonts w:hint="eastAsia" w:ascii="Times New Roman" w:hAnsi="Times New Roman" w:eastAsia="宋体"/>
          <w:strike w:val="0"/>
          <w:dstrike w:val="0"/>
          <w:color w:val="auto"/>
          <w:highlight w:val="none"/>
          <w:lang w:val="en-US" w:eastAsia="zh-CN"/>
        </w:rPr>
        <w:t>6</w:t>
      </w:r>
      <w:r>
        <w:rPr>
          <w:rFonts w:hint="eastAsia" w:ascii="Times New Roman" w:hAnsi="Times New Roman" w:eastAsia="宋体"/>
          <w:strike w:val="0"/>
          <w:dstrike w:val="0"/>
          <w:color w:val="auto"/>
          <w:highlight w:val="none"/>
        </w:rPr>
        <w:t>生态防治措施</w:t>
      </w:r>
      <w:bookmarkEnd w:id="312"/>
      <w:bookmarkEnd w:id="313"/>
    </w:p>
    <w:p w14:paraId="35BA784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（1）工程设计时应做好厂区绿化的规划设计，落实绿化费用，设置专职绿化管理人员，保证绿化效果</w:t>
      </w:r>
      <w:r>
        <w:rPr>
          <w:rFonts w:hint="eastAsia" w:ascii="Times New Roman" w:hAnsi="Times New Roman" w:eastAsia="宋体"/>
          <w:strike w:val="0"/>
          <w:dstrike w:val="0"/>
          <w:color w:val="auto"/>
          <w:highlight w:val="none"/>
          <w:lang w:eastAsia="zh-CN"/>
        </w:rPr>
        <w:t>。</w:t>
      </w:r>
    </w:p>
    <w:p w14:paraId="25AEC19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（2）规划本项目绿化对项目区的生态环境将起到一定的恢复作用，使局部生态环境得到改善，对项目区生态环境产生的影响不大</w:t>
      </w:r>
      <w:r>
        <w:rPr>
          <w:rFonts w:hint="eastAsia" w:ascii="Times New Roman" w:hAnsi="Times New Roman" w:eastAsia="宋体"/>
          <w:strike w:val="0"/>
          <w:dstrike w:val="0"/>
          <w:color w:val="auto"/>
          <w:highlight w:val="none"/>
          <w:lang w:eastAsia="zh-CN"/>
        </w:rPr>
        <w:t>。</w:t>
      </w:r>
    </w:p>
    <w:p w14:paraId="7A8E61A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3）另外为了原料运输及检修、消防需要，为了环境保护的要求，厂内其他未绿化裸露地面必须进行平整、硬化，主干道和人行道必须铺设混凝土或沥青路面，以达到美化厂区环境，为生产营造所需的良好环境的目的</w:t>
      </w:r>
      <w:r>
        <w:rPr>
          <w:rFonts w:hint="eastAsia" w:ascii="Times New Roman" w:hAnsi="Times New Roman" w:eastAsia="宋体"/>
          <w:strike w:val="0"/>
          <w:dstrike w:val="0"/>
          <w:color w:val="auto"/>
          <w:highlight w:val="none"/>
          <w:lang w:eastAsia="zh-CN"/>
        </w:rPr>
        <w:t>。</w:t>
      </w:r>
    </w:p>
    <w:p w14:paraId="4A0EEFC6">
      <w:pPr>
        <w:pStyle w:val="3"/>
        <w:rPr>
          <w:rFonts w:ascii="Times New Roman" w:hAnsi="Times New Roman" w:eastAsia="宋体"/>
          <w:strike w:val="0"/>
          <w:dstrike w:val="0"/>
          <w:color w:val="auto"/>
          <w:highlight w:val="none"/>
        </w:rPr>
      </w:pPr>
      <w:bookmarkStart w:id="314" w:name="_Toc89619350"/>
      <w:bookmarkStart w:id="315" w:name="_Toc22265"/>
      <w:r>
        <w:rPr>
          <w:rFonts w:hint="eastAsia" w:ascii="Times New Roman" w:hAnsi="Times New Roman" w:eastAsia="宋体"/>
          <w:strike w:val="0"/>
          <w:dstrike w:val="0"/>
          <w:color w:val="auto"/>
          <w:highlight w:val="none"/>
        </w:rPr>
        <w:t>6.3环境风险防范措施</w:t>
      </w:r>
      <w:bookmarkEnd w:id="314"/>
      <w:bookmarkEnd w:id="315"/>
    </w:p>
    <w:p w14:paraId="7D2F070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应加大事故防范措施建设，加大防范力度，防患于未然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另外，要制定合理可行的事故应急预案，以控制事故和减少对环境造成的危害</w:t>
      </w:r>
      <w:r>
        <w:rPr>
          <w:rFonts w:hint="eastAsia" w:ascii="Times New Roman" w:hAnsi="Times New Roman" w:eastAsia="宋体"/>
          <w:strike w:val="0"/>
          <w:dstrike w:val="0"/>
          <w:color w:val="auto"/>
          <w:highlight w:val="none"/>
          <w:lang w:eastAsia="zh-CN"/>
        </w:rPr>
        <w:t>。</w:t>
      </w:r>
    </w:p>
    <w:p w14:paraId="415C755D">
      <w:pPr>
        <w:pStyle w:val="4"/>
        <w:rPr>
          <w:rFonts w:ascii="Times New Roman" w:hAnsi="Times New Roman" w:eastAsia="宋体"/>
          <w:strike w:val="0"/>
          <w:dstrike w:val="0"/>
          <w:color w:val="auto"/>
          <w:highlight w:val="none"/>
        </w:rPr>
      </w:pPr>
      <w:bookmarkStart w:id="316" w:name="_Toc106663532"/>
      <w:bookmarkStart w:id="317" w:name="_Toc911"/>
      <w:r>
        <w:rPr>
          <w:rFonts w:hint="eastAsia" w:ascii="Times New Roman" w:hAnsi="Times New Roman" w:eastAsia="宋体"/>
          <w:strike w:val="0"/>
          <w:dstrike w:val="0"/>
          <w:color w:val="auto"/>
          <w:highlight w:val="none"/>
        </w:rPr>
        <w:t>6.3.1火灾防范措施</w:t>
      </w:r>
      <w:bookmarkEnd w:id="316"/>
      <w:bookmarkEnd w:id="317"/>
    </w:p>
    <w:p w14:paraId="692C421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（1）制定安全管理制度、安全操作规程和工艺操作规程</w:t>
      </w:r>
      <w:r>
        <w:rPr>
          <w:rFonts w:hint="eastAsia" w:ascii="Times New Roman" w:hAnsi="Times New Roman" w:eastAsia="宋体"/>
          <w:strike w:val="0"/>
          <w:dstrike w:val="0"/>
          <w:color w:val="auto"/>
          <w:highlight w:val="none"/>
          <w:lang w:eastAsia="zh-CN"/>
        </w:rPr>
        <w:t>。</w:t>
      </w:r>
    </w:p>
    <w:p w14:paraId="0870CB9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）生产工人必须经过考核录用，认真培训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认真学习工艺生产技术、安全生产要点和岗位安全操作规程，熟悉生产原辅料及产品日常防护、急救措施以及泄漏处理和灭火方法，考试合格后，持证上岗</w:t>
      </w:r>
      <w:r>
        <w:rPr>
          <w:rFonts w:hint="eastAsia" w:ascii="Times New Roman" w:hAnsi="Times New Roman" w:eastAsia="宋体"/>
          <w:strike w:val="0"/>
          <w:dstrike w:val="0"/>
          <w:color w:val="auto"/>
          <w:highlight w:val="none"/>
          <w:lang w:eastAsia="zh-CN"/>
        </w:rPr>
        <w:t>。</w:t>
      </w:r>
    </w:p>
    <w:p w14:paraId="4510846E">
      <w:pPr>
        <w:pStyle w:val="4"/>
        <w:rPr>
          <w:rFonts w:ascii="Times New Roman" w:hAnsi="Times New Roman" w:eastAsia="宋体"/>
          <w:strike w:val="0"/>
          <w:dstrike w:val="0"/>
          <w:color w:val="auto"/>
          <w:highlight w:val="none"/>
        </w:rPr>
      </w:pPr>
      <w:bookmarkStart w:id="318" w:name="_Toc16512"/>
      <w:bookmarkStart w:id="319" w:name="_Toc106663533"/>
      <w:r>
        <w:rPr>
          <w:rFonts w:hint="eastAsia" w:ascii="Times New Roman" w:hAnsi="Times New Roman" w:eastAsia="宋体"/>
          <w:strike w:val="0"/>
          <w:dstrike w:val="0"/>
          <w:color w:val="auto"/>
          <w:highlight w:val="none"/>
        </w:rPr>
        <w:t>6.3.2废气处理措施故障防范措施</w:t>
      </w:r>
      <w:bookmarkEnd w:id="318"/>
      <w:bookmarkEnd w:id="319"/>
    </w:p>
    <w:p w14:paraId="3585403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要求建设单位必须加强环保设备的管理和维护，减小净化系统失效概率，降低对环境的不良影响</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一旦发生废气非正常及事故排放，应立即停止生产，并及时检修，待故障解除后，方可恢复生产</w:t>
      </w:r>
      <w:r>
        <w:rPr>
          <w:rFonts w:hint="eastAsia" w:ascii="Times New Roman" w:hAnsi="Times New Roman" w:eastAsia="宋体"/>
          <w:strike w:val="0"/>
          <w:dstrike w:val="0"/>
          <w:color w:val="auto"/>
          <w:highlight w:val="none"/>
          <w:lang w:eastAsia="zh-CN"/>
        </w:rPr>
        <w:t>。</w:t>
      </w:r>
    </w:p>
    <w:p w14:paraId="5A62DAFC">
      <w:pPr>
        <w:pStyle w:val="4"/>
        <w:rPr>
          <w:rFonts w:ascii="Times New Roman" w:hAnsi="Times New Roman" w:eastAsia="宋体"/>
          <w:strike w:val="0"/>
          <w:dstrike w:val="0"/>
          <w:color w:val="auto"/>
          <w:highlight w:val="none"/>
        </w:rPr>
      </w:pPr>
      <w:bookmarkStart w:id="320" w:name="_Toc106663534"/>
      <w:bookmarkStart w:id="321" w:name="_Toc21887"/>
      <w:r>
        <w:rPr>
          <w:rFonts w:hint="eastAsia" w:ascii="Times New Roman" w:hAnsi="Times New Roman" w:eastAsia="宋体"/>
          <w:strike w:val="0"/>
          <w:dstrike w:val="0"/>
          <w:color w:val="auto"/>
          <w:highlight w:val="none"/>
        </w:rPr>
        <w:t>6.3.3有害物质泄漏防范措施</w:t>
      </w:r>
      <w:bookmarkEnd w:id="320"/>
      <w:bookmarkEnd w:id="321"/>
    </w:p>
    <w:p w14:paraId="0381402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（1）项目区内一般区域采用水泥硬化路面，</w:t>
      </w:r>
      <w:r>
        <w:rPr>
          <w:rFonts w:hint="eastAsia" w:ascii="Times New Roman" w:hAnsi="Times New Roman" w:eastAsia="宋体"/>
          <w:strike w:val="0"/>
          <w:dstrike w:val="0"/>
          <w:color w:val="auto"/>
          <w:highlight w:val="none"/>
          <w:lang w:eastAsia="zh-CN"/>
        </w:rPr>
        <w:t>医疗废物暂存间</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val="en-US" w:eastAsia="zh-CN"/>
        </w:rPr>
        <w:t>堆肥场、黑膜池</w:t>
      </w:r>
      <w:r>
        <w:rPr>
          <w:rFonts w:hint="eastAsia" w:ascii="Times New Roman" w:hAnsi="Times New Roman" w:eastAsia="宋体"/>
          <w:strike w:val="0"/>
          <w:dstrike w:val="0"/>
          <w:color w:val="auto"/>
          <w:highlight w:val="none"/>
        </w:rPr>
        <w:t>为重点防渗区，对于重点防治污染区执行地面防渗设计；基础防渗，防渗层为至少1m厚黏土层（渗透系数不大于10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cm/s），或至少2 mm厚高密度聚乙烯膜等人工防渗材料（渗透系数不大于10</w:t>
      </w:r>
      <w:r>
        <w:rPr>
          <w:rFonts w:hint="eastAsia" w:ascii="Times New Roman" w:hAnsi="Times New Roman" w:eastAsia="宋体"/>
          <w:strike w:val="0"/>
          <w:dstrike w:val="0"/>
          <w:color w:val="auto"/>
          <w:highlight w:val="none"/>
          <w:vertAlign w:val="superscript"/>
        </w:rPr>
        <w:t>-10</w:t>
      </w:r>
      <w:r>
        <w:rPr>
          <w:rFonts w:hint="eastAsia" w:ascii="Times New Roman" w:hAnsi="Times New Roman" w:eastAsia="宋体"/>
          <w:strike w:val="0"/>
          <w:dstrike w:val="0"/>
          <w:color w:val="auto"/>
          <w:highlight w:val="none"/>
        </w:rPr>
        <w:t>cm/s），或其他防渗性能等效的材料</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w:t>
      </w:r>
      <w:r>
        <w:rPr>
          <w:rFonts w:hint="eastAsia" w:ascii="Times New Roman" w:hAnsi="Times New Roman" w:eastAsia="宋体"/>
          <w:strike w:val="0"/>
          <w:dstrike w:val="0"/>
          <w:color w:val="auto"/>
          <w:highlight w:val="none"/>
          <w:lang w:val="en-US" w:eastAsia="zh-CN"/>
        </w:rPr>
        <w:t>骆驼圈舍、挤奶大厅</w:t>
      </w:r>
      <w:r>
        <w:rPr>
          <w:rFonts w:hint="eastAsia" w:ascii="Times New Roman" w:hAnsi="Times New Roman" w:eastAsia="宋体"/>
          <w:strike w:val="0"/>
          <w:dstrike w:val="0"/>
          <w:color w:val="auto"/>
          <w:highlight w:val="none"/>
        </w:rPr>
        <w:t>为一般防渗区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对于一般污染防治区，参照</w:t>
      </w:r>
      <w:r>
        <w:rPr>
          <w:rFonts w:ascii="Times New Roman" w:hAnsi="Times New Roman" w:eastAsia="宋体" w:cs="宋体"/>
          <w:strike w:val="0"/>
          <w:dstrike w:val="0"/>
          <w:color w:val="auto"/>
          <w:spacing w:val="0"/>
          <w:position w:val="0"/>
          <w:sz w:val="24"/>
          <w:szCs w:val="24"/>
          <w:highlight w:val="none"/>
        </w:rPr>
        <w:t>《一般工业固体废物贮存和填埋污染控制标准》</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Times New Roman"/>
          <w:strike w:val="0"/>
          <w:dstrike w:val="0"/>
          <w:color w:val="auto"/>
          <w:spacing w:val="0"/>
          <w:position w:val="0"/>
          <w:sz w:val="24"/>
          <w:szCs w:val="24"/>
          <w:highlight w:val="none"/>
        </w:rPr>
        <w:t>GB18599-2020</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strike w:val="0"/>
          <w:dstrike w:val="0"/>
          <w:color w:val="auto"/>
          <w:highlight w:val="none"/>
        </w:rPr>
        <w:t>Ⅱ类场进行设计，天然基础层的渗透系数均大于1.0×10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cm/s，因此应采用天然或人工材料构筑防渗层，防渗层的厚度应相当于渗透系数1.0×10</w:t>
      </w:r>
      <w:r>
        <w:rPr>
          <w:rFonts w:hint="eastAsia" w:ascii="Times New Roman" w:hAnsi="Times New Roman" w:eastAsia="宋体"/>
          <w:strike w:val="0"/>
          <w:dstrike w:val="0"/>
          <w:color w:val="auto"/>
          <w:highlight w:val="none"/>
          <w:vertAlign w:val="superscript"/>
        </w:rPr>
        <w:t>-7</w:t>
      </w:r>
      <w:r>
        <w:rPr>
          <w:rFonts w:hint="eastAsia" w:ascii="Times New Roman" w:hAnsi="Times New Roman" w:eastAsia="宋体"/>
          <w:strike w:val="0"/>
          <w:dstrike w:val="0"/>
          <w:color w:val="auto"/>
          <w:highlight w:val="none"/>
        </w:rPr>
        <w:t>cm/s和厚度1.5m的粘土层的防渗性能</w:t>
      </w:r>
      <w:r>
        <w:rPr>
          <w:rFonts w:hint="eastAsia" w:ascii="Times New Roman" w:hAnsi="Times New Roman" w:eastAsia="宋体"/>
          <w:strike w:val="0"/>
          <w:dstrike w:val="0"/>
          <w:color w:val="auto"/>
          <w:highlight w:val="none"/>
          <w:lang w:eastAsia="zh-CN"/>
        </w:rPr>
        <w:t>。</w:t>
      </w:r>
    </w:p>
    <w:p w14:paraId="54CB26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（2）加强环境监测，定期检查厂区硫化物、氨等恶臭气的气体浓度；发现异常情况立即处理</w:t>
      </w:r>
      <w:r>
        <w:rPr>
          <w:rFonts w:hint="eastAsia" w:ascii="Times New Roman" w:hAnsi="Times New Roman" w:eastAsia="宋体"/>
          <w:strike w:val="0"/>
          <w:dstrike w:val="0"/>
          <w:color w:val="auto"/>
          <w:highlight w:val="none"/>
          <w:lang w:eastAsia="zh-CN"/>
        </w:rPr>
        <w:t>。</w:t>
      </w:r>
    </w:p>
    <w:p w14:paraId="0291B7AF">
      <w:pPr>
        <w:pStyle w:val="4"/>
        <w:rPr>
          <w:rFonts w:ascii="Times New Roman" w:hAnsi="Times New Roman" w:eastAsia="宋体"/>
          <w:strike w:val="0"/>
          <w:dstrike w:val="0"/>
          <w:color w:val="auto"/>
          <w:highlight w:val="none"/>
        </w:rPr>
      </w:pPr>
      <w:bookmarkStart w:id="322" w:name="_Toc106663535"/>
      <w:bookmarkStart w:id="323" w:name="_Toc14136"/>
      <w:r>
        <w:rPr>
          <w:rFonts w:hint="eastAsia" w:ascii="Times New Roman" w:hAnsi="Times New Roman" w:eastAsia="宋体"/>
          <w:strike w:val="0"/>
          <w:dstrike w:val="0"/>
          <w:color w:val="auto"/>
          <w:highlight w:val="none"/>
        </w:rPr>
        <w:t>6.3.4疫病风险防范措施</w:t>
      </w:r>
      <w:bookmarkEnd w:id="322"/>
      <w:bookmarkEnd w:id="323"/>
    </w:p>
    <w:p w14:paraId="6E9C6D4E">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为预防疫情的发生，本养殖场首先做好综合预防措施和扑灭措施，预防措施包括：加强饲养管理，增强</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的抵抗力；坚持自繁自养；制订合理的免疫程序；药物预防</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扑灭措施包括：疫情上报、诊断、隔离和封锁、紧急接种和治疗、消毒、尸体处理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当发生重大动物疫情时应按照当地政府和主管部门要求采取措施：</w:t>
      </w:r>
    </w:p>
    <w:p w14:paraId="6C63ED5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（1）加强饲养管理，增强</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抵抗力</w:t>
      </w:r>
      <w:r>
        <w:rPr>
          <w:rFonts w:hint="eastAsia" w:ascii="Times New Roman" w:hAnsi="Times New Roman" w:eastAsia="宋体"/>
          <w:strike w:val="0"/>
          <w:dstrike w:val="0"/>
          <w:color w:val="auto"/>
          <w:highlight w:val="none"/>
          <w:lang w:eastAsia="zh-CN"/>
        </w:rPr>
        <w:t>。</w:t>
      </w:r>
    </w:p>
    <w:p w14:paraId="73FBEC3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1）要按照</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的品种、性别、年龄、体重、强弱等进行合理分群饲养</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根据各类</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的营养需要、饲养标准，确定适宜的饲粮和饲喂方法</w:t>
      </w:r>
      <w:r>
        <w:rPr>
          <w:rFonts w:hint="eastAsia" w:ascii="Times New Roman" w:hAnsi="Times New Roman" w:eastAsia="宋体"/>
          <w:strike w:val="0"/>
          <w:dstrike w:val="0"/>
          <w:color w:val="auto"/>
          <w:highlight w:val="none"/>
          <w:lang w:eastAsia="zh-CN"/>
        </w:rPr>
        <w:t>。</w:t>
      </w:r>
    </w:p>
    <w:p w14:paraId="774B820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2）保证</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清洁舒适，通风良好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每月用药物进行1～2次定期消毒</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空出的</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，一定要彻底消毒，一周后才可进</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lang w:eastAsia="zh-CN"/>
        </w:rPr>
        <w:t>。</w:t>
      </w:r>
    </w:p>
    <w:p w14:paraId="1D126D6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（2）制订合理的免疫程序，与当地兽医主管理部门保持联系，做好场区</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免疫工作</w:t>
      </w:r>
      <w:r>
        <w:rPr>
          <w:rFonts w:hint="eastAsia" w:ascii="Times New Roman" w:hAnsi="Times New Roman" w:eastAsia="宋体"/>
          <w:strike w:val="0"/>
          <w:dstrike w:val="0"/>
          <w:color w:val="auto"/>
          <w:highlight w:val="none"/>
          <w:lang w:eastAsia="zh-CN"/>
        </w:rPr>
        <w:t>。</w:t>
      </w:r>
    </w:p>
    <w:p w14:paraId="6A81AF8C">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（3）发现传染病的紧急处理</w:t>
      </w:r>
    </w:p>
    <w:p w14:paraId="5B86E02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发现传染病或疑似传染病时，应按照《中华人民共和国动物防疫法》的有关条款，采取相应的紧急防治措施，就地扑灭，尸体应作无害化处理</w:t>
      </w:r>
      <w:r>
        <w:rPr>
          <w:rFonts w:hint="eastAsia" w:ascii="Times New Roman" w:hAnsi="Times New Roman" w:eastAsia="宋体"/>
          <w:strike w:val="0"/>
          <w:dstrike w:val="0"/>
          <w:color w:val="auto"/>
          <w:highlight w:val="none"/>
          <w:lang w:eastAsia="zh-CN"/>
        </w:rPr>
        <w:t>。</w:t>
      </w:r>
    </w:p>
    <w:p w14:paraId="0F9CEA36">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具体实施措施有：</w:t>
      </w:r>
    </w:p>
    <w:p w14:paraId="51B9E07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1）封闭管理</w:t>
      </w:r>
      <w:r>
        <w:rPr>
          <w:rFonts w:hint="eastAsia" w:ascii="Times New Roman" w:hAnsi="Times New Roman" w:eastAsia="宋体"/>
          <w:strike w:val="0"/>
          <w:dstrike w:val="0"/>
          <w:color w:val="auto"/>
          <w:highlight w:val="none"/>
          <w:lang w:eastAsia="zh-CN"/>
        </w:rPr>
        <w:t>。</w:t>
      </w:r>
    </w:p>
    <w:p w14:paraId="264D921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人员管理：禁止非本场人员进入生产区；本场饲养人员进入生产区时，必须更换工作衣鞋，通过紫外线消毒后，经消毒池入内；本场兽医不得到场外就诊、防疫</w:t>
      </w:r>
      <w:r>
        <w:rPr>
          <w:rFonts w:hint="eastAsia" w:ascii="Times New Roman" w:hAnsi="Times New Roman" w:eastAsia="宋体"/>
          <w:strike w:val="0"/>
          <w:dstrike w:val="0"/>
          <w:color w:val="auto"/>
          <w:highlight w:val="none"/>
          <w:lang w:eastAsia="zh-CN"/>
        </w:rPr>
        <w:t>。</w:t>
      </w:r>
    </w:p>
    <w:p w14:paraId="0865A78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工具、车辆要求：场内外工具、车辆要严格分开，并定期消毒；外来工具、车辆一般不予进入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禁止生的畜产品带入生产区</w:t>
      </w:r>
      <w:r>
        <w:rPr>
          <w:rFonts w:hint="eastAsia" w:ascii="Times New Roman" w:hAnsi="Times New Roman" w:eastAsia="宋体"/>
          <w:strike w:val="0"/>
          <w:dstrike w:val="0"/>
          <w:color w:val="auto"/>
          <w:highlight w:val="none"/>
          <w:lang w:eastAsia="zh-CN"/>
        </w:rPr>
        <w:t>。</w:t>
      </w:r>
    </w:p>
    <w:p w14:paraId="3212B65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把好引种关：引种前要了解产地疫病情况，并经动物防疫部门监测检疫，引入后要隔离饲养观察</w:t>
      </w:r>
      <w:r>
        <w:rPr>
          <w:rFonts w:hint="eastAsia" w:ascii="Times New Roman" w:hAnsi="Times New Roman" w:eastAsia="宋体"/>
          <w:strike w:val="0"/>
          <w:dstrike w:val="0"/>
          <w:color w:val="auto"/>
          <w:highlight w:val="none"/>
          <w:lang w:eastAsia="zh-CN"/>
        </w:rPr>
        <w:t>。</w:t>
      </w:r>
    </w:p>
    <w:p w14:paraId="0ACB80E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2）科学免疫</w:t>
      </w:r>
      <w:r>
        <w:rPr>
          <w:rFonts w:hint="eastAsia" w:ascii="Times New Roman" w:hAnsi="Times New Roman" w:eastAsia="宋体"/>
          <w:strike w:val="0"/>
          <w:dstrike w:val="0"/>
          <w:color w:val="auto"/>
          <w:highlight w:val="none"/>
          <w:lang w:eastAsia="zh-CN"/>
        </w:rPr>
        <w:t>。</w:t>
      </w:r>
    </w:p>
    <w:p w14:paraId="43D607F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对</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实行科学免疫是有效防止疫病发生的重要措施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养殖场应根据本场的疫病史、场周围的疫情、</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免疫抗体水平及</w:t>
      </w:r>
      <w:r>
        <w:rPr>
          <w:rFonts w:hint="eastAsia" w:ascii="Times New Roman" w:hAnsi="Times New Roman" w:eastAsia="宋体"/>
          <w:strike w:val="0"/>
          <w:dstrike w:val="0"/>
          <w:color w:val="auto"/>
          <w:highlight w:val="none"/>
          <w:lang w:val="en-US" w:eastAsia="zh-CN"/>
        </w:rPr>
        <w:t>骆驼</w:t>
      </w:r>
      <w:r>
        <w:rPr>
          <w:rFonts w:hint="eastAsia" w:ascii="Times New Roman" w:hAnsi="Times New Roman" w:eastAsia="宋体"/>
          <w:strike w:val="0"/>
          <w:dstrike w:val="0"/>
          <w:color w:val="auto"/>
          <w:highlight w:val="none"/>
        </w:rPr>
        <w:t>的不同饲养阶段等情况，有针对性地制定免疫计划</w:t>
      </w:r>
      <w:r>
        <w:rPr>
          <w:rFonts w:hint="eastAsia" w:ascii="Times New Roman" w:hAnsi="Times New Roman" w:eastAsia="宋体"/>
          <w:strike w:val="0"/>
          <w:dstrike w:val="0"/>
          <w:color w:val="auto"/>
          <w:highlight w:val="none"/>
          <w:lang w:eastAsia="zh-CN"/>
        </w:rPr>
        <w:t>。</w:t>
      </w:r>
    </w:p>
    <w:p w14:paraId="21D210D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选择购买由国家畜牧兽医行政管理部门定点生产的疫苗，加强疫苗保管储存，并由兽医按防疫注射操作规程实行免疫，同时建立免疫档案</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有条件的应及时开展免疫效果监测，并根据监测情况调整免疫程序</w:t>
      </w:r>
      <w:r>
        <w:rPr>
          <w:rFonts w:hint="eastAsia" w:ascii="Times New Roman" w:hAnsi="Times New Roman" w:eastAsia="宋体"/>
          <w:strike w:val="0"/>
          <w:dstrike w:val="0"/>
          <w:color w:val="auto"/>
          <w:highlight w:val="none"/>
          <w:lang w:eastAsia="zh-CN"/>
        </w:rPr>
        <w:t>。</w:t>
      </w:r>
    </w:p>
    <w:p w14:paraId="577D629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3）规范消毒</w:t>
      </w:r>
      <w:r>
        <w:rPr>
          <w:rFonts w:hint="eastAsia" w:ascii="Times New Roman" w:hAnsi="Times New Roman" w:eastAsia="宋体"/>
          <w:strike w:val="0"/>
          <w:dstrike w:val="0"/>
          <w:color w:val="auto"/>
          <w:highlight w:val="none"/>
          <w:lang w:eastAsia="zh-CN"/>
        </w:rPr>
        <w:t>。</w:t>
      </w:r>
    </w:p>
    <w:p w14:paraId="7A710B6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消毒工作须做到经常化、制度化，要定期交替使用广谱、高效、低毒的消毒剂；制定科学的消毒程序，定期对</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周边环境消毒，任何饲养阶段的</w:t>
      </w:r>
      <w:r>
        <w:rPr>
          <w:rFonts w:hint="eastAsia" w:ascii="Times New Roman" w:hAnsi="Times New Roman" w:eastAsia="宋体"/>
          <w:strike w:val="0"/>
          <w:dstrike w:val="0"/>
          <w:color w:val="auto"/>
          <w:highlight w:val="none"/>
          <w:lang w:val="en-US" w:eastAsia="zh-CN"/>
        </w:rPr>
        <w:t>骆驼圈舍</w:t>
      </w:r>
      <w:r>
        <w:rPr>
          <w:rFonts w:hint="eastAsia" w:ascii="Times New Roman" w:hAnsi="Times New Roman" w:eastAsia="宋体"/>
          <w:strike w:val="0"/>
          <w:dstrike w:val="0"/>
          <w:color w:val="auto"/>
          <w:highlight w:val="none"/>
        </w:rPr>
        <w:t>每周至少消毒2次，在条件允许的情况下，要实施带体消毒</w:t>
      </w:r>
      <w:r>
        <w:rPr>
          <w:rFonts w:hint="eastAsia" w:ascii="Times New Roman" w:hAnsi="Times New Roman" w:eastAsia="宋体"/>
          <w:strike w:val="0"/>
          <w:dstrike w:val="0"/>
          <w:color w:val="auto"/>
          <w:highlight w:val="none"/>
          <w:lang w:eastAsia="zh-CN"/>
        </w:rPr>
        <w:t>。</w:t>
      </w:r>
    </w:p>
    <w:p w14:paraId="6E4DE58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4）合理用药</w:t>
      </w:r>
      <w:r>
        <w:rPr>
          <w:rFonts w:hint="eastAsia" w:ascii="Times New Roman" w:hAnsi="Times New Roman" w:eastAsia="宋体"/>
          <w:strike w:val="0"/>
          <w:dstrike w:val="0"/>
          <w:color w:val="auto"/>
          <w:highlight w:val="none"/>
          <w:lang w:eastAsia="zh-CN"/>
        </w:rPr>
        <w:t>。</w:t>
      </w:r>
    </w:p>
    <w:p w14:paraId="0D0FF25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规模养殖场兽医用药要严格实行处方用药制度，定期采集一些</w:t>
      </w:r>
      <w:r>
        <w:rPr>
          <w:rFonts w:hint="eastAsia" w:ascii="Times New Roman" w:hAnsi="Times New Roman" w:eastAsia="宋体"/>
          <w:strike w:val="0"/>
          <w:dstrike w:val="0"/>
          <w:color w:val="auto"/>
          <w:highlight w:val="none"/>
          <w:lang w:eastAsia="zh-CN"/>
        </w:rPr>
        <w:t>病骆驼</w:t>
      </w:r>
      <w:r>
        <w:rPr>
          <w:rFonts w:hint="eastAsia" w:ascii="Times New Roman" w:hAnsi="Times New Roman" w:eastAsia="宋体"/>
          <w:strike w:val="0"/>
          <w:dstrike w:val="0"/>
          <w:color w:val="auto"/>
          <w:highlight w:val="none"/>
        </w:rPr>
        <w:t>的病料进行细菌分离培养和药敏试验，并根据药敏试验结果选择敏感药物进行预防、治疗，避免耐药菌株的产生</w:t>
      </w:r>
      <w:r>
        <w:rPr>
          <w:rFonts w:hint="eastAsia" w:ascii="Times New Roman" w:hAnsi="Times New Roman" w:eastAsia="宋体"/>
          <w:strike w:val="0"/>
          <w:dstrike w:val="0"/>
          <w:color w:val="auto"/>
          <w:highlight w:val="none"/>
          <w:lang w:eastAsia="zh-CN"/>
        </w:rPr>
        <w:t>。</w:t>
      </w:r>
    </w:p>
    <w:p w14:paraId="447DD2B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5）疫情监测</w:t>
      </w:r>
      <w:r>
        <w:rPr>
          <w:rFonts w:hint="eastAsia" w:ascii="Times New Roman" w:hAnsi="Times New Roman" w:eastAsia="宋体"/>
          <w:strike w:val="0"/>
          <w:dstrike w:val="0"/>
          <w:color w:val="auto"/>
          <w:highlight w:val="none"/>
          <w:lang w:eastAsia="zh-CN"/>
        </w:rPr>
        <w:t>。</w:t>
      </w:r>
    </w:p>
    <w:p w14:paraId="2A90685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兽医每天要定期巡查</w:t>
      </w:r>
      <w:r>
        <w:rPr>
          <w:rFonts w:hint="eastAsia" w:ascii="Times New Roman" w:hAnsi="Times New Roman" w:eastAsia="宋体"/>
          <w:strike w:val="0"/>
          <w:dstrike w:val="0"/>
          <w:color w:val="auto"/>
          <w:highlight w:val="none"/>
          <w:lang w:eastAsia="zh-CN"/>
        </w:rPr>
        <w:t>骆驼圈舍</w:t>
      </w:r>
      <w:r>
        <w:rPr>
          <w:rFonts w:hint="eastAsia" w:ascii="Times New Roman" w:hAnsi="Times New Roman" w:eastAsia="宋体"/>
          <w:strike w:val="0"/>
          <w:dstrike w:val="0"/>
          <w:color w:val="auto"/>
          <w:highlight w:val="none"/>
        </w:rPr>
        <w:t>，发现疫情要及时采取应对措施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规模养殖场一旦发生重大动物疫情时，要立即向当地动物防疫监督机构报告，并及时采取隔离、消毒、扑杀、紧急免疫等有效措施，控制疫情，防止疫情扩散</w:t>
      </w:r>
      <w:r>
        <w:rPr>
          <w:rFonts w:hint="eastAsia" w:ascii="Times New Roman" w:hAnsi="Times New Roman" w:eastAsia="宋体"/>
          <w:strike w:val="0"/>
          <w:dstrike w:val="0"/>
          <w:color w:val="auto"/>
          <w:highlight w:val="none"/>
          <w:lang w:eastAsia="zh-CN"/>
        </w:rPr>
        <w:t>。</w:t>
      </w:r>
    </w:p>
    <w:p w14:paraId="47C4875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6）日常卫生</w:t>
      </w:r>
      <w:r>
        <w:rPr>
          <w:rFonts w:hint="eastAsia" w:ascii="Times New Roman" w:hAnsi="Times New Roman" w:eastAsia="宋体"/>
          <w:strike w:val="0"/>
          <w:dstrike w:val="0"/>
          <w:color w:val="auto"/>
          <w:highlight w:val="none"/>
          <w:lang w:eastAsia="zh-CN"/>
        </w:rPr>
        <w:t>。</w:t>
      </w:r>
    </w:p>
    <w:p w14:paraId="5F5FE66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平常要认真做好牧场卫生工作，及时处理粪便，定期进行灭鼠、灭蝇、灭蚊等工作</w:t>
      </w:r>
      <w:r>
        <w:rPr>
          <w:rFonts w:hint="eastAsia" w:ascii="Times New Roman" w:hAnsi="Times New Roman" w:eastAsia="宋体"/>
          <w:strike w:val="0"/>
          <w:dstrike w:val="0"/>
          <w:color w:val="auto"/>
          <w:highlight w:val="none"/>
          <w:lang w:eastAsia="zh-CN"/>
        </w:rPr>
        <w:t>。</w:t>
      </w:r>
    </w:p>
    <w:p w14:paraId="7665512D">
      <w:pPr>
        <w:pStyle w:val="4"/>
        <w:rPr>
          <w:rFonts w:ascii="Times New Roman" w:hAnsi="Times New Roman" w:eastAsia="宋体"/>
          <w:strike w:val="0"/>
          <w:dstrike w:val="0"/>
          <w:color w:val="auto"/>
          <w:highlight w:val="none"/>
        </w:rPr>
      </w:pPr>
      <w:bookmarkStart w:id="324" w:name="_Toc25436"/>
      <w:bookmarkStart w:id="325" w:name="_Toc106663536"/>
      <w:r>
        <w:rPr>
          <w:rFonts w:hint="eastAsia" w:ascii="Times New Roman" w:hAnsi="Times New Roman" w:eastAsia="宋体"/>
          <w:strike w:val="0"/>
          <w:dstrike w:val="0"/>
          <w:color w:val="auto"/>
          <w:highlight w:val="none"/>
        </w:rPr>
        <w:t>6.3.5养殖场隔离舍建设要求及日常防治措施</w:t>
      </w:r>
      <w:bookmarkEnd w:id="324"/>
      <w:bookmarkEnd w:id="325"/>
    </w:p>
    <w:p w14:paraId="7056CD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本次环评建议设置隔离舍，隔离舍必须在年主导风向的下风向，并且不得在地下水径流的上游区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此外隔离区必须与生产区、生活办公区隔开，一般隔离舍区设置在距离生产区、生活办公区50-100m远处较为合适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要求隔离舍四周绿化隔离带隔开，并设专用消毒设施，隔离场的入口处设置警示标志</w:t>
      </w:r>
      <w:r>
        <w:rPr>
          <w:rFonts w:hint="eastAsia" w:ascii="Times New Roman" w:hAnsi="Times New Roman" w:eastAsia="宋体"/>
          <w:strike w:val="0"/>
          <w:dstrike w:val="0"/>
          <w:color w:val="auto"/>
          <w:highlight w:val="none"/>
          <w:lang w:eastAsia="zh-CN"/>
        </w:rPr>
        <w:t>。</w:t>
      </w:r>
    </w:p>
    <w:p w14:paraId="13E6E4D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另外隔离舍区要加强管理：要求工作人员无人兽共患传染病；严禁非工作人员进入隔离区；工作人员进出隔离区应该遵循程序，更衣→换鞋→经消毒池→消毒通道进出；隔离舍要定期彻底清洗/毒隔设备（运输车辆等）；工作人员未经管理人员批准随意进出隔离舍；不得携进（出）任何物品</w:t>
      </w:r>
      <w:r>
        <w:rPr>
          <w:rFonts w:hint="eastAsia" w:ascii="Times New Roman" w:hAnsi="Times New Roman" w:eastAsia="宋体"/>
          <w:strike w:val="0"/>
          <w:dstrike w:val="0"/>
          <w:color w:val="auto"/>
          <w:highlight w:val="none"/>
          <w:lang w:eastAsia="zh-CN"/>
        </w:rPr>
        <w:t>。</w:t>
      </w:r>
    </w:p>
    <w:p w14:paraId="48340069">
      <w:pPr>
        <w:ind w:firstLine="480"/>
        <w:rPr>
          <w:rFonts w:ascii="Times New Roman" w:hAnsi="Times New Roman" w:eastAsia="宋体"/>
          <w:strike w:val="0"/>
          <w:dstrike w:val="0"/>
          <w:color w:val="auto"/>
          <w:highlight w:val="none"/>
        </w:rPr>
        <w:sectPr>
          <w:footerReference r:id="rId23" w:type="default"/>
          <w:footerReference r:id="rId24"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3E005C69">
      <w:pPr>
        <w:pStyle w:val="2"/>
        <w:rPr>
          <w:rFonts w:ascii="Times New Roman" w:hAnsi="Times New Roman" w:eastAsia="宋体"/>
          <w:strike w:val="0"/>
          <w:dstrike w:val="0"/>
          <w:color w:val="auto"/>
          <w:highlight w:val="none"/>
        </w:rPr>
      </w:pPr>
      <w:bookmarkStart w:id="326" w:name="_Toc4280"/>
      <w:bookmarkStart w:id="327" w:name="_Toc89619351"/>
      <w:r>
        <w:rPr>
          <w:rFonts w:hint="eastAsia" w:ascii="Times New Roman" w:hAnsi="Times New Roman" w:eastAsia="宋体"/>
          <w:strike w:val="0"/>
          <w:dstrike w:val="0"/>
          <w:color w:val="auto"/>
          <w:highlight w:val="none"/>
        </w:rPr>
        <w:t>7、环境影响经济损益分析</w:t>
      </w:r>
      <w:bookmarkEnd w:id="326"/>
      <w:bookmarkEnd w:id="327"/>
    </w:p>
    <w:p w14:paraId="740233E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环境影响经济损益分析的主要任务是衡量项目的环保投资所能收到的环境效益和经济效益，衡量建设项目的环保投资在经济上的合理水平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建设项目的社会影响、经济影响、环境影响是一个系统的三要素，最终以提高人类的生活质量为目的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它们之间既是互相促进，又互相制约，必须通过全面规划、综合平衡、正确地把全局利益和局部利益、长远利益和近期利益结合起来，对环境保护和经济发展进行协调，实现社会效益、经济效益、环境效益的三统一，实现经济的持续发展和环境质量的不断改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属于畜牧养殖行业，通过对本项目的经济、社会和环境效益分析，使项目的建设论证更加充分可靠，工程的设计和实施更加完善，为项目决策者更好地考虑环境、经济和社会效益的统一提供依据，以实现经济的持续增长、社会的良性发展和环境质量的保持与改善</w:t>
      </w:r>
      <w:r>
        <w:rPr>
          <w:rFonts w:hint="eastAsia" w:ascii="Times New Roman" w:hAnsi="Times New Roman" w:eastAsia="宋体"/>
          <w:strike w:val="0"/>
          <w:dstrike w:val="0"/>
          <w:color w:val="auto"/>
          <w:highlight w:val="none"/>
          <w:lang w:eastAsia="zh-CN"/>
        </w:rPr>
        <w:t>。</w:t>
      </w:r>
    </w:p>
    <w:p w14:paraId="5719BF14">
      <w:pPr>
        <w:pStyle w:val="3"/>
        <w:rPr>
          <w:rFonts w:ascii="Times New Roman" w:hAnsi="Times New Roman" w:eastAsia="宋体"/>
          <w:strike w:val="0"/>
          <w:dstrike w:val="0"/>
          <w:color w:val="auto"/>
          <w:highlight w:val="none"/>
        </w:rPr>
      </w:pPr>
      <w:bookmarkStart w:id="328" w:name="_Toc89619352"/>
      <w:bookmarkStart w:id="329" w:name="_Toc16957"/>
      <w:r>
        <w:rPr>
          <w:rFonts w:hint="eastAsia" w:ascii="Times New Roman" w:hAnsi="Times New Roman" w:eastAsia="宋体"/>
          <w:strike w:val="0"/>
          <w:dstrike w:val="0"/>
          <w:color w:val="auto"/>
          <w:highlight w:val="none"/>
        </w:rPr>
        <w:t>7.1社会效益分析</w:t>
      </w:r>
      <w:bookmarkEnd w:id="328"/>
      <w:bookmarkEnd w:id="329"/>
    </w:p>
    <w:p w14:paraId="074F08D4">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本项目的社会效益主要表现在：</w:t>
      </w:r>
    </w:p>
    <w:p w14:paraId="7AABC3A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1、通过该项目的实施，调整种植业结构，加大农业综合开发利用的力度，将现有的资源优势转化为产业优势，提高土地的产出效益</w:t>
      </w:r>
      <w:r>
        <w:rPr>
          <w:rFonts w:hint="eastAsia" w:ascii="Times New Roman" w:hAnsi="Times New Roman" w:eastAsia="宋体"/>
          <w:strike w:val="0"/>
          <w:dstrike w:val="0"/>
          <w:color w:val="auto"/>
          <w:highlight w:val="none"/>
          <w:lang w:eastAsia="zh-CN"/>
        </w:rPr>
        <w:t>。</w:t>
      </w:r>
    </w:p>
    <w:p w14:paraId="57BEAC1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2、通过引进优良品质，采用现代化的养殖工艺与装备，通过标准化、规模化</w:t>
      </w:r>
      <w:r>
        <w:rPr>
          <w:rFonts w:hint="eastAsia" w:ascii="Times New Roman" w:hAnsi="Times New Roman" w:eastAsia="宋体"/>
          <w:strike w:val="0"/>
          <w:dstrike w:val="0"/>
          <w:color w:val="auto"/>
          <w:highlight w:val="none"/>
          <w:lang w:eastAsia="zh-CN"/>
        </w:rPr>
        <w:t>骆驼养殖</w:t>
      </w:r>
      <w:r>
        <w:rPr>
          <w:rFonts w:hint="eastAsia" w:ascii="Times New Roman" w:hAnsi="Times New Roman" w:eastAsia="宋体"/>
          <w:strike w:val="0"/>
          <w:dstrike w:val="0"/>
          <w:color w:val="auto"/>
          <w:highlight w:val="none"/>
        </w:rPr>
        <w:t>模式，加速</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畜牧业产业化进程，推动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畜牧业实现高效生产和可持续发展具有较好的示范作用</w:t>
      </w:r>
      <w:r>
        <w:rPr>
          <w:rFonts w:hint="eastAsia" w:ascii="Times New Roman" w:hAnsi="Times New Roman" w:eastAsia="宋体"/>
          <w:strike w:val="0"/>
          <w:dstrike w:val="0"/>
          <w:color w:val="auto"/>
          <w:highlight w:val="none"/>
          <w:lang w:eastAsia="zh-CN"/>
        </w:rPr>
        <w:t>。</w:t>
      </w:r>
    </w:p>
    <w:p w14:paraId="313F455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3、项目实施后将促进和带动周边加工业等相关产业的发展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同时，结合本项目的实施，可以进一步促进规划区内基础设施的建设</w:t>
      </w:r>
      <w:r>
        <w:rPr>
          <w:rFonts w:hint="eastAsia" w:ascii="Times New Roman" w:hAnsi="Times New Roman" w:eastAsia="宋体"/>
          <w:strike w:val="0"/>
          <w:dstrike w:val="0"/>
          <w:color w:val="auto"/>
          <w:highlight w:val="none"/>
          <w:lang w:eastAsia="zh-CN"/>
        </w:rPr>
        <w:t>。</w:t>
      </w:r>
    </w:p>
    <w:p w14:paraId="5B73227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4、本项目的实施可以直接或间接的增加许多就业机会，促进社会的安定团结</w:t>
      </w:r>
      <w:r>
        <w:rPr>
          <w:rFonts w:hint="eastAsia" w:ascii="Times New Roman" w:hAnsi="Times New Roman" w:eastAsia="宋体"/>
          <w:strike w:val="0"/>
          <w:dstrike w:val="0"/>
          <w:color w:val="auto"/>
          <w:highlight w:val="none"/>
          <w:lang w:eastAsia="zh-CN"/>
        </w:rPr>
        <w:t>。</w:t>
      </w:r>
    </w:p>
    <w:p w14:paraId="125BD87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5、项目的实施可以增加当地政府的税收，促进当地经济发展和人民生活质量</w:t>
      </w:r>
      <w:r>
        <w:rPr>
          <w:rFonts w:hint="eastAsia" w:ascii="Times New Roman" w:hAnsi="Times New Roman" w:eastAsia="宋体"/>
          <w:strike w:val="0"/>
          <w:dstrike w:val="0"/>
          <w:color w:val="auto"/>
          <w:highlight w:val="none"/>
          <w:lang w:eastAsia="zh-CN"/>
        </w:rPr>
        <w:t>。</w:t>
      </w:r>
    </w:p>
    <w:p w14:paraId="1B2E3FF4">
      <w:pPr>
        <w:pStyle w:val="3"/>
        <w:rPr>
          <w:rFonts w:ascii="Times New Roman" w:hAnsi="Times New Roman" w:eastAsia="宋体"/>
          <w:strike w:val="0"/>
          <w:dstrike w:val="0"/>
          <w:color w:val="auto"/>
          <w:highlight w:val="none"/>
        </w:rPr>
      </w:pPr>
      <w:bookmarkStart w:id="330" w:name="_Toc21517"/>
      <w:bookmarkStart w:id="331" w:name="_Toc89619353"/>
      <w:r>
        <w:rPr>
          <w:rFonts w:hint="eastAsia" w:ascii="Times New Roman" w:hAnsi="Times New Roman" w:eastAsia="宋体"/>
          <w:strike w:val="0"/>
          <w:dstrike w:val="0"/>
          <w:color w:val="auto"/>
          <w:highlight w:val="none"/>
        </w:rPr>
        <w:t>7.2经济效益分析</w:t>
      </w:r>
      <w:bookmarkEnd w:id="330"/>
      <w:bookmarkEnd w:id="331"/>
    </w:p>
    <w:p w14:paraId="1F15D9E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1、直接经济效益</w:t>
      </w:r>
    </w:p>
    <w:p w14:paraId="4EE3840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根据项目可研提供数据，项目建成后，年收益可达</w:t>
      </w:r>
      <w:r>
        <w:rPr>
          <w:rFonts w:hint="eastAsia" w:ascii="Times New Roman" w:hAnsi="Times New Roman" w:eastAsia="宋体"/>
          <w:strike w:val="0"/>
          <w:dstrike w:val="0"/>
          <w:color w:val="auto"/>
          <w:highlight w:val="none"/>
          <w:lang w:val="en-US" w:eastAsia="zh-CN"/>
        </w:rPr>
        <w:t>3240</w:t>
      </w:r>
      <w:r>
        <w:rPr>
          <w:rFonts w:hint="eastAsia" w:ascii="Times New Roman" w:hAnsi="Times New Roman" w:eastAsia="宋体"/>
          <w:strike w:val="0"/>
          <w:dstrike w:val="0"/>
          <w:color w:val="auto"/>
          <w:highlight w:val="none"/>
        </w:rPr>
        <w:t>万元，项目总投资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元，项目收益率较高</w:t>
      </w:r>
      <w:r>
        <w:rPr>
          <w:rFonts w:hint="eastAsia" w:ascii="Times New Roman" w:hAnsi="Times New Roman" w:eastAsia="宋体"/>
          <w:strike w:val="0"/>
          <w:dstrike w:val="0"/>
          <w:color w:val="auto"/>
          <w:highlight w:val="none"/>
          <w:lang w:eastAsia="zh-CN"/>
        </w:rPr>
        <w:t>。</w:t>
      </w:r>
    </w:p>
    <w:p w14:paraId="0E67FB8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2、间接经济效益</w:t>
      </w:r>
    </w:p>
    <w:p w14:paraId="7E0A1D3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该项目建设有利于调整区域农业结构，带动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及周边地区种植业、运输业及相关产业的发展，形成</w:t>
      </w:r>
      <w:r>
        <w:rPr>
          <w:rFonts w:hint="eastAsia" w:ascii="Times New Roman" w:hAnsi="Times New Roman" w:eastAsia="宋体"/>
          <w:strike w:val="0"/>
          <w:dstrike w:val="0"/>
          <w:color w:val="auto"/>
          <w:highlight w:val="none"/>
          <w:lang w:eastAsia="zh-CN"/>
        </w:rPr>
        <w:t>骆驼养殖</w:t>
      </w:r>
      <w:r>
        <w:rPr>
          <w:rFonts w:hint="eastAsia" w:ascii="Times New Roman" w:hAnsi="Times New Roman" w:eastAsia="宋体"/>
          <w:strike w:val="0"/>
          <w:dstrike w:val="0"/>
          <w:color w:val="auto"/>
          <w:highlight w:val="none"/>
        </w:rPr>
        <w:t>产业链，加快农业产业化进程，有效解决</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问题，增加当地农民的收入</w:t>
      </w:r>
      <w:r>
        <w:rPr>
          <w:rFonts w:hint="eastAsia" w:ascii="Times New Roman" w:hAnsi="Times New Roman" w:eastAsia="宋体"/>
          <w:strike w:val="0"/>
          <w:dstrike w:val="0"/>
          <w:color w:val="auto"/>
          <w:highlight w:val="none"/>
          <w:lang w:eastAsia="zh-CN"/>
        </w:rPr>
        <w:t>。</w:t>
      </w:r>
    </w:p>
    <w:p w14:paraId="4F3BBFA1">
      <w:pPr>
        <w:pStyle w:val="3"/>
        <w:rPr>
          <w:rFonts w:hint="eastAsia" w:ascii="Times New Roman" w:hAnsi="Times New Roman" w:eastAsia="宋体"/>
          <w:strike w:val="0"/>
          <w:dstrike w:val="0"/>
          <w:color w:val="auto"/>
          <w:highlight w:val="none"/>
        </w:rPr>
      </w:pPr>
      <w:bookmarkStart w:id="332" w:name="_Toc106663540"/>
      <w:bookmarkStart w:id="333" w:name="_Toc29169"/>
      <w:r>
        <w:rPr>
          <w:rFonts w:hint="eastAsia" w:ascii="Times New Roman" w:hAnsi="Times New Roman" w:eastAsia="宋体"/>
          <w:strike w:val="0"/>
          <w:dstrike w:val="0"/>
          <w:color w:val="auto"/>
          <w:highlight w:val="none"/>
        </w:rPr>
        <w:t>7.3环境效益分析</w:t>
      </w:r>
      <w:bookmarkEnd w:id="332"/>
      <w:bookmarkEnd w:id="333"/>
    </w:p>
    <w:p w14:paraId="0B3A2856">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本项目拟投资</w:t>
      </w:r>
      <w:r>
        <w:rPr>
          <w:rFonts w:hint="eastAsia" w:ascii="Times New Roman" w:hAnsi="Times New Roman" w:eastAsia="宋体"/>
          <w:strike w:val="0"/>
          <w:dstrike w:val="0"/>
          <w:color w:val="auto"/>
          <w:highlight w:val="none"/>
          <w:lang w:val="en-US" w:eastAsia="zh-CN"/>
        </w:rPr>
        <w:t>52.5</w:t>
      </w:r>
      <w:r>
        <w:rPr>
          <w:rFonts w:ascii="Times New Roman" w:hAnsi="Times New Roman" w:eastAsia="宋体"/>
          <w:strike w:val="0"/>
          <w:dstrike w:val="0"/>
          <w:color w:val="auto"/>
          <w:highlight w:val="none"/>
        </w:rPr>
        <w:t>万元，用于废水处理、场区绿化、恶臭治理及病死</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无害化处理等，保证对环境的影响降低到最小程度，满足建设项目环境保护管理的要求</w:t>
      </w:r>
      <w:r>
        <w:rPr>
          <w:rFonts w:hint="eastAsia" w:ascii="Times New Roman" w:hAnsi="Times New Roman" w:eastAsia="宋体"/>
          <w:strike w:val="0"/>
          <w:dstrike w:val="0"/>
          <w:color w:val="auto"/>
          <w:highlight w:val="none"/>
          <w:lang w:eastAsia="zh-CN"/>
        </w:rPr>
        <w:t>。</w:t>
      </w:r>
    </w:p>
    <w:p w14:paraId="3676963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建设项目环保措施主要是体现国家环保政策，贯彻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总量控制</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达标排放</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污染控制原则，达到保护环境的目的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通过治理措施，</w:t>
      </w:r>
      <w:r>
        <w:rPr>
          <w:rFonts w:hint="eastAsia" w:ascii="Times New Roman" w:hAnsi="Times New Roman" w:eastAsia="宋体"/>
          <w:strike w:val="0"/>
          <w:dstrike w:val="0"/>
          <w:color w:val="auto"/>
          <w:highlight w:val="none"/>
        </w:rPr>
        <w:t>本项目生活污水和生产废水经黑膜池发酵处理后用于项目区周边林带施肥</w:t>
      </w:r>
      <w:r>
        <w:rPr>
          <w:rFonts w:hint="eastAsia" w:ascii="Times New Roman" w:hAnsi="Times New Roman" w:eastAsia="宋体"/>
          <w:strike w:val="0"/>
          <w:dstrike w:val="0"/>
          <w:color w:val="auto"/>
          <w:highlight w:val="none"/>
          <w:lang w:val="en-US" w:eastAsia="zh-CN"/>
        </w:rPr>
        <w:t>，</w:t>
      </w:r>
      <w:r>
        <w:rPr>
          <w:rFonts w:ascii="Times New Roman" w:hAnsi="Times New Roman" w:eastAsia="宋体"/>
          <w:strike w:val="0"/>
          <w:dstrike w:val="0"/>
          <w:color w:val="auto"/>
          <w:highlight w:val="none"/>
        </w:rPr>
        <w:t>可以实现</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循环利用”</w:t>
      </w:r>
      <w:r>
        <w:rPr>
          <w:rFonts w:ascii="Times New Roman" w:hAnsi="Times New Roman" w:eastAsia="宋体"/>
          <w:strike w:val="0"/>
          <w:dstrike w:val="0"/>
          <w:color w:val="auto"/>
          <w:highlight w:val="none"/>
        </w:rPr>
        <w:t>，厂界噪声达标</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这些措施的实施产生的环境效益较明显</w:t>
      </w:r>
      <w:r>
        <w:rPr>
          <w:rFonts w:hint="eastAsia" w:ascii="Times New Roman" w:hAnsi="Times New Roman" w:eastAsia="宋体"/>
          <w:strike w:val="0"/>
          <w:dstrike w:val="0"/>
          <w:color w:val="auto"/>
          <w:highlight w:val="none"/>
          <w:lang w:eastAsia="zh-CN"/>
        </w:rPr>
        <w:t>。</w:t>
      </w:r>
    </w:p>
    <w:p w14:paraId="4F913959">
      <w:pPr>
        <w:pStyle w:val="3"/>
        <w:rPr>
          <w:rFonts w:ascii="Times New Roman" w:hAnsi="Times New Roman" w:eastAsia="宋体"/>
          <w:strike w:val="0"/>
          <w:dstrike w:val="0"/>
          <w:color w:val="auto"/>
          <w:highlight w:val="none"/>
        </w:rPr>
      </w:pPr>
      <w:bookmarkStart w:id="334" w:name="_Toc2812"/>
      <w:bookmarkStart w:id="335" w:name="_Toc89619354"/>
      <w:r>
        <w:rPr>
          <w:rFonts w:hint="eastAsia" w:ascii="Times New Roman" w:hAnsi="Times New Roman" w:eastAsia="宋体"/>
          <w:strike w:val="0"/>
          <w:dstrike w:val="0"/>
          <w:color w:val="auto"/>
          <w:highlight w:val="none"/>
        </w:rPr>
        <w:t>7.4环境经济效益分析</w:t>
      </w:r>
      <w:bookmarkEnd w:id="334"/>
      <w:bookmarkEnd w:id="335"/>
    </w:p>
    <w:p w14:paraId="7024F2F4">
      <w:pPr>
        <w:pStyle w:val="4"/>
        <w:rPr>
          <w:rFonts w:ascii="Times New Roman" w:hAnsi="Times New Roman" w:eastAsia="宋体"/>
          <w:strike w:val="0"/>
          <w:dstrike w:val="0"/>
          <w:color w:val="auto"/>
          <w:highlight w:val="none"/>
        </w:rPr>
      </w:pPr>
      <w:bookmarkStart w:id="336" w:name="_Toc106663542"/>
      <w:bookmarkStart w:id="337" w:name="_Toc19048"/>
      <w:r>
        <w:rPr>
          <w:rFonts w:hint="eastAsia" w:ascii="Times New Roman" w:hAnsi="Times New Roman" w:eastAsia="宋体"/>
          <w:strike w:val="0"/>
          <w:dstrike w:val="0"/>
          <w:color w:val="auto"/>
          <w:highlight w:val="none"/>
        </w:rPr>
        <w:t>7.4.1环保投资</w:t>
      </w:r>
      <w:bookmarkEnd w:id="336"/>
      <w:bookmarkEnd w:id="337"/>
    </w:p>
    <w:p w14:paraId="3409343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依据《建设项目环境保护设计规定》，环保设施划分的基本原则是，污染治理环境保护所需的设施、装置和工程设施，生产工艺需要又为环境保护服务的设施，为保证生产有良好环境所采取的防尘、绿化设施等均属环保设施</w:t>
      </w:r>
      <w:r>
        <w:rPr>
          <w:rFonts w:hint="eastAsia" w:ascii="Times New Roman" w:hAnsi="Times New Roman" w:eastAsia="宋体"/>
          <w:strike w:val="0"/>
          <w:dstrike w:val="0"/>
          <w:color w:val="auto"/>
          <w:highlight w:val="none"/>
          <w:lang w:eastAsia="zh-CN"/>
        </w:rPr>
        <w:t>。</w:t>
      </w:r>
    </w:p>
    <w:p w14:paraId="6D2B658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元，其中环保投资为</w:t>
      </w:r>
      <w:r>
        <w:rPr>
          <w:rFonts w:hint="eastAsia" w:ascii="Times New Roman" w:hAnsi="Times New Roman" w:eastAsia="宋体"/>
          <w:strike w:val="0"/>
          <w:dstrike w:val="0"/>
          <w:color w:val="auto"/>
          <w:highlight w:val="none"/>
          <w:lang w:val="en-US" w:eastAsia="zh-CN"/>
        </w:rPr>
        <w:t>52.5</w:t>
      </w:r>
      <w:r>
        <w:rPr>
          <w:rFonts w:hint="eastAsia" w:ascii="Times New Roman" w:hAnsi="Times New Roman" w:eastAsia="宋体"/>
          <w:strike w:val="0"/>
          <w:dstrike w:val="0"/>
          <w:color w:val="auto"/>
          <w:highlight w:val="none"/>
        </w:rPr>
        <w:t>万元，占总投资的</w:t>
      </w:r>
      <w:r>
        <w:rPr>
          <w:rFonts w:hint="eastAsia" w:ascii="Times New Roman" w:hAnsi="Times New Roman" w:eastAsia="宋体"/>
          <w:strike w:val="0"/>
          <w:dstrike w:val="0"/>
          <w:color w:val="auto"/>
          <w:highlight w:val="none"/>
          <w:lang w:val="en-US" w:eastAsia="zh-CN"/>
        </w:rPr>
        <w:t>3.5</w:t>
      </w:r>
      <w:r>
        <w:rPr>
          <w:rFonts w:hint="eastAsia" w:ascii="Times New Roman" w:hAnsi="Times New Roman" w:eastAsia="宋体"/>
          <w:strike w:val="0"/>
          <w:dstrike w:val="0"/>
          <w:color w:val="auto"/>
          <w:highlight w:val="none"/>
        </w:rPr>
        <w:t>%</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环保投资明细见表7.3-1</w:t>
      </w:r>
      <w:r>
        <w:rPr>
          <w:rFonts w:hint="eastAsia" w:ascii="Times New Roman" w:hAnsi="Times New Roman" w:eastAsia="宋体"/>
          <w:strike w:val="0"/>
          <w:dstrike w:val="0"/>
          <w:color w:val="auto"/>
          <w:highlight w:val="none"/>
          <w:lang w:eastAsia="zh-CN"/>
        </w:rPr>
        <w:t>。</w:t>
      </w:r>
    </w:p>
    <w:p w14:paraId="273504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表7.3-1环境保护投资估算一览表</w:t>
      </w:r>
    </w:p>
    <w:tbl>
      <w:tblPr>
        <w:tblStyle w:val="183"/>
        <w:tblW w:w="503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17"/>
        <w:gridCol w:w="698"/>
        <w:gridCol w:w="1283"/>
        <w:gridCol w:w="3518"/>
        <w:gridCol w:w="980"/>
        <w:gridCol w:w="1373"/>
      </w:tblGrid>
      <w:tr w14:paraId="26430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textDirection w:val="tbRlV"/>
            <w:vAlign w:val="center"/>
          </w:tcPr>
          <w:p w14:paraId="6CF7BFD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序号</w:t>
            </w:r>
          </w:p>
        </w:tc>
        <w:tc>
          <w:tcPr>
            <w:tcW w:w="417" w:type="pct"/>
            <w:vAlign w:val="center"/>
          </w:tcPr>
          <w:p w14:paraId="6BC405E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类别</w:t>
            </w:r>
          </w:p>
        </w:tc>
        <w:tc>
          <w:tcPr>
            <w:tcW w:w="765" w:type="pct"/>
            <w:vAlign w:val="center"/>
          </w:tcPr>
          <w:p w14:paraId="4EF2147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污染环节源</w:t>
            </w:r>
          </w:p>
        </w:tc>
        <w:tc>
          <w:tcPr>
            <w:tcW w:w="2101" w:type="pct"/>
            <w:vAlign w:val="center"/>
          </w:tcPr>
          <w:p w14:paraId="3A66FFF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治理措施</w:t>
            </w:r>
          </w:p>
        </w:tc>
        <w:tc>
          <w:tcPr>
            <w:tcW w:w="585" w:type="pct"/>
            <w:vAlign w:val="center"/>
          </w:tcPr>
          <w:p w14:paraId="213F4F1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投资</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万元</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820" w:type="pct"/>
            <w:vAlign w:val="center"/>
          </w:tcPr>
          <w:p w14:paraId="5A4763B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备注</w:t>
            </w:r>
          </w:p>
        </w:tc>
      </w:tr>
      <w:tr w14:paraId="76A1A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11FB3C1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w:t>
            </w:r>
          </w:p>
        </w:tc>
        <w:tc>
          <w:tcPr>
            <w:tcW w:w="417" w:type="pct"/>
            <w:vAlign w:val="center"/>
          </w:tcPr>
          <w:p w14:paraId="2905FE7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废气</w:t>
            </w:r>
          </w:p>
        </w:tc>
        <w:tc>
          <w:tcPr>
            <w:tcW w:w="765" w:type="pct"/>
            <w:vAlign w:val="center"/>
          </w:tcPr>
          <w:p w14:paraId="2CD7839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w:t>
            </w:r>
          </w:p>
        </w:tc>
        <w:tc>
          <w:tcPr>
            <w:tcW w:w="2101" w:type="pct"/>
            <w:vAlign w:val="center"/>
          </w:tcPr>
          <w:p w14:paraId="79FF4A8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透气发酵膜</w:t>
            </w:r>
          </w:p>
        </w:tc>
        <w:tc>
          <w:tcPr>
            <w:tcW w:w="585" w:type="pct"/>
            <w:vAlign w:val="center"/>
          </w:tcPr>
          <w:p w14:paraId="513312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w:t>
            </w:r>
          </w:p>
        </w:tc>
        <w:tc>
          <w:tcPr>
            <w:tcW w:w="820" w:type="pct"/>
            <w:vAlign w:val="center"/>
          </w:tcPr>
          <w:p w14:paraId="4C5F9BF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CF1C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Merge w:val="restart"/>
            <w:vAlign w:val="center"/>
          </w:tcPr>
          <w:p w14:paraId="5086531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2</w:t>
            </w:r>
          </w:p>
        </w:tc>
        <w:tc>
          <w:tcPr>
            <w:tcW w:w="417" w:type="pct"/>
            <w:vMerge w:val="restart"/>
            <w:vAlign w:val="center"/>
          </w:tcPr>
          <w:p w14:paraId="6DE0503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废水</w:t>
            </w:r>
          </w:p>
        </w:tc>
        <w:tc>
          <w:tcPr>
            <w:tcW w:w="765" w:type="pct"/>
            <w:vMerge w:val="restart"/>
            <w:vAlign w:val="center"/>
          </w:tcPr>
          <w:p w14:paraId="22A3830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生产废水、生活污水</w:t>
            </w:r>
          </w:p>
        </w:tc>
        <w:tc>
          <w:tcPr>
            <w:tcW w:w="2101" w:type="pct"/>
            <w:vMerge w:val="restart"/>
            <w:vAlign w:val="center"/>
          </w:tcPr>
          <w:p w14:paraId="684F340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黑膜池</w:t>
            </w:r>
          </w:p>
        </w:tc>
        <w:tc>
          <w:tcPr>
            <w:tcW w:w="585" w:type="pct"/>
            <w:vMerge w:val="restart"/>
            <w:vAlign w:val="center"/>
          </w:tcPr>
          <w:p w14:paraId="7835C6C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10</w:t>
            </w:r>
          </w:p>
        </w:tc>
        <w:tc>
          <w:tcPr>
            <w:tcW w:w="820" w:type="pct"/>
            <w:vAlign w:val="center"/>
          </w:tcPr>
          <w:p w14:paraId="7B3E4AA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5B462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Merge w:val="continue"/>
            <w:vAlign w:val="center"/>
          </w:tcPr>
          <w:p w14:paraId="3E61F02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p>
        </w:tc>
        <w:tc>
          <w:tcPr>
            <w:tcW w:w="417" w:type="pct"/>
            <w:vMerge w:val="continue"/>
            <w:vAlign w:val="center"/>
          </w:tcPr>
          <w:p w14:paraId="50523B0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765" w:type="pct"/>
            <w:vMerge w:val="continue"/>
            <w:vAlign w:val="center"/>
          </w:tcPr>
          <w:p w14:paraId="1821137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p>
        </w:tc>
        <w:tc>
          <w:tcPr>
            <w:tcW w:w="2101" w:type="pct"/>
            <w:vMerge w:val="continue"/>
            <w:vAlign w:val="center"/>
          </w:tcPr>
          <w:p w14:paraId="41A729D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rPr>
            </w:pPr>
          </w:p>
        </w:tc>
        <w:tc>
          <w:tcPr>
            <w:tcW w:w="585" w:type="pct"/>
            <w:vMerge w:val="continue"/>
            <w:vAlign w:val="center"/>
          </w:tcPr>
          <w:p w14:paraId="033F460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p>
        </w:tc>
        <w:tc>
          <w:tcPr>
            <w:tcW w:w="820" w:type="pct"/>
            <w:vAlign w:val="center"/>
          </w:tcPr>
          <w:p w14:paraId="148DF7C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51DB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3DBE8AA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3</w:t>
            </w:r>
          </w:p>
        </w:tc>
        <w:tc>
          <w:tcPr>
            <w:tcW w:w="417" w:type="pct"/>
            <w:vMerge w:val="restart"/>
            <w:tcBorders>
              <w:bottom w:val="nil"/>
            </w:tcBorders>
            <w:vAlign w:val="center"/>
          </w:tcPr>
          <w:p w14:paraId="010ECF0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固废</w:t>
            </w:r>
          </w:p>
        </w:tc>
        <w:tc>
          <w:tcPr>
            <w:tcW w:w="765" w:type="pct"/>
            <w:vAlign w:val="center"/>
          </w:tcPr>
          <w:p w14:paraId="3848ABA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病死</w:t>
            </w:r>
            <w:r>
              <w:rPr>
                <w:rFonts w:hint="eastAsia" w:ascii="Times New Roman" w:hAnsi="Times New Roman" w:eastAsia="宋体" w:cs="宋体"/>
                <w:strike w:val="0"/>
                <w:dstrike w:val="0"/>
                <w:color w:val="auto"/>
                <w:spacing w:val="0"/>
                <w:position w:val="0"/>
                <w:sz w:val="21"/>
                <w:szCs w:val="21"/>
                <w:highlight w:val="none"/>
                <w:lang w:eastAsia="zh-CN"/>
              </w:rPr>
              <w:t>骆驼、分娩废弃物（胎衣、死胎、胎盘附属物）</w:t>
            </w:r>
          </w:p>
        </w:tc>
        <w:tc>
          <w:tcPr>
            <w:tcW w:w="2101" w:type="pct"/>
            <w:vAlign w:val="center"/>
          </w:tcPr>
          <w:p w14:paraId="11C8F2F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委托具有合法资质的无害化处理单位进行无害化处理</w:t>
            </w:r>
          </w:p>
        </w:tc>
        <w:tc>
          <w:tcPr>
            <w:tcW w:w="585" w:type="pct"/>
            <w:vAlign w:val="center"/>
          </w:tcPr>
          <w:p w14:paraId="72AED13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820" w:type="pct"/>
            <w:vAlign w:val="center"/>
          </w:tcPr>
          <w:p w14:paraId="56EB71D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0165E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7B36F42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4</w:t>
            </w:r>
          </w:p>
        </w:tc>
        <w:tc>
          <w:tcPr>
            <w:tcW w:w="417" w:type="pct"/>
            <w:vMerge w:val="continue"/>
            <w:tcBorders>
              <w:top w:val="nil"/>
              <w:bottom w:val="nil"/>
            </w:tcBorders>
            <w:vAlign w:val="center"/>
          </w:tcPr>
          <w:p w14:paraId="4BFE73B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5" w:type="pct"/>
            <w:vAlign w:val="center"/>
          </w:tcPr>
          <w:p w14:paraId="5E371A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医疗垃圾</w:t>
            </w:r>
          </w:p>
        </w:tc>
        <w:tc>
          <w:tcPr>
            <w:tcW w:w="2101" w:type="pct"/>
            <w:vAlign w:val="center"/>
          </w:tcPr>
          <w:p w14:paraId="517E7D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设置医疗废物暂存间一座，占地面积</w:t>
            </w:r>
            <w:r>
              <w:rPr>
                <w:rFonts w:ascii="Times New Roman" w:hAnsi="Times New Roman" w:eastAsia="宋体" w:cs="Times New Roman"/>
                <w:strike w:val="0"/>
                <w:dstrike w:val="0"/>
                <w:color w:val="auto"/>
                <w:spacing w:val="0"/>
                <w:position w:val="0"/>
                <w:sz w:val="21"/>
                <w:szCs w:val="21"/>
                <w:highlight w:val="none"/>
              </w:rPr>
              <w:t>15m</w:t>
            </w:r>
            <w:r>
              <w:rPr>
                <w:rFonts w:ascii="Times New Roman" w:hAnsi="Times New Roman" w:eastAsia="宋体" w:cs="Times New Roman"/>
                <w:strike w:val="0"/>
                <w:dstrike w:val="0"/>
                <w:color w:val="auto"/>
                <w:spacing w:val="0"/>
                <w:position w:val="0"/>
                <w:sz w:val="21"/>
                <w:szCs w:val="14"/>
                <w:highlight w:val="none"/>
                <w:vertAlign w:val="superscript"/>
              </w:rPr>
              <w:t>2</w:t>
            </w:r>
          </w:p>
        </w:tc>
        <w:tc>
          <w:tcPr>
            <w:tcW w:w="585" w:type="pct"/>
            <w:vAlign w:val="center"/>
          </w:tcPr>
          <w:p w14:paraId="7D99FE7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820" w:type="pct"/>
            <w:vAlign w:val="center"/>
          </w:tcPr>
          <w:p w14:paraId="14A3415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37E43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53144BF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417" w:type="pct"/>
            <w:vMerge w:val="continue"/>
            <w:tcBorders>
              <w:top w:val="nil"/>
            </w:tcBorders>
            <w:vAlign w:val="center"/>
          </w:tcPr>
          <w:p w14:paraId="774C104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765" w:type="pct"/>
            <w:vAlign w:val="center"/>
          </w:tcPr>
          <w:p w14:paraId="1492470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生活垃圾</w:t>
            </w:r>
          </w:p>
        </w:tc>
        <w:tc>
          <w:tcPr>
            <w:tcW w:w="2101" w:type="pct"/>
            <w:vAlign w:val="center"/>
          </w:tcPr>
          <w:p w14:paraId="654C55E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厂区设置垃圾桶，集中收集后交环卫部门统一处理</w:t>
            </w:r>
          </w:p>
        </w:tc>
        <w:tc>
          <w:tcPr>
            <w:tcW w:w="585" w:type="pct"/>
            <w:vAlign w:val="center"/>
          </w:tcPr>
          <w:p w14:paraId="286B30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0.5</w:t>
            </w:r>
          </w:p>
        </w:tc>
        <w:tc>
          <w:tcPr>
            <w:tcW w:w="820" w:type="pct"/>
            <w:vAlign w:val="center"/>
          </w:tcPr>
          <w:p w14:paraId="0A3583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1406D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0657CC6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w:t>
            </w:r>
          </w:p>
        </w:tc>
        <w:tc>
          <w:tcPr>
            <w:tcW w:w="417" w:type="pct"/>
            <w:vAlign w:val="center"/>
          </w:tcPr>
          <w:p w14:paraId="0891EB5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w:t>
            </w:r>
          </w:p>
        </w:tc>
        <w:tc>
          <w:tcPr>
            <w:tcW w:w="765" w:type="pct"/>
            <w:vAlign w:val="center"/>
          </w:tcPr>
          <w:p w14:paraId="7DAE20D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设备噪声</w:t>
            </w:r>
          </w:p>
        </w:tc>
        <w:tc>
          <w:tcPr>
            <w:tcW w:w="2101" w:type="pct"/>
            <w:vAlign w:val="center"/>
          </w:tcPr>
          <w:p w14:paraId="700046F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合理布局，选用低噪声设备、减振、厂房隔声等</w:t>
            </w:r>
          </w:p>
        </w:tc>
        <w:tc>
          <w:tcPr>
            <w:tcW w:w="585" w:type="pct"/>
            <w:vAlign w:val="center"/>
          </w:tcPr>
          <w:p w14:paraId="32CF6E3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6</w:t>
            </w:r>
          </w:p>
        </w:tc>
        <w:tc>
          <w:tcPr>
            <w:tcW w:w="820" w:type="pct"/>
            <w:vAlign w:val="center"/>
          </w:tcPr>
          <w:p w14:paraId="5A0E849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EC32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0348C55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7</w:t>
            </w:r>
          </w:p>
        </w:tc>
        <w:tc>
          <w:tcPr>
            <w:tcW w:w="1183" w:type="pct"/>
            <w:gridSpan w:val="2"/>
            <w:vAlign w:val="center"/>
          </w:tcPr>
          <w:p w14:paraId="5F22177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绿化</w:t>
            </w:r>
          </w:p>
        </w:tc>
        <w:tc>
          <w:tcPr>
            <w:tcW w:w="2101" w:type="pct"/>
            <w:vAlign w:val="center"/>
          </w:tcPr>
          <w:p w14:paraId="4F0EA69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在厂区空地植树种草</w:t>
            </w:r>
          </w:p>
        </w:tc>
        <w:tc>
          <w:tcPr>
            <w:tcW w:w="585" w:type="pct"/>
            <w:vAlign w:val="center"/>
          </w:tcPr>
          <w:p w14:paraId="634B15B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w:t>
            </w:r>
          </w:p>
        </w:tc>
        <w:tc>
          <w:tcPr>
            <w:tcW w:w="820" w:type="pct"/>
            <w:vAlign w:val="center"/>
          </w:tcPr>
          <w:p w14:paraId="4F4B7A8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624C9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09" w:type="pct"/>
            <w:vAlign w:val="center"/>
          </w:tcPr>
          <w:p w14:paraId="52402FC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position w:val="0"/>
                <w:sz w:val="21"/>
                <w:szCs w:val="21"/>
                <w:highlight w:val="none"/>
                <w:lang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8</w:t>
            </w:r>
          </w:p>
        </w:tc>
        <w:tc>
          <w:tcPr>
            <w:tcW w:w="417" w:type="pct"/>
            <w:vAlign w:val="center"/>
          </w:tcPr>
          <w:p w14:paraId="3CC44C7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地下水及土壤防治</w:t>
            </w:r>
          </w:p>
        </w:tc>
        <w:tc>
          <w:tcPr>
            <w:tcW w:w="765" w:type="pct"/>
            <w:vAlign w:val="center"/>
          </w:tcPr>
          <w:p w14:paraId="16230E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防渗工程</w:t>
            </w:r>
          </w:p>
        </w:tc>
        <w:tc>
          <w:tcPr>
            <w:tcW w:w="2101" w:type="pct"/>
            <w:vAlign w:val="center"/>
          </w:tcPr>
          <w:p w14:paraId="2E3BEE1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left"/>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根据</w:t>
            </w:r>
            <w:r>
              <w:rPr>
                <w:rFonts w:ascii="Times New Roman" w:hAnsi="Times New Roman" w:eastAsia="宋体" w:cs="Times New Roman"/>
                <w:strike w:val="0"/>
                <w:dstrike w:val="0"/>
                <w:color w:val="auto"/>
                <w:spacing w:val="0"/>
                <w:position w:val="0"/>
                <w:sz w:val="21"/>
                <w:szCs w:val="21"/>
                <w:highlight w:val="none"/>
              </w:rPr>
              <w:t>HJ610-2016</w:t>
            </w:r>
            <w:r>
              <w:rPr>
                <w:rFonts w:ascii="Times New Roman" w:hAnsi="Times New Roman" w:eastAsia="宋体" w:cs="宋体"/>
                <w:strike w:val="0"/>
                <w:dstrike w:val="0"/>
                <w:color w:val="auto"/>
                <w:spacing w:val="0"/>
                <w:position w:val="0"/>
                <w:sz w:val="21"/>
                <w:szCs w:val="21"/>
                <w:highlight w:val="none"/>
              </w:rPr>
              <w:t>《环境影响评价技术导则地下水环境》及</w:t>
            </w:r>
            <w:r>
              <w:rPr>
                <w:rFonts w:ascii="Times New Roman" w:hAnsi="Times New Roman" w:eastAsia="宋体" w:cs="Times New Roman"/>
                <w:strike w:val="0"/>
                <w:dstrike w:val="0"/>
                <w:color w:val="auto"/>
                <w:spacing w:val="0"/>
                <w:position w:val="0"/>
                <w:sz w:val="21"/>
                <w:szCs w:val="21"/>
                <w:highlight w:val="none"/>
              </w:rPr>
              <w:t>GB18597-2001</w:t>
            </w:r>
            <w:r>
              <w:rPr>
                <w:rFonts w:ascii="Times New Roman" w:hAnsi="Times New Roman" w:eastAsia="宋体" w:cs="宋体"/>
                <w:strike w:val="0"/>
                <w:dstrike w:val="0"/>
                <w:color w:val="auto"/>
                <w:spacing w:val="0"/>
                <w:position w:val="0"/>
                <w:sz w:val="21"/>
                <w:szCs w:val="21"/>
                <w:highlight w:val="none"/>
              </w:rPr>
              <w:t>《危险废物贮存污染控制标准》进行分区防渗，具体如下：</w:t>
            </w:r>
            <w:r>
              <w:rPr>
                <w:rFonts w:hint="eastAsia" w:ascii="Times New Roman" w:hAnsi="Times New Roman" w:eastAsia="宋体" w:cs="宋体"/>
                <w:strike w:val="0"/>
                <w:dstrike w:val="0"/>
                <w:color w:val="auto"/>
                <w:spacing w:val="0"/>
                <w:position w:val="0"/>
                <w:sz w:val="21"/>
                <w:szCs w:val="21"/>
                <w:highlight w:val="none"/>
                <w:lang w:val="en-US" w:eastAsia="zh-CN"/>
              </w:rPr>
              <w:t>（</w:t>
            </w:r>
            <w:r>
              <w:rPr>
                <w:rFonts w:hint="default" w:ascii="Times New Roman" w:hAnsi="Times New Roman" w:eastAsia="宋体" w:cs="宋体"/>
                <w:strike w:val="0"/>
                <w:dstrike w:val="0"/>
                <w:color w:val="auto"/>
                <w:spacing w:val="0"/>
                <w:position w:val="0"/>
                <w:sz w:val="21"/>
                <w:szCs w:val="21"/>
                <w:highlight w:val="none"/>
                <w:lang w:val="en-US" w:eastAsia="zh-CN"/>
              </w:rPr>
              <w:t>1</w:t>
            </w:r>
            <w:r>
              <w:rPr>
                <w:rFonts w:hint="eastAsia" w:ascii="Times New Roman" w:hAnsi="Times New Roman" w:eastAsia="宋体" w:cs="宋体"/>
                <w:strike w:val="0"/>
                <w:dstrike w:val="0"/>
                <w:color w:val="auto"/>
                <w:spacing w:val="0"/>
                <w:position w:val="0"/>
                <w:sz w:val="21"/>
                <w:szCs w:val="21"/>
                <w:highlight w:val="none"/>
                <w:lang w:val="en-US" w:eastAsia="zh-CN"/>
              </w:rPr>
              <w:t>）对</w:t>
            </w:r>
            <w:r>
              <w:rPr>
                <w:rFonts w:hint="eastAsia" w:ascii="Times New Roman" w:hAnsi="Times New Roman" w:eastAsia="宋体" w:cs="宋体"/>
                <w:strike w:val="0"/>
                <w:dstrike w:val="0"/>
                <w:color w:val="auto"/>
                <w:spacing w:val="0"/>
                <w:position w:val="0"/>
                <w:sz w:val="21"/>
                <w:szCs w:val="21"/>
                <w:highlight w:val="none"/>
                <w:lang w:val="en-US" w:eastAsia="zh-CN"/>
              </w:rPr>
              <w:t>医疗废物</w:t>
            </w:r>
            <w:r>
              <w:rPr>
                <w:rFonts w:hint="eastAsia" w:ascii="Times New Roman" w:hAnsi="Times New Roman" w:eastAsia="宋体" w:cs="宋体"/>
                <w:strike w:val="0"/>
                <w:dstrike w:val="0"/>
                <w:color w:val="auto"/>
                <w:spacing w:val="0"/>
                <w:position w:val="0"/>
                <w:sz w:val="21"/>
                <w:szCs w:val="21"/>
                <w:highlight w:val="none"/>
                <w:lang w:val="en-US" w:eastAsia="zh-CN"/>
              </w:rPr>
              <w:t>暂存间、</w:t>
            </w:r>
            <w:r>
              <w:rPr>
                <w:rFonts w:hint="eastAsia" w:ascii="Times New Roman" w:hAnsi="Times New Roman" w:eastAsia="宋体" w:cs="宋体"/>
                <w:strike w:val="0"/>
                <w:dstrike w:val="0"/>
                <w:color w:val="auto"/>
                <w:spacing w:val="0"/>
                <w:position w:val="0"/>
                <w:sz w:val="21"/>
                <w:szCs w:val="21"/>
                <w:highlight w:val="none"/>
                <w:lang w:val="en-US" w:eastAsia="zh-CN"/>
              </w:rPr>
              <w:t>堆肥场、黑膜池</w:t>
            </w:r>
            <w:r>
              <w:rPr>
                <w:rFonts w:hint="eastAsia" w:ascii="Times New Roman" w:hAnsi="Times New Roman" w:eastAsia="宋体" w:cs="宋体"/>
                <w:strike w:val="0"/>
                <w:dstrike w:val="0"/>
                <w:color w:val="auto"/>
                <w:spacing w:val="0"/>
                <w:position w:val="0"/>
                <w:sz w:val="21"/>
                <w:szCs w:val="21"/>
                <w:highlight w:val="none"/>
                <w:lang w:val="en-US" w:eastAsia="zh-CN"/>
              </w:rPr>
              <w:t>按重点防渗区采取措施，</w:t>
            </w:r>
            <w:r>
              <w:rPr>
                <w:rFonts w:hint="eastAsia" w:ascii="Times New Roman" w:hAnsi="Times New Roman" w:eastAsia="宋体"/>
                <w:strike w:val="0"/>
                <w:dstrike w:val="0"/>
                <w:color w:val="auto"/>
                <w:sz w:val="21"/>
                <w:highlight w:val="none"/>
              </w:rPr>
              <w:t>等效黏土防渗层Mb≥6.0m，K≤1.0×10</w:t>
            </w:r>
            <w:r>
              <w:rPr>
                <w:rFonts w:hint="eastAsia" w:ascii="Times New Roman" w:hAnsi="Times New Roman" w:eastAsia="宋体"/>
                <w:strike w:val="0"/>
                <w:dstrike w:val="0"/>
                <w:color w:val="auto"/>
                <w:sz w:val="21"/>
                <w:highlight w:val="none"/>
                <w:vertAlign w:val="superscript"/>
              </w:rPr>
              <w:t>-7</w:t>
            </w:r>
            <w:r>
              <w:rPr>
                <w:rFonts w:hint="eastAsia" w:ascii="Times New Roman" w:hAnsi="Times New Roman" w:eastAsia="宋体"/>
                <w:strike w:val="0"/>
                <w:dstrike w:val="0"/>
                <w:color w:val="auto"/>
                <w:sz w:val="21"/>
                <w:highlight w:val="none"/>
              </w:rPr>
              <w:t>cm/s；或参照GB 18598 执行</w:t>
            </w:r>
            <w:r>
              <w:rPr>
                <w:rFonts w:hint="eastAsia" w:ascii="Times New Roman" w:hAnsi="Times New Roman" w:eastAsia="宋体"/>
                <w:strike w:val="0"/>
                <w:dstrike w:val="0"/>
                <w:color w:val="auto"/>
                <w:sz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w:t>
            </w:r>
            <w:r>
              <w:rPr>
                <w:rFonts w:hint="default" w:ascii="Times New Roman" w:hAnsi="Times New Roman" w:eastAsia="宋体" w:cs="宋体"/>
                <w:strike w:val="0"/>
                <w:dstrike w:val="0"/>
                <w:color w:val="auto"/>
                <w:spacing w:val="0"/>
                <w:position w:val="0"/>
                <w:sz w:val="21"/>
                <w:szCs w:val="21"/>
                <w:highlight w:val="none"/>
                <w:lang w:val="en-US" w:eastAsia="zh-CN"/>
              </w:rPr>
              <w:t>2</w:t>
            </w:r>
            <w:r>
              <w:rPr>
                <w:rFonts w:hint="eastAsia" w:ascii="Times New Roman" w:hAnsi="Times New Roman" w:eastAsia="宋体" w:cs="宋体"/>
                <w:strike w:val="0"/>
                <w:dstrike w:val="0"/>
                <w:color w:val="auto"/>
                <w:spacing w:val="0"/>
                <w:position w:val="0"/>
                <w:sz w:val="21"/>
                <w:szCs w:val="21"/>
                <w:highlight w:val="none"/>
                <w:lang w:val="en-US" w:eastAsia="zh-CN"/>
              </w:rPr>
              <w:t>）对</w:t>
            </w:r>
            <w:r>
              <w:rPr>
                <w:rFonts w:hint="eastAsia" w:ascii="Times New Roman" w:hAnsi="Times New Roman" w:eastAsia="宋体" w:cs="宋体"/>
                <w:strike w:val="0"/>
                <w:dstrike w:val="0"/>
                <w:color w:val="auto"/>
                <w:spacing w:val="0"/>
                <w:position w:val="0"/>
                <w:sz w:val="21"/>
                <w:szCs w:val="21"/>
                <w:highlight w:val="none"/>
                <w:lang w:val="en-US" w:eastAsia="zh-CN"/>
              </w:rPr>
              <w:t>骆驼圈舍、挤奶厅</w:t>
            </w:r>
            <w:r>
              <w:rPr>
                <w:rFonts w:hint="eastAsia" w:ascii="Times New Roman" w:hAnsi="Times New Roman" w:eastAsia="宋体" w:cs="宋体"/>
                <w:strike w:val="0"/>
                <w:dstrike w:val="0"/>
                <w:color w:val="auto"/>
                <w:spacing w:val="0"/>
                <w:position w:val="0"/>
                <w:sz w:val="21"/>
                <w:szCs w:val="21"/>
                <w:highlight w:val="none"/>
                <w:lang w:val="en-US" w:eastAsia="zh-CN"/>
              </w:rPr>
              <w:t>按一般防渗区采取防渗措施</w:t>
            </w:r>
            <w:r>
              <w:rPr>
                <w:rFonts w:hint="eastAsia" w:ascii="Times New Roman" w:hAnsi="Times New Roman" w:eastAsia="宋体" w:cs="宋体"/>
                <w:strike w:val="0"/>
                <w:dstrike w:val="0"/>
                <w:color w:val="auto"/>
                <w:spacing w:val="0"/>
                <w:position w:val="0"/>
                <w:sz w:val="21"/>
                <w:szCs w:val="21"/>
                <w:highlight w:val="none"/>
                <w:lang w:val="en-US" w:eastAsia="zh-CN"/>
              </w:rPr>
              <w:t>。</w:t>
            </w:r>
            <w:r>
              <w:rPr>
                <w:rFonts w:hint="eastAsia" w:ascii="Times New Roman" w:hAnsi="Times New Roman" w:eastAsia="宋体" w:cs="宋体"/>
                <w:strike w:val="0"/>
                <w:dstrike w:val="0"/>
                <w:color w:val="auto"/>
                <w:spacing w:val="0"/>
                <w:position w:val="0"/>
                <w:sz w:val="21"/>
                <w:szCs w:val="21"/>
                <w:highlight w:val="none"/>
              </w:rPr>
              <w:t>等效黏土防渗层Mb≥1.5m，K≤1.0×10</w:t>
            </w:r>
            <w:r>
              <w:rPr>
                <w:rFonts w:hint="eastAsia" w:ascii="Times New Roman" w:hAnsi="Times New Roman" w:eastAsia="宋体" w:cs="宋体"/>
                <w:strike w:val="0"/>
                <w:dstrike w:val="0"/>
                <w:color w:val="auto"/>
                <w:spacing w:val="0"/>
                <w:position w:val="0"/>
                <w:sz w:val="21"/>
                <w:szCs w:val="21"/>
                <w:highlight w:val="none"/>
                <w:vertAlign w:val="superscript"/>
              </w:rPr>
              <w:t>-7</w:t>
            </w:r>
            <w:r>
              <w:rPr>
                <w:rFonts w:hint="eastAsia" w:ascii="Times New Roman" w:hAnsi="Times New Roman" w:eastAsia="宋体" w:cs="宋体"/>
                <w:strike w:val="0"/>
                <w:dstrike w:val="0"/>
                <w:color w:val="auto"/>
                <w:spacing w:val="0"/>
                <w:position w:val="0"/>
                <w:sz w:val="21"/>
                <w:szCs w:val="21"/>
                <w:highlight w:val="none"/>
              </w:rPr>
              <w:t>cm/s；或参照GB 16889 执行</w:t>
            </w:r>
            <w:r>
              <w:rPr>
                <w:rFonts w:hint="eastAsia" w:ascii="Times New Roman" w:hAnsi="Times New Roman" w:eastAsia="宋体" w:cs="宋体"/>
                <w:strike w:val="0"/>
                <w:dstrike w:val="0"/>
                <w:color w:val="auto"/>
                <w:spacing w:val="0"/>
                <w:position w:val="0"/>
                <w:sz w:val="21"/>
                <w:szCs w:val="21"/>
                <w:highlight w:val="none"/>
                <w:lang w:eastAsia="zh-CN"/>
              </w:rPr>
              <w:t>；</w:t>
            </w:r>
            <w:r>
              <w:rPr>
                <w:rFonts w:hint="eastAsia" w:ascii="Times New Roman" w:hAnsi="Times New Roman" w:eastAsia="宋体" w:cs="宋体"/>
                <w:strike w:val="0"/>
                <w:dstrike w:val="0"/>
                <w:color w:val="auto"/>
                <w:spacing w:val="0"/>
                <w:position w:val="0"/>
                <w:sz w:val="21"/>
                <w:szCs w:val="21"/>
                <w:highlight w:val="none"/>
                <w:lang w:val="en-US" w:eastAsia="zh-CN"/>
              </w:rPr>
              <w:t>（3）对草料房采取简单防渗措施，水泥地面硬化</w:t>
            </w:r>
            <w:r>
              <w:rPr>
                <w:rFonts w:hint="eastAsia" w:ascii="Times New Roman" w:hAnsi="Times New Roman" w:eastAsia="宋体" w:cs="宋体"/>
                <w:strike w:val="0"/>
                <w:dstrike w:val="0"/>
                <w:color w:val="auto"/>
                <w:spacing w:val="0"/>
                <w:position w:val="0"/>
                <w:sz w:val="21"/>
                <w:szCs w:val="21"/>
                <w:highlight w:val="none"/>
                <w:lang w:eastAsia="zh-CN"/>
              </w:rPr>
              <w:t>。</w:t>
            </w:r>
          </w:p>
        </w:tc>
        <w:tc>
          <w:tcPr>
            <w:tcW w:w="585" w:type="pct"/>
            <w:vAlign w:val="center"/>
          </w:tcPr>
          <w:p w14:paraId="242029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20</w:t>
            </w:r>
          </w:p>
        </w:tc>
        <w:tc>
          <w:tcPr>
            <w:tcW w:w="820" w:type="pct"/>
            <w:vAlign w:val="center"/>
          </w:tcPr>
          <w:p w14:paraId="41EFF9B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r w14:paraId="292C3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1492" w:type="pct"/>
            <w:gridSpan w:val="3"/>
            <w:vAlign w:val="center"/>
          </w:tcPr>
          <w:p w14:paraId="10DE0D6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合计</w:t>
            </w:r>
          </w:p>
        </w:tc>
        <w:tc>
          <w:tcPr>
            <w:tcW w:w="2101" w:type="pct"/>
            <w:vAlign w:val="center"/>
          </w:tcPr>
          <w:p w14:paraId="3E13BA3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585" w:type="pct"/>
            <w:vAlign w:val="center"/>
          </w:tcPr>
          <w:p w14:paraId="17A640A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position w:val="0"/>
                <w:sz w:val="21"/>
                <w:szCs w:val="21"/>
                <w:highlight w:val="none"/>
                <w:lang w:val="en-US" w:eastAsia="zh-CN"/>
              </w:rPr>
            </w:pPr>
            <w:r>
              <w:rPr>
                <w:rFonts w:hint="eastAsia" w:ascii="Times New Roman" w:hAnsi="Times New Roman" w:eastAsia="宋体" w:cs="Times New Roman"/>
                <w:strike w:val="0"/>
                <w:dstrike w:val="0"/>
                <w:color w:val="auto"/>
                <w:spacing w:val="0"/>
                <w:position w:val="0"/>
                <w:sz w:val="21"/>
                <w:szCs w:val="21"/>
                <w:highlight w:val="none"/>
                <w:lang w:val="en-US" w:eastAsia="zh-CN"/>
              </w:rPr>
              <w:t>52.5</w:t>
            </w:r>
          </w:p>
        </w:tc>
        <w:tc>
          <w:tcPr>
            <w:tcW w:w="820" w:type="pct"/>
            <w:vAlign w:val="center"/>
          </w:tcPr>
          <w:p w14:paraId="5827C4F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r>
    </w:tbl>
    <w:p w14:paraId="53B6FD3A">
      <w:pPr>
        <w:pStyle w:val="4"/>
        <w:rPr>
          <w:rFonts w:ascii="Times New Roman" w:hAnsi="Times New Roman" w:eastAsia="宋体"/>
          <w:strike w:val="0"/>
          <w:dstrike w:val="0"/>
          <w:color w:val="auto"/>
          <w:highlight w:val="none"/>
        </w:rPr>
      </w:pPr>
      <w:bookmarkStart w:id="338" w:name="_Toc4941"/>
      <w:bookmarkStart w:id="339" w:name="_Toc106663543"/>
      <w:r>
        <w:rPr>
          <w:rFonts w:hint="eastAsia" w:ascii="Times New Roman" w:hAnsi="Times New Roman" w:eastAsia="宋体"/>
          <w:strike w:val="0"/>
          <w:dstrike w:val="0"/>
          <w:color w:val="auto"/>
          <w:highlight w:val="none"/>
        </w:rPr>
        <w:t>7.4.2环境效益分析</w:t>
      </w:r>
      <w:bookmarkEnd w:id="338"/>
      <w:bookmarkEnd w:id="339"/>
    </w:p>
    <w:p w14:paraId="3B2826D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总体来说，本项目生产运行后所产生的环境正面影响相对来说是较大的，这在环境影响预测评价中已经进行了详细评述</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污染损失值以潜在损失值为主体，所含因素较多，难以完全量化估算，故本环评重点对所采取的污染防治措施的环境损益进行分析评述</w:t>
      </w:r>
      <w:r>
        <w:rPr>
          <w:rFonts w:hint="eastAsia" w:ascii="Times New Roman" w:hAnsi="Times New Roman" w:eastAsia="宋体"/>
          <w:strike w:val="0"/>
          <w:dstrike w:val="0"/>
          <w:color w:val="auto"/>
          <w:highlight w:val="none"/>
          <w:lang w:eastAsia="zh-CN"/>
        </w:rPr>
        <w:t>。</w:t>
      </w:r>
    </w:p>
    <w:p w14:paraId="3AE4A4B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污染控制措施的经济损益包括两个方面：一是直接经济效益，二是间接经济效益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直接经济效益是指环保措施直接提供的产品价值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即内部效益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，间接经济效益是指污染物治理后所能减少的因污染带来的损失费用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即外部效益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间接经济效益和损失是一个问题的两个方面，两者之间存在着互换关系，即环境污染使污染区域使用功能下降所造成的损失值，可以作为减少污染所得到的利益</w:t>
      </w:r>
      <w:r>
        <w:rPr>
          <w:rFonts w:hint="eastAsia" w:ascii="Times New Roman" w:hAnsi="Times New Roman" w:eastAsia="宋体"/>
          <w:strike w:val="0"/>
          <w:dstrike w:val="0"/>
          <w:color w:val="auto"/>
          <w:highlight w:val="none"/>
          <w:lang w:eastAsia="zh-CN"/>
        </w:rPr>
        <w:t>。</w:t>
      </w:r>
    </w:p>
    <w:p w14:paraId="5C837CD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本项目建成后，产生的</w:t>
      </w:r>
      <w:r>
        <w:rPr>
          <w:rFonts w:hint="eastAsia" w:ascii="Times New Roman" w:hAnsi="Times New Roman" w:eastAsia="宋体"/>
          <w:strike w:val="0"/>
          <w:dstrike w:val="0"/>
          <w:color w:val="auto"/>
          <w:highlight w:val="none"/>
          <w:lang w:eastAsia="zh-CN"/>
        </w:rPr>
        <w:t>骆驼</w:t>
      </w:r>
      <w:r>
        <w:rPr>
          <w:rFonts w:ascii="Times New Roman" w:hAnsi="Times New Roman" w:eastAsia="宋体"/>
          <w:strike w:val="0"/>
          <w:dstrike w:val="0"/>
          <w:color w:val="auto"/>
          <w:highlight w:val="none"/>
        </w:rPr>
        <w:t>粪</w:t>
      </w:r>
      <w:r>
        <w:rPr>
          <w:rFonts w:hint="eastAsia" w:ascii="Times New Roman" w:hAnsi="Times New Roman" w:eastAsia="宋体"/>
          <w:strike w:val="0"/>
          <w:dstrike w:val="0"/>
          <w:color w:val="auto"/>
          <w:highlight w:val="none"/>
          <w:lang w:val="en-US" w:eastAsia="zh-CN"/>
        </w:rPr>
        <w:t>处理后作为有机肥外售</w:t>
      </w:r>
      <w:r>
        <w:rPr>
          <w:rFonts w:ascii="Times New Roman" w:hAnsi="Times New Roman" w:eastAsia="宋体"/>
          <w:strike w:val="0"/>
          <w:dstrike w:val="0"/>
          <w:color w:val="auto"/>
          <w:highlight w:val="none"/>
        </w:rPr>
        <w:t>，由其负责定期清运工作，实现资源的综合利用</w:t>
      </w:r>
      <w:r>
        <w:rPr>
          <w:rFonts w:hint="eastAsia" w:ascii="Times New Roman" w:hAnsi="Times New Roman" w:eastAsia="宋体"/>
          <w:strike w:val="0"/>
          <w:dstrike w:val="0"/>
          <w:color w:val="auto"/>
          <w:highlight w:val="none"/>
          <w:lang w:eastAsia="zh-CN"/>
        </w:rPr>
        <w:t>。</w:t>
      </w:r>
    </w:p>
    <w:p w14:paraId="0E990AFD">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在此，间接经济效益是指因采取污染防治措施而避免或减缓环境影响而降低的环境经济损失</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根据间接经济效益和损失可以互换的关系，本环评采用污染损失值反推因减少污染所得到的利益，进行环境经济损益分析</w:t>
      </w:r>
      <w:r>
        <w:rPr>
          <w:rFonts w:hint="eastAsia" w:ascii="Times New Roman" w:hAnsi="Times New Roman" w:eastAsia="宋体"/>
          <w:strike w:val="0"/>
          <w:dstrike w:val="0"/>
          <w:color w:val="auto"/>
          <w:highlight w:val="none"/>
          <w:lang w:eastAsia="zh-CN"/>
        </w:rPr>
        <w:t>。</w:t>
      </w:r>
    </w:p>
    <w:p w14:paraId="4EDD5D6E">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从项目所处位置来看，如果本项目不加治理任意排放，会造成地表水、地下水质量下降，直接影响到项目区附近人群的生活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因此，本项目</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若不加治理的排放，所造成的经济损失十分巨大，从反面说明污染治理工程的间接效益巨大</w:t>
      </w:r>
      <w:r>
        <w:rPr>
          <w:rFonts w:hint="eastAsia" w:ascii="Times New Roman" w:hAnsi="Times New Roman" w:eastAsia="宋体"/>
          <w:strike w:val="0"/>
          <w:dstrike w:val="0"/>
          <w:color w:val="auto"/>
          <w:highlight w:val="none"/>
          <w:lang w:eastAsia="zh-CN"/>
        </w:rPr>
        <w:t>。</w:t>
      </w:r>
    </w:p>
    <w:p w14:paraId="69052C70">
      <w:pPr>
        <w:pStyle w:val="3"/>
        <w:rPr>
          <w:rFonts w:ascii="Times New Roman" w:hAnsi="Times New Roman" w:eastAsia="宋体"/>
          <w:strike w:val="0"/>
          <w:dstrike w:val="0"/>
          <w:color w:val="auto"/>
          <w:highlight w:val="none"/>
        </w:rPr>
      </w:pPr>
      <w:bookmarkStart w:id="340" w:name="_Toc89619355"/>
      <w:bookmarkStart w:id="341" w:name="_Toc4832"/>
      <w:bookmarkStart w:id="342" w:name="_Toc24143"/>
      <w:r>
        <w:rPr>
          <w:rFonts w:hint="eastAsia" w:ascii="Times New Roman" w:hAnsi="Times New Roman" w:eastAsia="宋体"/>
          <w:strike w:val="0"/>
          <w:dstrike w:val="0"/>
          <w:color w:val="auto"/>
          <w:highlight w:val="none"/>
        </w:rPr>
        <w:t>7.5小结</w:t>
      </w:r>
      <w:bookmarkEnd w:id="340"/>
      <w:bookmarkEnd w:id="341"/>
      <w:bookmarkEnd w:id="342"/>
    </w:p>
    <w:p w14:paraId="7A9F2C1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综上分析，本项目的实施在促进地方经济发展的同时又具有良好的社会效益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该项目市场前景良好，能促进当地经济的发展，将为周围群众扩大就业机会，能提高群众的生活质量，所以从社会经济角度看是可行的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同时，项目在保证环保投资的前提下，能够实现达标排放，环境效益比较明显，因此从环境经济角度来看也是合理可行的</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本项目具有较好的经济效益、社会效益和环境效益</w:t>
      </w:r>
      <w:r>
        <w:rPr>
          <w:rFonts w:hint="eastAsia" w:ascii="Times New Roman" w:hAnsi="Times New Roman" w:eastAsia="宋体"/>
          <w:strike w:val="0"/>
          <w:dstrike w:val="0"/>
          <w:color w:val="auto"/>
          <w:highlight w:val="none"/>
          <w:lang w:eastAsia="zh-CN"/>
        </w:rPr>
        <w:t>。</w:t>
      </w:r>
    </w:p>
    <w:p w14:paraId="35EAB91A">
      <w:pPr>
        <w:tabs>
          <w:tab w:val="center" w:pos="4393"/>
        </w:tabs>
        <w:ind w:firstLine="480"/>
        <w:rPr>
          <w:rFonts w:ascii="Times New Roman" w:hAnsi="Times New Roman" w:eastAsia="宋体"/>
          <w:strike w:val="0"/>
          <w:dstrike w:val="0"/>
          <w:color w:val="auto"/>
          <w:highlight w:val="none"/>
        </w:rPr>
        <w:sectPr>
          <w:footerReference r:id="rId25" w:type="default"/>
          <w:pgSz w:w="11906" w:h="16838"/>
          <w:pgMar w:top="1440" w:right="1800" w:bottom="1440" w:left="1800" w:header="851" w:footer="720" w:gutter="0"/>
          <w:pgBorders>
            <w:top w:val="none" w:sz="0" w:space="0"/>
            <w:left w:val="none" w:sz="0" w:space="0"/>
            <w:bottom w:val="none" w:sz="0" w:space="0"/>
            <w:right w:val="none" w:sz="0" w:space="0"/>
          </w:pgBorders>
          <w:pgNumType w:fmt="decimal"/>
          <w:cols w:space="425" w:num="1"/>
          <w:docGrid w:type="lines" w:linePitch="326" w:charSpace="0"/>
        </w:sectPr>
      </w:pPr>
      <w:r>
        <w:rPr>
          <w:rFonts w:ascii="Times New Roman" w:hAnsi="Times New Roman" w:eastAsia="宋体"/>
          <w:strike w:val="0"/>
          <w:dstrike w:val="0"/>
          <w:color w:val="auto"/>
          <w:highlight w:val="none"/>
        </w:rPr>
        <w:tab/>
      </w:r>
    </w:p>
    <w:p w14:paraId="436D6CDD">
      <w:pPr>
        <w:pStyle w:val="2"/>
        <w:rPr>
          <w:rFonts w:ascii="Times New Roman" w:hAnsi="Times New Roman" w:eastAsia="宋体"/>
          <w:strike w:val="0"/>
          <w:dstrike w:val="0"/>
          <w:color w:val="auto"/>
          <w:highlight w:val="none"/>
        </w:rPr>
      </w:pPr>
      <w:bookmarkStart w:id="343" w:name="_Toc89619356"/>
      <w:bookmarkStart w:id="344" w:name="_Toc6740"/>
      <w:bookmarkStart w:id="345" w:name="_Toc31169"/>
      <w:r>
        <w:rPr>
          <w:rFonts w:hint="eastAsia" w:ascii="Times New Roman" w:hAnsi="Times New Roman" w:eastAsia="宋体"/>
          <w:strike w:val="0"/>
          <w:dstrike w:val="0"/>
          <w:color w:val="auto"/>
          <w:highlight w:val="none"/>
        </w:rPr>
        <w:t>8</w:t>
      </w:r>
      <w:r>
        <w:rPr>
          <w:rFonts w:ascii="Times New Roman" w:hAnsi="Times New Roman" w:eastAsia="宋体"/>
          <w:strike w:val="0"/>
          <w:dstrike w:val="0"/>
          <w:color w:val="auto"/>
          <w:highlight w:val="none"/>
        </w:rPr>
        <w:t>、环境管理与</w:t>
      </w:r>
      <w:r>
        <w:rPr>
          <w:rFonts w:hint="eastAsia" w:ascii="Times New Roman" w:hAnsi="Times New Roman" w:eastAsia="宋体"/>
          <w:strike w:val="0"/>
          <w:dstrike w:val="0"/>
          <w:color w:val="auto"/>
          <w:highlight w:val="none"/>
        </w:rPr>
        <w:t>环境</w:t>
      </w:r>
      <w:r>
        <w:rPr>
          <w:rFonts w:ascii="Times New Roman" w:hAnsi="Times New Roman" w:eastAsia="宋体"/>
          <w:strike w:val="0"/>
          <w:dstrike w:val="0"/>
          <w:color w:val="auto"/>
          <w:highlight w:val="none"/>
        </w:rPr>
        <w:t>监测计划</w:t>
      </w:r>
      <w:bookmarkEnd w:id="343"/>
      <w:bookmarkEnd w:id="344"/>
      <w:bookmarkEnd w:id="345"/>
    </w:p>
    <w:p w14:paraId="3FA15109">
      <w:pPr>
        <w:pStyle w:val="3"/>
        <w:rPr>
          <w:rFonts w:ascii="Times New Roman" w:hAnsi="Times New Roman" w:eastAsia="宋体"/>
          <w:strike w:val="0"/>
          <w:dstrike w:val="0"/>
          <w:color w:val="auto"/>
          <w:highlight w:val="none"/>
        </w:rPr>
      </w:pPr>
      <w:bookmarkStart w:id="346" w:name="_Toc89619357"/>
      <w:bookmarkStart w:id="347" w:name="_Toc27120"/>
      <w:bookmarkStart w:id="348" w:name="_Toc29342"/>
      <w:bookmarkStart w:id="349" w:name="_Toc265225833"/>
      <w:bookmarkStart w:id="350" w:name="_Toc117518217"/>
      <w:bookmarkStart w:id="351" w:name="_Toc117518136"/>
      <w:bookmarkStart w:id="352" w:name="_Toc370052948"/>
      <w:bookmarkStart w:id="353" w:name="_Toc117518302"/>
      <w:bookmarkStart w:id="354" w:name="_Toc269723052"/>
      <w:bookmarkStart w:id="355" w:name="_Toc265225645"/>
      <w:bookmarkStart w:id="356" w:name="_Toc117518577"/>
      <w:bookmarkStart w:id="357" w:name="_Toc117518382"/>
      <w:bookmarkStart w:id="358" w:name="_Toc304234029"/>
      <w:bookmarkStart w:id="359" w:name="_Toc23478"/>
      <w:bookmarkStart w:id="360" w:name="_Toc273384091"/>
      <w:bookmarkStart w:id="361" w:name="_Toc117517872"/>
      <w:r>
        <w:rPr>
          <w:rFonts w:hint="eastAsia" w:ascii="Times New Roman" w:hAnsi="Times New Roman" w:eastAsia="宋体"/>
          <w:strike w:val="0"/>
          <w:dstrike w:val="0"/>
          <w:color w:val="auto"/>
          <w:highlight w:val="none"/>
        </w:rPr>
        <w:t>8.1环境管理</w:t>
      </w:r>
      <w:bookmarkEnd w:id="346"/>
      <w:bookmarkEnd w:id="347"/>
      <w:bookmarkEnd w:id="348"/>
    </w:p>
    <w:p w14:paraId="166F06C7">
      <w:pPr>
        <w:ind w:firstLine="480"/>
        <w:rPr>
          <w:rFonts w:hint="eastAsia" w:ascii="Times New Roman" w:hAnsi="Times New Roman" w:eastAsia="宋体"/>
          <w:strike w:val="0"/>
          <w:dstrike w:val="0"/>
          <w:color w:val="auto"/>
          <w:highlight w:val="none"/>
          <w:lang w:eastAsia="zh-CN"/>
        </w:rPr>
      </w:pPr>
      <w:bookmarkStart w:id="362" w:name="_Toc9027"/>
      <w:r>
        <w:rPr>
          <w:rFonts w:hint="eastAsia" w:ascii="Times New Roman" w:hAnsi="Times New Roman" w:eastAsia="宋体"/>
          <w:strike w:val="0"/>
          <w:dstrike w:val="0"/>
          <w:color w:val="auto"/>
          <w:highlight w:val="none"/>
        </w:rPr>
        <w:t>环境管理是指建设单位、设计单位和施工单位在工程的可行性研究、工程设计、建设期和运行期必须遵守国家、省市的有关环境保护法规、政策、标准，落实环境影响评价报告中拟定采取的减缓措施，并确保环境保护设施处于正常运行状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环境管理计划制定出机构的能力建设、执行各项防治措施的职责、实施进度、监测内容和报告程序，以及资金投入和来源等内容</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在工程建设期和运行期，接受地方生态环境主管部门的监督和指导，并配合生态环境主管部门完成对工程建设的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审查</w:t>
      </w:r>
      <w:bookmarkEnd w:id="362"/>
      <w:r>
        <w:rPr>
          <w:rFonts w:hint="eastAsia" w:ascii="Times New Roman" w:hAnsi="Times New Roman" w:eastAsia="宋体"/>
          <w:strike w:val="0"/>
          <w:dstrike w:val="0"/>
          <w:color w:val="auto"/>
          <w:highlight w:val="none"/>
          <w:lang w:eastAsia="zh-CN"/>
        </w:rPr>
        <w:t>。</w:t>
      </w:r>
    </w:p>
    <w:p w14:paraId="6B38B100">
      <w:pPr>
        <w:pStyle w:val="4"/>
        <w:rPr>
          <w:rFonts w:ascii="Times New Roman" w:hAnsi="Times New Roman" w:eastAsia="宋体"/>
          <w:strike w:val="0"/>
          <w:dstrike w:val="0"/>
          <w:color w:val="auto"/>
          <w:highlight w:val="none"/>
        </w:rPr>
      </w:pPr>
      <w:bookmarkStart w:id="363" w:name="_Toc9564"/>
      <w:bookmarkStart w:id="364" w:name="_Toc106663547"/>
      <w:bookmarkStart w:id="365" w:name="_Toc23105"/>
      <w:r>
        <w:rPr>
          <w:rFonts w:hint="eastAsia" w:ascii="Times New Roman" w:hAnsi="Times New Roman" w:eastAsia="宋体"/>
          <w:strike w:val="0"/>
          <w:dstrike w:val="0"/>
          <w:color w:val="auto"/>
          <w:highlight w:val="none"/>
        </w:rPr>
        <w:t>8.1.1设置环境管理机构</w:t>
      </w:r>
      <w:bookmarkEnd w:id="363"/>
      <w:bookmarkEnd w:id="364"/>
      <w:bookmarkEnd w:id="365"/>
    </w:p>
    <w:p w14:paraId="6D1C4DB7">
      <w:pPr>
        <w:ind w:firstLine="480"/>
        <w:rPr>
          <w:rFonts w:hint="eastAsia" w:ascii="Times New Roman" w:hAnsi="Times New Roman" w:eastAsia="宋体"/>
          <w:strike w:val="0"/>
          <w:dstrike w:val="0"/>
          <w:color w:val="auto"/>
          <w:highlight w:val="none"/>
          <w:lang w:eastAsia="zh-CN"/>
        </w:rPr>
      </w:pPr>
      <w:bookmarkStart w:id="366" w:name="_Toc29128"/>
      <w:r>
        <w:rPr>
          <w:rFonts w:hint="eastAsia" w:ascii="Times New Roman" w:hAnsi="Times New Roman" w:eastAsia="宋体"/>
          <w:strike w:val="0"/>
          <w:dstrike w:val="0"/>
          <w:color w:val="auto"/>
          <w:highlight w:val="none"/>
        </w:rPr>
        <w:t>厂区内设置专门的安全生产、环境保护与事故应急管理机构（环保处），并设置专职环保人员负责环境管理、环境监测和事故应急处理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环保处设置专职处长1名，直接向企业领导负责，统一负责管理、组织、落实、监督企业的环境保护工作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厂区内设置兼职环保人员，承担各级环境管理职责，并向环保处负责</w:t>
      </w:r>
      <w:bookmarkEnd w:id="366"/>
      <w:r>
        <w:rPr>
          <w:rFonts w:hint="eastAsia" w:ascii="Times New Roman" w:hAnsi="Times New Roman" w:eastAsia="宋体"/>
          <w:strike w:val="0"/>
          <w:dstrike w:val="0"/>
          <w:color w:val="auto"/>
          <w:highlight w:val="none"/>
          <w:lang w:eastAsia="zh-CN"/>
        </w:rPr>
        <w:t>。</w:t>
      </w:r>
    </w:p>
    <w:p w14:paraId="6C01EB75">
      <w:pPr>
        <w:ind w:firstLine="480"/>
        <w:rPr>
          <w:rFonts w:ascii="Times New Roman" w:hAnsi="Times New Roman" w:eastAsia="宋体"/>
          <w:strike w:val="0"/>
          <w:dstrike w:val="0"/>
          <w:color w:val="auto"/>
          <w:highlight w:val="none"/>
        </w:rPr>
      </w:pPr>
      <w:bookmarkStart w:id="367" w:name="_Toc15753"/>
      <w:r>
        <w:rPr>
          <w:rFonts w:hint="eastAsia" w:ascii="Times New Roman" w:hAnsi="Times New Roman" w:eastAsia="宋体"/>
          <w:strike w:val="0"/>
          <w:dstrike w:val="0"/>
          <w:color w:val="auto"/>
          <w:highlight w:val="none"/>
        </w:rPr>
        <w:t>环保处设置专职管理人员2～3名，负责与各单项污染治理设施的沟通、协调与日常管理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对工作人员实行培训后持证上岗，制定工作人员岗位责任制，增强操作人员的环境保护意识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机构人员具体职责为：</w:t>
      </w:r>
      <w:bookmarkEnd w:id="367"/>
    </w:p>
    <w:p w14:paraId="5032A222">
      <w:pPr>
        <w:ind w:firstLine="480"/>
        <w:rPr>
          <w:rFonts w:hint="eastAsia" w:ascii="Times New Roman" w:hAnsi="Times New Roman" w:eastAsia="宋体"/>
          <w:strike w:val="0"/>
          <w:dstrike w:val="0"/>
          <w:color w:val="auto"/>
          <w:highlight w:val="none"/>
          <w:lang w:eastAsia="zh-CN"/>
        </w:rPr>
      </w:pPr>
      <w:bookmarkStart w:id="368" w:name="_Toc2979"/>
      <w:r>
        <w:rPr>
          <w:rFonts w:hint="eastAsia" w:ascii="Times New Roman" w:hAnsi="Times New Roman" w:eastAsia="宋体"/>
          <w:strike w:val="0"/>
          <w:dstrike w:val="0"/>
          <w:color w:val="auto"/>
          <w:highlight w:val="none"/>
        </w:rPr>
        <w:t>（1）认真贯彻执行国家以及昌吉州、</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环保法规及行业环保规定，负责制定全场近、远期环境保护规划并督促计划实施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落实环保要求，解决存在的环保问题</w:t>
      </w:r>
      <w:bookmarkEnd w:id="368"/>
      <w:r>
        <w:rPr>
          <w:rFonts w:hint="eastAsia" w:ascii="Times New Roman" w:hAnsi="Times New Roman" w:eastAsia="宋体"/>
          <w:strike w:val="0"/>
          <w:dstrike w:val="0"/>
          <w:color w:val="auto"/>
          <w:highlight w:val="none"/>
          <w:lang w:eastAsia="zh-CN"/>
        </w:rPr>
        <w:t>。</w:t>
      </w:r>
    </w:p>
    <w:p w14:paraId="24CFB706">
      <w:pPr>
        <w:ind w:firstLine="480"/>
        <w:rPr>
          <w:rFonts w:ascii="Times New Roman" w:hAnsi="Times New Roman" w:eastAsia="宋体"/>
          <w:strike w:val="0"/>
          <w:dstrike w:val="0"/>
          <w:color w:val="auto"/>
          <w:highlight w:val="none"/>
        </w:rPr>
      </w:pPr>
      <w:bookmarkStart w:id="369" w:name="_Toc32751"/>
      <w:r>
        <w:rPr>
          <w:rFonts w:hint="eastAsia" w:ascii="Times New Roman" w:hAnsi="Times New Roman" w:eastAsia="宋体"/>
          <w:strike w:val="0"/>
          <w:dstrike w:val="0"/>
          <w:color w:val="auto"/>
          <w:highlight w:val="none"/>
        </w:rPr>
        <w:t>（2）组织制定厂内的环境保护管理规章制度，并监督检查其执行情况，针对企业的具体情况，制定并组织实施环境保护规划和年度工作计划；</w:t>
      </w:r>
      <w:bookmarkEnd w:id="369"/>
    </w:p>
    <w:p w14:paraId="24007E50">
      <w:pPr>
        <w:ind w:firstLine="480"/>
        <w:rPr>
          <w:rFonts w:hint="eastAsia" w:ascii="Times New Roman" w:hAnsi="Times New Roman" w:eastAsia="宋体"/>
          <w:strike w:val="0"/>
          <w:dstrike w:val="0"/>
          <w:color w:val="auto"/>
          <w:highlight w:val="none"/>
          <w:lang w:eastAsia="zh-CN"/>
        </w:rPr>
      </w:pPr>
      <w:bookmarkStart w:id="370" w:name="_Toc28465"/>
      <w:r>
        <w:rPr>
          <w:rFonts w:hint="eastAsia" w:ascii="Times New Roman" w:hAnsi="Times New Roman" w:eastAsia="宋体"/>
          <w:strike w:val="0"/>
          <w:dstrike w:val="0"/>
          <w:color w:val="auto"/>
          <w:highlight w:val="none"/>
        </w:rPr>
        <w:t>（3）落实环保设施运行的管理计划、操作规程，及时汇总存在的问题，提交技术部门改进解决</w:t>
      </w:r>
      <w:bookmarkEnd w:id="370"/>
      <w:r>
        <w:rPr>
          <w:rFonts w:hint="eastAsia" w:ascii="Times New Roman" w:hAnsi="Times New Roman" w:eastAsia="宋体"/>
          <w:strike w:val="0"/>
          <w:dstrike w:val="0"/>
          <w:color w:val="auto"/>
          <w:highlight w:val="none"/>
          <w:lang w:eastAsia="zh-CN"/>
        </w:rPr>
        <w:t>。</w:t>
      </w:r>
    </w:p>
    <w:p w14:paraId="123B27B0">
      <w:pPr>
        <w:ind w:firstLine="480"/>
        <w:rPr>
          <w:rFonts w:ascii="Times New Roman" w:hAnsi="Times New Roman" w:eastAsia="宋体"/>
          <w:strike w:val="0"/>
          <w:dstrike w:val="0"/>
          <w:color w:val="auto"/>
          <w:highlight w:val="none"/>
        </w:rPr>
      </w:pPr>
      <w:bookmarkStart w:id="371" w:name="_Toc17709"/>
      <w:r>
        <w:rPr>
          <w:rFonts w:ascii="Times New Roman" w:hAnsi="Times New Roman" w:eastAsia="宋体"/>
          <w:strike w:val="0"/>
          <w:dstrike w:val="0"/>
          <w:color w:val="auto"/>
          <w:highlight w:val="none"/>
        </w:rPr>
        <w:t>（4）负责开展日常的环境监测工作，建立健全原始记录，分析掌握污染动态以及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三废</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的综合处置情况；</w:t>
      </w:r>
      <w:bookmarkEnd w:id="371"/>
    </w:p>
    <w:p w14:paraId="12920930">
      <w:pPr>
        <w:ind w:firstLine="480"/>
        <w:rPr>
          <w:rFonts w:ascii="Times New Roman" w:hAnsi="Times New Roman" w:eastAsia="宋体"/>
          <w:strike w:val="0"/>
          <w:dstrike w:val="0"/>
          <w:color w:val="auto"/>
          <w:highlight w:val="none"/>
        </w:rPr>
      </w:pPr>
      <w:bookmarkStart w:id="372" w:name="_Toc32609"/>
      <w:r>
        <w:rPr>
          <w:rFonts w:ascii="Times New Roman" w:hAnsi="Times New Roman" w:eastAsia="宋体"/>
          <w:strike w:val="0"/>
          <w:dstrike w:val="0"/>
          <w:color w:val="auto"/>
          <w:highlight w:val="none"/>
        </w:rPr>
        <w:t>（5）建立环保档案，做好企业环境管理台账记录和企业环保资料的统计整理工作，及时向当地环保部门上报环保工作报表以及提供相应的技术数据；</w:t>
      </w:r>
      <w:bookmarkEnd w:id="372"/>
    </w:p>
    <w:p w14:paraId="1A51FEDC">
      <w:pPr>
        <w:ind w:firstLine="480"/>
        <w:rPr>
          <w:rFonts w:ascii="Times New Roman" w:hAnsi="Times New Roman" w:eastAsia="宋体"/>
          <w:strike w:val="0"/>
          <w:dstrike w:val="0"/>
          <w:color w:val="auto"/>
          <w:highlight w:val="none"/>
        </w:rPr>
      </w:pPr>
      <w:bookmarkStart w:id="373" w:name="_Toc26113"/>
      <w:r>
        <w:rPr>
          <w:rFonts w:ascii="Times New Roman" w:hAnsi="Times New Roman" w:eastAsia="宋体"/>
          <w:strike w:val="0"/>
          <w:dstrike w:val="0"/>
          <w:color w:val="auto"/>
          <w:highlight w:val="none"/>
        </w:rPr>
        <w:t>（7）检查落实安全消防措施，开展环保、安全知识教育，对从事与环保工作有关的特殊岗位（如承担环保设施运行与维护）的员工的技能进行定期培训和考核；</w:t>
      </w:r>
      <w:bookmarkEnd w:id="373"/>
    </w:p>
    <w:p w14:paraId="661413ED">
      <w:pPr>
        <w:ind w:firstLine="480"/>
        <w:rPr>
          <w:rFonts w:ascii="Times New Roman" w:hAnsi="Times New Roman" w:eastAsia="宋体"/>
          <w:strike w:val="0"/>
          <w:dstrike w:val="0"/>
          <w:color w:val="auto"/>
          <w:highlight w:val="none"/>
        </w:rPr>
      </w:pPr>
      <w:bookmarkStart w:id="374" w:name="_Toc21851"/>
      <w:r>
        <w:rPr>
          <w:rFonts w:ascii="Times New Roman" w:hAnsi="Times New Roman" w:eastAsia="宋体"/>
          <w:strike w:val="0"/>
          <w:dstrike w:val="0"/>
          <w:color w:val="auto"/>
          <w:highlight w:val="none"/>
        </w:rPr>
        <w:t>（8）负责处理各类污染事故和突发紧急事件，组织抢救和善后处理工作；</w:t>
      </w:r>
      <w:bookmarkEnd w:id="374"/>
    </w:p>
    <w:p w14:paraId="0570C199">
      <w:pPr>
        <w:ind w:firstLine="480"/>
        <w:rPr>
          <w:rFonts w:hint="eastAsia" w:ascii="Times New Roman" w:hAnsi="Times New Roman" w:eastAsia="宋体"/>
          <w:strike w:val="0"/>
          <w:dstrike w:val="0"/>
          <w:color w:val="auto"/>
          <w:highlight w:val="none"/>
          <w:lang w:eastAsia="zh-CN"/>
        </w:rPr>
      </w:pPr>
      <w:bookmarkStart w:id="375" w:name="_Toc13513"/>
      <w:r>
        <w:rPr>
          <w:rFonts w:ascii="Times New Roman" w:hAnsi="Times New Roman" w:eastAsia="宋体"/>
          <w:strike w:val="0"/>
          <w:dstrike w:val="0"/>
          <w:color w:val="auto"/>
          <w:highlight w:val="none"/>
        </w:rPr>
        <w:t>（9）负责企业的清洁生产工作的开展和维持，配合当地环境保护部门对企业的环境管理</w:t>
      </w:r>
      <w:bookmarkEnd w:id="375"/>
      <w:r>
        <w:rPr>
          <w:rFonts w:hint="eastAsia" w:ascii="Times New Roman" w:hAnsi="Times New Roman" w:eastAsia="宋体"/>
          <w:strike w:val="0"/>
          <w:dstrike w:val="0"/>
          <w:color w:val="auto"/>
          <w:highlight w:val="none"/>
          <w:lang w:eastAsia="zh-CN"/>
        </w:rPr>
        <w:t>。</w:t>
      </w:r>
    </w:p>
    <w:p w14:paraId="328E40D6">
      <w:pPr>
        <w:ind w:firstLine="480"/>
        <w:rPr>
          <w:rFonts w:hint="eastAsia" w:ascii="Times New Roman" w:hAnsi="Times New Roman" w:eastAsia="宋体"/>
          <w:strike w:val="0"/>
          <w:dstrike w:val="0"/>
          <w:color w:val="auto"/>
          <w:highlight w:val="none"/>
          <w:lang w:eastAsia="zh-CN"/>
        </w:rPr>
      </w:pPr>
      <w:bookmarkStart w:id="376" w:name="_Toc2172"/>
      <w:r>
        <w:rPr>
          <w:rFonts w:ascii="Times New Roman" w:hAnsi="Times New Roman" w:eastAsia="宋体"/>
          <w:strike w:val="0"/>
          <w:dstrike w:val="0"/>
          <w:color w:val="auto"/>
          <w:highlight w:val="none"/>
        </w:rPr>
        <w:t>（10）做好企业环境管理信息公开工作</w:t>
      </w:r>
      <w:bookmarkEnd w:id="376"/>
      <w:r>
        <w:rPr>
          <w:rFonts w:hint="eastAsia" w:ascii="Times New Roman" w:hAnsi="Times New Roman" w:eastAsia="宋体"/>
          <w:strike w:val="0"/>
          <w:dstrike w:val="0"/>
          <w:color w:val="auto"/>
          <w:highlight w:val="none"/>
          <w:lang w:eastAsia="zh-CN"/>
        </w:rPr>
        <w:t>。</w:t>
      </w:r>
    </w:p>
    <w:p w14:paraId="26E05A25">
      <w:pPr>
        <w:pStyle w:val="4"/>
        <w:rPr>
          <w:rFonts w:ascii="Times New Roman" w:hAnsi="Times New Roman" w:eastAsia="宋体"/>
          <w:strike w:val="0"/>
          <w:dstrike w:val="0"/>
          <w:color w:val="auto"/>
          <w:highlight w:val="none"/>
        </w:rPr>
      </w:pPr>
      <w:bookmarkStart w:id="377" w:name="_Toc106663548"/>
      <w:bookmarkStart w:id="378" w:name="_Toc23679"/>
      <w:bookmarkStart w:id="379" w:name="_Toc2076"/>
      <w:r>
        <w:rPr>
          <w:rFonts w:ascii="Times New Roman" w:hAnsi="Times New Roman" w:eastAsia="宋体"/>
          <w:strike w:val="0"/>
          <w:dstrike w:val="0"/>
          <w:color w:val="auto"/>
          <w:highlight w:val="none"/>
        </w:rPr>
        <w:t>8.1.2落实环境管理制度</w:t>
      </w:r>
      <w:bookmarkEnd w:id="377"/>
      <w:bookmarkEnd w:id="378"/>
      <w:bookmarkEnd w:id="379"/>
    </w:p>
    <w:p w14:paraId="4FFA35B8">
      <w:pPr>
        <w:ind w:firstLine="480"/>
        <w:rPr>
          <w:rFonts w:hint="eastAsia" w:ascii="Times New Roman" w:hAnsi="Times New Roman" w:eastAsia="宋体"/>
          <w:strike w:val="0"/>
          <w:dstrike w:val="0"/>
          <w:color w:val="auto"/>
          <w:highlight w:val="none"/>
          <w:lang w:eastAsia="zh-CN"/>
        </w:rPr>
      </w:pPr>
      <w:bookmarkStart w:id="380" w:name="_Toc26364"/>
      <w:r>
        <w:rPr>
          <w:rFonts w:ascii="Times New Roman" w:hAnsi="Times New Roman" w:eastAsia="宋体"/>
          <w:strike w:val="0"/>
          <w:dstrike w:val="0"/>
          <w:color w:val="auto"/>
          <w:highlight w:val="none"/>
        </w:rPr>
        <w:t>在本项目设计以及施工与营运过程中必须制定严格的环境管理计划</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环境管理由项目负责人直接领导，由具有环境保护知识与经验的工程技术人员担任环保员，负责并协调有关环境监测的具体事项，环保业务上同时接受各子项目所在地的指导和监督</w:t>
      </w:r>
      <w:bookmarkEnd w:id="380"/>
      <w:r>
        <w:rPr>
          <w:rFonts w:hint="eastAsia" w:ascii="Times New Roman" w:hAnsi="Times New Roman" w:eastAsia="宋体"/>
          <w:strike w:val="0"/>
          <w:dstrike w:val="0"/>
          <w:color w:val="auto"/>
          <w:highlight w:val="none"/>
          <w:lang w:eastAsia="zh-CN"/>
        </w:rPr>
        <w:t>。</w:t>
      </w:r>
    </w:p>
    <w:p w14:paraId="01FC8B01">
      <w:pPr>
        <w:ind w:firstLine="480"/>
        <w:rPr>
          <w:rFonts w:ascii="Times New Roman" w:hAnsi="Times New Roman" w:eastAsia="宋体"/>
          <w:strike w:val="0"/>
          <w:dstrike w:val="0"/>
          <w:color w:val="auto"/>
          <w:highlight w:val="none"/>
        </w:rPr>
      </w:pPr>
      <w:bookmarkStart w:id="381" w:name="_Toc1869"/>
      <w:r>
        <w:rPr>
          <w:rFonts w:hint="eastAsia"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制度</w:t>
      </w:r>
      <w:bookmarkEnd w:id="381"/>
    </w:p>
    <w:p w14:paraId="43DB93F8">
      <w:pPr>
        <w:ind w:firstLine="480"/>
        <w:rPr>
          <w:rFonts w:hint="eastAsia" w:ascii="Times New Roman" w:hAnsi="Times New Roman" w:eastAsia="宋体"/>
          <w:strike w:val="0"/>
          <w:dstrike w:val="0"/>
          <w:color w:val="auto"/>
          <w:highlight w:val="none"/>
          <w:lang w:eastAsia="zh-CN"/>
        </w:rPr>
      </w:pPr>
      <w:bookmarkStart w:id="382" w:name="_Toc11513"/>
      <w:r>
        <w:rPr>
          <w:rFonts w:ascii="Times New Roman" w:hAnsi="Times New Roman" w:eastAsia="宋体"/>
          <w:strike w:val="0"/>
          <w:dstrike w:val="0"/>
          <w:color w:val="auto"/>
          <w:highlight w:val="none"/>
        </w:rPr>
        <w:t>根据《建设项目环境保护管理条例》，建设项目需要配套建设的环境保护设施，必须与主体工程同时设计、同时施工、同时投产使用</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建设单位应当按照国务院环境保护行政主管部门规定的标准和程序，对配套建设的环境保护设施进行验收，编制验收报告</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建设单位在环境保护设施验收过程中，应当如实查验、监测、记载建设项目环境保护设施的建设和调试情况，不得弄虚作假，验收报告应依法向社会公开</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本项目配套建设的环境保护设施经验收合格，方可再次投入生产或者使用</w:t>
      </w:r>
      <w:bookmarkEnd w:id="382"/>
      <w:r>
        <w:rPr>
          <w:rFonts w:hint="eastAsia" w:ascii="Times New Roman" w:hAnsi="Times New Roman" w:eastAsia="宋体"/>
          <w:strike w:val="0"/>
          <w:dstrike w:val="0"/>
          <w:color w:val="auto"/>
          <w:highlight w:val="none"/>
          <w:lang w:eastAsia="zh-CN"/>
        </w:rPr>
        <w:t>。</w:t>
      </w:r>
    </w:p>
    <w:p w14:paraId="4868E2DC">
      <w:pPr>
        <w:ind w:firstLine="480"/>
        <w:rPr>
          <w:rFonts w:ascii="Times New Roman" w:hAnsi="Times New Roman" w:eastAsia="宋体"/>
          <w:strike w:val="0"/>
          <w:dstrike w:val="0"/>
          <w:color w:val="auto"/>
          <w:highlight w:val="none"/>
        </w:rPr>
      </w:pPr>
      <w:bookmarkStart w:id="383" w:name="_Toc12235"/>
      <w:r>
        <w:rPr>
          <w:rFonts w:hint="eastAsia" w:ascii="Times New Roman" w:hAnsi="Times New Roman" w:eastAsia="宋体"/>
          <w:strike w:val="0"/>
          <w:dstrike w:val="0"/>
          <w:color w:val="auto"/>
          <w:highlight w:val="none"/>
        </w:rPr>
        <w:t>（2）排污许可证制度</w:t>
      </w:r>
      <w:bookmarkEnd w:id="383"/>
    </w:p>
    <w:p w14:paraId="5B704ECD">
      <w:pPr>
        <w:ind w:firstLine="480"/>
        <w:rPr>
          <w:rFonts w:hint="eastAsia" w:ascii="Times New Roman" w:hAnsi="Times New Roman" w:eastAsia="宋体"/>
          <w:strike w:val="0"/>
          <w:dstrike w:val="0"/>
          <w:color w:val="auto"/>
          <w:highlight w:val="none"/>
          <w:lang w:eastAsia="zh-CN"/>
        </w:rPr>
      </w:pPr>
      <w:bookmarkStart w:id="384" w:name="_Toc29891"/>
      <w:r>
        <w:rPr>
          <w:rFonts w:hint="eastAsia" w:ascii="Times New Roman" w:hAnsi="Times New Roman" w:eastAsia="宋体"/>
          <w:strike w:val="0"/>
          <w:dstrike w:val="0"/>
          <w:color w:val="auto"/>
          <w:highlight w:val="none"/>
          <w:lang w:val="en-US" w:eastAsia="zh-CN"/>
        </w:rPr>
        <w:t>根据《固定污染源排污许可分类管理名录（2019年版）》，本项目为“一、畜牧业03中的家禽饲养032-无污水排放口的规模化畜禽养殖场、养殖小区”因此为登记管理。</w:t>
      </w:r>
      <w:r>
        <w:rPr>
          <w:rFonts w:ascii="Times New Roman" w:hAnsi="Times New Roman" w:eastAsia="宋体"/>
          <w:strike w:val="0"/>
          <w:dstrike w:val="0"/>
          <w:color w:val="auto"/>
          <w:highlight w:val="none"/>
        </w:rPr>
        <w:t>建设单位应当在项目投入生产或使用并产生实际排污行为之前申请领取排污许可证</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依法按照排污许可证申请与核发技术规范提交排污许可申请，申报排放污染物种类、排放浓度等，测算并申报污染物排放量</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建设单位应当严格执行排污许可证的规定，禁止无证排污或不按证排污</w:t>
      </w:r>
      <w:bookmarkEnd w:id="384"/>
      <w:r>
        <w:rPr>
          <w:rFonts w:hint="eastAsia" w:ascii="Times New Roman" w:hAnsi="Times New Roman" w:eastAsia="宋体"/>
          <w:strike w:val="0"/>
          <w:dstrike w:val="0"/>
          <w:color w:val="auto"/>
          <w:highlight w:val="none"/>
          <w:lang w:eastAsia="zh-CN"/>
        </w:rPr>
        <w:t>。</w:t>
      </w:r>
    </w:p>
    <w:p w14:paraId="5973A141">
      <w:pPr>
        <w:ind w:firstLine="480"/>
        <w:rPr>
          <w:rFonts w:ascii="Times New Roman" w:hAnsi="Times New Roman" w:eastAsia="宋体"/>
          <w:strike w:val="0"/>
          <w:dstrike w:val="0"/>
          <w:color w:val="auto"/>
          <w:highlight w:val="none"/>
        </w:rPr>
      </w:pPr>
      <w:bookmarkStart w:id="385" w:name="_Toc701"/>
      <w:r>
        <w:rPr>
          <w:rFonts w:hint="eastAsia" w:ascii="Times New Roman" w:hAnsi="Times New Roman" w:eastAsia="宋体"/>
          <w:strike w:val="0"/>
          <w:dstrike w:val="0"/>
          <w:color w:val="auto"/>
          <w:highlight w:val="none"/>
        </w:rPr>
        <w:t>（3）</w:t>
      </w:r>
      <w:r>
        <w:rPr>
          <w:rFonts w:ascii="Times New Roman" w:hAnsi="Times New Roman" w:eastAsia="宋体"/>
          <w:strike w:val="0"/>
          <w:dstrike w:val="0"/>
          <w:color w:val="auto"/>
          <w:highlight w:val="none"/>
        </w:rPr>
        <w:t>环保台账制度</w:t>
      </w:r>
      <w:bookmarkEnd w:id="385"/>
    </w:p>
    <w:p w14:paraId="57C055BD">
      <w:pPr>
        <w:ind w:firstLine="480"/>
        <w:rPr>
          <w:rFonts w:hint="eastAsia" w:ascii="Times New Roman" w:hAnsi="Times New Roman" w:eastAsia="宋体"/>
          <w:strike w:val="0"/>
          <w:dstrike w:val="0"/>
          <w:color w:val="auto"/>
          <w:highlight w:val="none"/>
          <w:lang w:eastAsia="zh-CN"/>
        </w:rPr>
      </w:pPr>
      <w:bookmarkStart w:id="386" w:name="_Toc12954"/>
      <w:r>
        <w:rPr>
          <w:rFonts w:ascii="Times New Roman" w:hAnsi="Times New Roman" w:eastAsia="宋体"/>
          <w:strike w:val="0"/>
          <w:dstrike w:val="0"/>
          <w:color w:val="auto"/>
          <w:highlight w:val="none"/>
        </w:rPr>
        <w:t>厂内需完善记录制度和档案保存制度，有利于环境管理质量的追踪和持续改进；记录和台帐包括设施运行和维护记录、危险废物进出台帐、废水、废气污染物监测台帐、所有化学品使用台帐、突发性事件的处理、调查记录等，妥善保存所有记录、台帐及污染物排放监测资料、环境管理档案资料等</w:t>
      </w:r>
      <w:bookmarkEnd w:id="386"/>
      <w:r>
        <w:rPr>
          <w:rFonts w:hint="eastAsia" w:ascii="Times New Roman" w:hAnsi="Times New Roman" w:eastAsia="宋体"/>
          <w:strike w:val="0"/>
          <w:dstrike w:val="0"/>
          <w:color w:val="auto"/>
          <w:highlight w:val="none"/>
          <w:lang w:eastAsia="zh-CN"/>
        </w:rPr>
        <w:t>。</w:t>
      </w:r>
    </w:p>
    <w:p w14:paraId="075298C5">
      <w:pPr>
        <w:ind w:firstLine="480"/>
        <w:rPr>
          <w:rFonts w:ascii="Times New Roman" w:hAnsi="Times New Roman" w:eastAsia="宋体"/>
          <w:strike w:val="0"/>
          <w:dstrike w:val="0"/>
          <w:color w:val="auto"/>
          <w:highlight w:val="none"/>
        </w:rPr>
      </w:pPr>
      <w:bookmarkStart w:id="387" w:name="_Toc1104"/>
      <w:r>
        <w:rPr>
          <w:rFonts w:hint="eastAsia" w:ascii="Times New Roman" w:hAnsi="Times New Roman" w:eastAsia="宋体"/>
          <w:strike w:val="0"/>
          <w:dstrike w:val="0"/>
          <w:color w:val="auto"/>
          <w:highlight w:val="none"/>
        </w:rPr>
        <w:t>（4）</w:t>
      </w:r>
      <w:r>
        <w:rPr>
          <w:rFonts w:ascii="Times New Roman" w:hAnsi="Times New Roman" w:eastAsia="宋体"/>
          <w:strike w:val="0"/>
          <w:dstrike w:val="0"/>
          <w:color w:val="auto"/>
          <w:highlight w:val="none"/>
        </w:rPr>
        <w:t>污染治理设施管理制度</w:t>
      </w:r>
      <w:bookmarkEnd w:id="387"/>
    </w:p>
    <w:p w14:paraId="4ED25690">
      <w:pPr>
        <w:ind w:firstLine="480"/>
        <w:rPr>
          <w:rFonts w:hint="eastAsia" w:ascii="Times New Roman" w:hAnsi="Times New Roman" w:eastAsia="宋体"/>
          <w:strike w:val="0"/>
          <w:dstrike w:val="0"/>
          <w:color w:val="auto"/>
          <w:highlight w:val="none"/>
          <w:lang w:eastAsia="zh-CN"/>
        </w:rPr>
      </w:pPr>
      <w:bookmarkStart w:id="388" w:name="_Toc24380"/>
      <w:r>
        <w:rPr>
          <w:rFonts w:ascii="Times New Roman" w:hAnsi="Times New Roman" w:eastAsia="宋体"/>
          <w:strike w:val="0"/>
          <w:dstrike w:val="0"/>
          <w:color w:val="auto"/>
          <w:highlight w:val="none"/>
        </w:rPr>
        <w:t>厂内必须确保污染处理设施长期、稳定、有效地运行，不得擅自拆除或者闲置污染处理设施，不得故意不正常使用污染处理设施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污染处理设施的管理必须与生产经营活动一起纳入单位日常管理工作的范畴，落实责任人、操作人员、维修人员、运行经费、设备的备品备件、化学药品和其他原辅材料</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同时要建立岗位责任制、制定操作规程、建立管理台帐</w:t>
      </w:r>
      <w:bookmarkEnd w:id="388"/>
      <w:r>
        <w:rPr>
          <w:rFonts w:hint="eastAsia" w:ascii="Times New Roman" w:hAnsi="Times New Roman" w:eastAsia="宋体"/>
          <w:strike w:val="0"/>
          <w:dstrike w:val="0"/>
          <w:color w:val="auto"/>
          <w:highlight w:val="none"/>
          <w:lang w:eastAsia="zh-CN"/>
        </w:rPr>
        <w:t>。</w:t>
      </w:r>
    </w:p>
    <w:p w14:paraId="1EC424F4">
      <w:pPr>
        <w:ind w:firstLine="480"/>
        <w:rPr>
          <w:rFonts w:ascii="Times New Roman" w:hAnsi="Times New Roman" w:eastAsia="宋体"/>
          <w:strike w:val="0"/>
          <w:dstrike w:val="0"/>
          <w:color w:val="auto"/>
          <w:highlight w:val="none"/>
        </w:rPr>
      </w:pPr>
      <w:bookmarkStart w:id="389" w:name="_Toc17029"/>
      <w:r>
        <w:rPr>
          <w:rFonts w:hint="eastAsia" w:ascii="Times New Roman" w:hAnsi="Times New Roman" w:eastAsia="宋体"/>
          <w:strike w:val="0"/>
          <w:dstrike w:val="0"/>
          <w:color w:val="auto"/>
          <w:highlight w:val="none"/>
        </w:rPr>
        <w:t>（5）</w:t>
      </w:r>
      <w:r>
        <w:rPr>
          <w:rFonts w:ascii="Times New Roman" w:hAnsi="Times New Roman" w:eastAsia="宋体"/>
          <w:strike w:val="0"/>
          <w:dstrike w:val="0"/>
          <w:color w:val="auto"/>
          <w:highlight w:val="none"/>
        </w:rPr>
        <w:t>报告制度</w:t>
      </w:r>
      <w:bookmarkEnd w:id="389"/>
    </w:p>
    <w:p w14:paraId="49C8FF54">
      <w:pPr>
        <w:ind w:firstLine="480"/>
        <w:rPr>
          <w:rFonts w:hint="eastAsia" w:ascii="Times New Roman" w:hAnsi="Times New Roman" w:eastAsia="宋体"/>
          <w:strike w:val="0"/>
          <w:dstrike w:val="0"/>
          <w:color w:val="auto"/>
          <w:highlight w:val="none"/>
          <w:lang w:eastAsia="zh-CN"/>
        </w:rPr>
      </w:pPr>
      <w:bookmarkStart w:id="390" w:name="_Toc20462"/>
      <w:r>
        <w:rPr>
          <w:rFonts w:ascii="Times New Roman" w:hAnsi="Times New Roman" w:eastAsia="宋体"/>
          <w:strike w:val="0"/>
          <w:dstrike w:val="0"/>
          <w:color w:val="auto"/>
          <w:highlight w:val="none"/>
        </w:rPr>
        <w:t>报告内容主要为污染治理设施的运行情况、污染物排放情况及污染事故或污染纠纷等</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厂内环境保护相关的所有记录、台帐及污染物排放监测资料、环境管理档案资料等应妥善保存并定期上报，发现污染因子超标，快速果断采取应对措施</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建设单位应定期向</w:t>
      </w:r>
      <w:r>
        <w:rPr>
          <w:rFonts w:hint="eastAsia" w:ascii="Times New Roman" w:hAnsi="Times New Roman" w:eastAsia="宋体"/>
          <w:strike w:val="0"/>
          <w:dstrike w:val="0"/>
          <w:color w:val="auto"/>
          <w:highlight w:val="none"/>
          <w:lang w:val="en-US" w:eastAsia="zh-CN"/>
        </w:rPr>
        <w:t>昌吉州生态环境局木垒县分局</w:t>
      </w:r>
      <w:r>
        <w:rPr>
          <w:rFonts w:ascii="Times New Roman" w:hAnsi="Times New Roman" w:eastAsia="宋体"/>
          <w:strike w:val="0"/>
          <w:dstrike w:val="0"/>
          <w:color w:val="auto"/>
          <w:highlight w:val="none"/>
        </w:rPr>
        <w:t>报告污染治理设施运行情况、污染物排放情况以及污染事故、污染纠纷等情况，便于政府部门及时了解污染动态，以利于采取相应的对策措施</w:t>
      </w:r>
      <w:bookmarkEnd w:id="390"/>
      <w:r>
        <w:rPr>
          <w:rFonts w:hint="eastAsia" w:ascii="Times New Roman" w:hAnsi="Times New Roman" w:eastAsia="宋体"/>
          <w:strike w:val="0"/>
          <w:dstrike w:val="0"/>
          <w:color w:val="auto"/>
          <w:highlight w:val="none"/>
          <w:lang w:eastAsia="zh-CN"/>
        </w:rPr>
        <w:t>。</w:t>
      </w:r>
    </w:p>
    <w:p w14:paraId="392E780F">
      <w:pPr>
        <w:ind w:firstLine="480"/>
        <w:rPr>
          <w:rFonts w:ascii="Times New Roman" w:hAnsi="Times New Roman" w:eastAsia="宋体"/>
          <w:strike w:val="0"/>
          <w:dstrike w:val="0"/>
          <w:color w:val="auto"/>
          <w:highlight w:val="none"/>
        </w:rPr>
      </w:pPr>
      <w:bookmarkStart w:id="391" w:name="_Toc1940"/>
      <w:r>
        <w:rPr>
          <w:rFonts w:hint="eastAsia" w:ascii="Times New Roman" w:hAnsi="Times New Roman" w:eastAsia="宋体"/>
          <w:strike w:val="0"/>
          <w:dstrike w:val="0"/>
          <w:color w:val="auto"/>
          <w:highlight w:val="none"/>
        </w:rPr>
        <w:t>（6）</w:t>
      </w:r>
      <w:r>
        <w:rPr>
          <w:rFonts w:ascii="Times New Roman" w:hAnsi="Times New Roman" w:eastAsia="宋体"/>
          <w:strike w:val="0"/>
          <w:dstrike w:val="0"/>
          <w:color w:val="auto"/>
          <w:highlight w:val="none"/>
        </w:rPr>
        <w:t>环保奖惩制度</w:t>
      </w:r>
      <w:bookmarkEnd w:id="391"/>
    </w:p>
    <w:p w14:paraId="6AD1F1D6">
      <w:pPr>
        <w:ind w:firstLine="480"/>
        <w:rPr>
          <w:rFonts w:hint="eastAsia" w:ascii="Times New Roman" w:hAnsi="Times New Roman" w:eastAsia="宋体"/>
          <w:strike w:val="0"/>
          <w:dstrike w:val="0"/>
          <w:color w:val="auto"/>
          <w:highlight w:val="none"/>
          <w:lang w:eastAsia="zh-CN"/>
        </w:rPr>
      </w:pPr>
      <w:bookmarkStart w:id="392" w:name="_Toc28659"/>
      <w:r>
        <w:rPr>
          <w:rFonts w:ascii="Times New Roman" w:hAnsi="Times New Roman" w:eastAsia="宋体"/>
          <w:strike w:val="0"/>
          <w:dstrike w:val="0"/>
          <w:color w:val="auto"/>
          <w:highlight w:val="none"/>
        </w:rPr>
        <w:t>企业应加强宣传教育，提高员工的污染隐患意识和环境风险意识；制定员工参与环保技术培训的计划，提高员工技术素质水平；设立岗位实责制，制定严格的奖、罚制度</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建议企业设置环境保护奖励条例，纳入人员考核体系</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对爱护环保设施、节能降耗、改善环境者实行奖励</w:t>
      </w:r>
      <w:bookmarkEnd w:id="392"/>
      <w:r>
        <w:rPr>
          <w:rFonts w:hint="eastAsia" w:ascii="Times New Roman" w:hAnsi="Times New Roman" w:eastAsia="宋体"/>
          <w:strike w:val="0"/>
          <w:dstrike w:val="0"/>
          <w:color w:val="auto"/>
          <w:highlight w:val="none"/>
          <w:lang w:eastAsia="zh-CN"/>
        </w:rPr>
        <w:t>。</w:t>
      </w:r>
    </w:p>
    <w:p w14:paraId="41CCA7BD">
      <w:pPr>
        <w:ind w:firstLine="480"/>
        <w:rPr>
          <w:rFonts w:hint="eastAsia" w:ascii="Times New Roman" w:hAnsi="Times New Roman" w:eastAsia="宋体"/>
          <w:strike w:val="0"/>
          <w:dstrike w:val="0"/>
          <w:color w:val="auto"/>
          <w:highlight w:val="none"/>
          <w:lang w:eastAsia="zh-CN"/>
        </w:rPr>
      </w:pPr>
      <w:bookmarkStart w:id="393" w:name="_Toc15374"/>
      <w:r>
        <w:rPr>
          <w:rFonts w:ascii="Times New Roman" w:hAnsi="Times New Roman" w:eastAsia="宋体"/>
          <w:strike w:val="0"/>
          <w:dstrike w:val="0"/>
          <w:color w:val="auto"/>
          <w:highlight w:val="none"/>
        </w:rPr>
        <w:t>对环保观念淡薄、不按环保管理要求，造成环保设施损坏、环境污染及资源和能源浪费者一律处以重罚</w:t>
      </w:r>
      <w:bookmarkEnd w:id="393"/>
      <w:r>
        <w:rPr>
          <w:rFonts w:hint="eastAsia" w:ascii="Times New Roman" w:hAnsi="Times New Roman" w:eastAsia="宋体"/>
          <w:strike w:val="0"/>
          <w:dstrike w:val="0"/>
          <w:color w:val="auto"/>
          <w:highlight w:val="none"/>
          <w:lang w:eastAsia="zh-CN"/>
        </w:rPr>
        <w:t>。</w:t>
      </w:r>
    </w:p>
    <w:p w14:paraId="1E19E897">
      <w:pPr>
        <w:ind w:firstLine="480"/>
        <w:rPr>
          <w:rFonts w:ascii="Times New Roman" w:hAnsi="Times New Roman" w:eastAsia="宋体"/>
          <w:strike w:val="0"/>
          <w:dstrike w:val="0"/>
          <w:color w:val="auto"/>
          <w:highlight w:val="none"/>
        </w:rPr>
      </w:pPr>
      <w:bookmarkStart w:id="394" w:name="_Toc28298"/>
      <w:r>
        <w:rPr>
          <w:rFonts w:hint="eastAsia" w:ascii="Times New Roman" w:hAnsi="Times New Roman" w:eastAsia="宋体"/>
          <w:strike w:val="0"/>
          <w:dstrike w:val="0"/>
          <w:color w:val="auto"/>
          <w:highlight w:val="none"/>
        </w:rPr>
        <w:t>（7）</w:t>
      </w:r>
      <w:r>
        <w:rPr>
          <w:rFonts w:ascii="Times New Roman" w:hAnsi="Times New Roman" w:eastAsia="宋体"/>
          <w:strike w:val="0"/>
          <w:dstrike w:val="0"/>
          <w:color w:val="auto"/>
          <w:highlight w:val="none"/>
        </w:rPr>
        <w:t>信息公开制度</w:t>
      </w:r>
      <w:bookmarkEnd w:id="394"/>
    </w:p>
    <w:p w14:paraId="3D339DE9">
      <w:pPr>
        <w:ind w:firstLine="480"/>
        <w:rPr>
          <w:rFonts w:hint="eastAsia" w:ascii="Times New Roman" w:hAnsi="Times New Roman" w:eastAsia="宋体"/>
          <w:strike w:val="0"/>
          <w:dstrike w:val="0"/>
          <w:color w:val="auto"/>
          <w:highlight w:val="none"/>
          <w:lang w:eastAsia="zh-CN"/>
        </w:rPr>
      </w:pPr>
      <w:bookmarkStart w:id="395" w:name="_Toc24420"/>
      <w:r>
        <w:rPr>
          <w:rFonts w:ascii="Times New Roman" w:hAnsi="Times New Roman" w:eastAsia="宋体"/>
          <w:strike w:val="0"/>
          <w:dstrike w:val="0"/>
          <w:color w:val="auto"/>
          <w:highlight w:val="none"/>
        </w:rPr>
        <w:t>建设单位在环评编制、审批、排污许可证申请、竣工环保验收、正常运行等各阶段均应按照有关要求，通过网站或者其他便于公众知悉的方式，依法向社会公开本项目污染物排放清单，明确污染物排放的管理要求</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包括工程组成及原辅材料组分要求，建设项目采取的环境保护措施及主要运行参数，排放的污染物种类、排放浓度和总量指标，排污口信息，执行的环境标准，环境风险防范措施以及环境监测等相关内容</w:t>
      </w:r>
      <w:bookmarkEnd w:id="395"/>
      <w:r>
        <w:rPr>
          <w:rFonts w:hint="eastAsia" w:ascii="Times New Roman" w:hAnsi="Times New Roman" w:eastAsia="宋体"/>
          <w:strike w:val="0"/>
          <w:dstrike w:val="0"/>
          <w:color w:val="auto"/>
          <w:highlight w:val="none"/>
          <w:lang w:eastAsia="zh-CN"/>
        </w:rPr>
        <w:t>。</w:t>
      </w:r>
    </w:p>
    <w:bookmarkEnd w:id="349"/>
    <w:bookmarkEnd w:id="350"/>
    <w:bookmarkEnd w:id="351"/>
    <w:bookmarkEnd w:id="352"/>
    <w:bookmarkEnd w:id="353"/>
    <w:bookmarkEnd w:id="354"/>
    <w:bookmarkEnd w:id="355"/>
    <w:bookmarkEnd w:id="356"/>
    <w:bookmarkEnd w:id="357"/>
    <w:bookmarkEnd w:id="358"/>
    <w:bookmarkEnd w:id="359"/>
    <w:bookmarkEnd w:id="360"/>
    <w:bookmarkEnd w:id="361"/>
    <w:p w14:paraId="1255F686">
      <w:pPr>
        <w:pStyle w:val="4"/>
        <w:rPr>
          <w:rFonts w:ascii="Times New Roman" w:hAnsi="Times New Roman" w:eastAsia="宋体"/>
          <w:strike w:val="0"/>
          <w:dstrike w:val="0"/>
          <w:color w:val="auto"/>
          <w:highlight w:val="none"/>
        </w:rPr>
      </w:pPr>
      <w:bookmarkStart w:id="396" w:name="_Toc106663549"/>
      <w:bookmarkStart w:id="397" w:name="_Toc19009"/>
      <w:r>
        <w:rPr>
          <w:rFonts w:hint="eastAsia" w:ascii="Times New Roman" w:hAnsi="Times New Roman" w:eastAsia="宋体"/>
          <w:strike w:val="0"/>
          <w:dstrike w:val="0"/>
          <w:color w:val="auto"/>
          <w:highlight w:val="none"/>
        </w:rPr>
        <w:t>8.1.3制定环境管理计划</w:t>
      </w:r>
      <w:bookmarkEnd w:id="396"/>
      <w:bookmarkEnd w:id="397"/>
    </w:p>
    <w:p w14:paraId="2AF85EC1">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8.1.3.1施工期环境管理要求</w:t>
      </w:r>
    </w:p>
    <w:p w14:paraId="47121DC2">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针对项目施工期的环境的影响，采取以下措施：</w:t>
      </w:r>
    </w:p>
    <w:p w14:paraId="520EAFD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（1）本项目属于新建项目，建设单位要求施工方采取水、气、声、生态保护及水土保持措施等，将环保工作的执行情况作为工程验收的标准之一等</w:t>
      </w:r>
      <w:r>
        <w:rPr>
          <w:rFonts w:hint="eastAsia" w:ascii="Times New Roman" w:hAnsi="Times New Roman" w:eastAsia="宋体"/>
          <w:strike w:val="0"/>
          <w:dstrike w:val="0"/>
          <w:color w:val="auto"/>
          <w:highlight w:val="none"/>
          <w:lang w:eastAsia="zh-CN"/>
        </w:rPr>
        <w:t>。</w:t>
      </w:r>
    </w:p>
    <w:p w14:paraId="5BD1DE3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（2）施工承包方应明确管理人员、职责等，并按照其承包施工段的环保要求，编制详细的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工程施工环境管理方案</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，连同施工计划一起呈报业主环保管理部门以及相关的地方环保部门，前期工程进行回顾性分析</w:t>
      </w:r>
      <w:r>
        <w:rPr>
          <w:rFonts w:hint="eastAsia" w:ascii="Times New Roman" w:hAnsi="Times New Roman" w:eastAsia="宋体"/>
          <w:strike w:val="0"/>
          <w:dstrike w:val="0"/>
          <w:color w:val="auto"/>
          <w:highlight w:val="none"/>
          <w:lang w:eastAsia="zh-CN"/>
        </w:rPr>
        <w:t>。</w:t>
      </w:r>
    </w:p>
    <w:p w14:paraId="56FED3AC">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（3）在施工作业之前，对全体施工人员进行培训，包括环保知识、意识和能力的培训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在施工作业过程中，施工承包方应严格执行批准的工程施工环境管理方案，并认真落实各项环境保护措施</w:t>
      </w:r>
      <w:r>
        <w:rPr>
          <w:rFonts w:hint="eastAsia" w:ascii="Times New Roman" w:hAnsi="Times New Roman" w:eastAsia="宋体"/>
          <w:strike w:val="0"/>
          <w:dstrike w:val="0"/>
          <w:color w:val="auto"/>
          <w:highlight w:val="none"/>
          <w:lang w:eastAsia="zh-CN"/>
        </w:rPr>
        <w:t>。</w:t>
      </w:r>
    </w:p>
    <w:p w14:paraId="5F7B843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（4）建议对该工程实施工程环境监督机制，并纳入到整体工程监理当中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环境监督工作方式以定期巡查为主，对存在重大环境问题隐患的施工区随时进行跟踪检查，做好记录，及时处理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监督环评报告书提出的环保措施得到落实，通过工程监理发出指令来控制施工中的环境问题</w:t>
      </w:r>
      <w:r>
        <w:rPr>
          <w:rFonts w:hint="eastAsia" w:ascii="Times New Roman" w:hAnsi="Times New Roman" w:eastAsia="宋体"/>
          <w:strike w:val="0"/>
          <w:dstrike w:val="0"/>
          <w:color w:val="auto"/>
          <w:highlight w:val="none"/>
          <w:lang w:eastAsia="zh-CN"/>
        </w:rPr>
        <w:t>。</w:t>
      </w:r>
    </w:p>
    <w:p w14:paraId="0FC1E7FE">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8.1.3.2运营期环境管理要求</w:t>
      </w:r>
    </w:p>
    <w:p w14:paraId="41D8668F">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运营期环境管理主要包括以下几方面：</w:t>
      </w:r>
    </w:p>
    <w:p w14:paraId="66F50E0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（1）检查本项目生产运营过程中臭气防护的效果是否符合有关标准</w:t>
      </w:r>
      <w:r>
        <w:rPr>
          <w:rFonts w:hint="eastAsia" w:ascii="Times New Roman" w:hAnsi="Times New Roman" w:eastAsia="宋体"/>
          <w:strike w:val="0"/>
          <w:dstrike w:val="0"/>
          <w:color w:val="auto"/>
          <w:highlight w:val="none"/>
          <w:lang w:eastAsia="zh-CN"/>
        </w:rPr>
        <w:t>。</w:t>
      </w:r>
    </w:p>
    <w:p w14:paraId="03469D8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（2）检查企业是否对生产过程中产生生活污水进行了无害化处理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黑膜池</w:t>
      </w:r>
      <w:r>
        <w:rPr>
          <w:rFonts w:hint="eastAsia" w:ascii="Times New Roman" w:hAnsi="Times New Roman" w:eastAsia="宋体"/>
          <w:strike w:val="0"/>
          <w:dstrike w:val="0"/>
          <w:color w:val="auto"/>
          <w:highlight w:val="none"/>
        </w:rPr>
        <w:t>应建立规范的运行管理和操作责任制度，搞好设备维护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对排放废水水质进行监控，严禁不达标废水排放</w:t>
      </w:r>
      <w:r>
        <w:rPr>
          <w:rFonts w:hint="eastAsia" w:ascii="Times New Roman" w:hAnsi="Times New Roman" w:eastAsia="宋体"/>
          <w:strike w:val="0"/>
          <w:dstrike w:val="0"/>
          <w:color w:val="auto"/>
          <w:highlight w:val="none"/>
          <w:lang w:eastAsia="zh-CN"/>
        </w:rPr>
        <w:t>。</w:t>
      </w:r>
    </w:p>
    <w:p w14:paraId="335A125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（3）厂区产生噪声的设备如风机、水泵是否为国家禁止生产、销售、使用的淘汰产品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一些设备在运行了一段时期后，会产生额外的噪声与振动，也会使噪声值升高，应监督企业加强设备的维护，及时更换磨损部件，降低噪声，以确保厂界噪声满足标准要求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定期对厂界进行噪声监测，发现噪声超标应及时采取有效措施</w:t>
      </w:r>
      <w:r>
        <w:rPr>
          <w:rFonts w:hint="eastAsia" w:ascii="Times New Roman" w:hAnsi="Times New Roman" w:eastAsia="宋体"/>
          <w:strike w:val="0"/>
          <w:dstrike w:val="0"/>
          <w:color w:val="auto"/>
          <w:highlight w:val="none"/>
          <w:lang w:eastAsia="zh-CN"/>
        </w:rPr>
        <w:t>。</w:t>
      </w:r>
    </w:p>
    <w:p w14:paraId="3502C5C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（4）检查企业是否对生产过程中产生的畜禽粪、污泥进行合理的用于生产有机肥，病死畜禽尸体是否采用无害化处理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监督企业不准将未处理的固体废物随意排放</w:t>
      </w:r>
      <w:r>
        <w:rPr>
          <w:rFonts w:hint="eastAsia" w:ascii="Times New Roman" w:hAnsi="Times New Roman" w:eastAsia="宋体"/>
          <w:strike w:val="0"/>
          <w:dstrike w:val="0"/>
          <w:color w:val="auto"/>
          <w:highlight w:val="none"/>
          <w:lang w:eastAsia="zh-CN"/>
        </w:rPr>
        <w:t>。</w:t>
      </w:r>
    </w:p>
    <w:p w14:paraId="2AD19A33">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（5）厂界周围进行绿化，选择净化效率高的物种，建立绿化带；</w:t>
      </w:r>
    </w:p>
    <w:p w14:paraId="2E61024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本项目环境管理措施及要求见表8.1-1</w:t>
      </w:r>
      <w:r>
        <w:rPr>
          <w:rFonts w:hint="eastAsia" w:ascii="Times New Roman" w:hAnsi="Times New Roman" w:eastAsia="宋体"/>
          <w:strike w:val="0"/>
          <w:dstrike w:val="0"/>
          <w:color w:val="auto"/>
          <w:highlight w:val="none"/>
          <w:lang w:eastAsia="zh-CN"/>
        </w:rPr>
        <w:t>。</w:t>
      </w:r>
    </w:p>
    <w:p w14:paraId="4F8BA3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表8.1-1环境管理措施及要求一览表</w:t>
      </w:r>
    </w:p>
    <w:tbl>
      <w:tblPr>
        <w:tblStyle w:val="8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5250"/>
        <w:gridCol w:w="1077"/>
        <w:gridCol w:w="1091"/>
      </w:tblGrid>
      <w:tr w14:paraId="6A12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48" w:type="pct"/>
            <w:vAlign w:val="center"/>
          </w:tcPr>
          <w:p w14:paraId="7C3DD64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建设阶段</w:t>
            </w:r>
          </w:p>
        </w:tc>
        <w:tc>
          <w:tcPr>
            <w:tcW w:w="3080" w:type="pct"/>
            <w:vAlign w:val="center"/>
          </w:tcPr>
          <w:p w14:paraId="7208E4FB">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环境监控管理措施</w:t>
            </w:r>
          </w:p>
        </w:tc>
        <w:tc>
          <w:tcPr>
            <w:tcW w:w="632" w:type="pct"/>
            <w:vAlign w:val="center"/>
          </w:tcPr>
          <w:p w14:paraId="7306070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实施方</w:t>
            </w:r>
          </w:p>
        </w:tc>
        <w:tc>
          <w:tcPr>
            <w:tcW w:w="640" w:type="pct"/>
            <w:vAlign w:val="center"/>
          </w:tcPr>
          <w:p w14:paraId="28F7D9D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监督管理</w:t>
            </w:r>
          </w:p>
        </w:tc>
      </w:tr>
      <w:tr w14:paraId="468C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Align w:val="center"/>
          </w:tcPr>
          <w:p w14:paraId="57727FA0">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施工期</w:t>
            </w:r>
          </w:p>
        </w:tc>
        <w:tc>
          <w:tcPr>
            <w:tcW w:w="3080" w:type="pct"/>
            <w:vAlign w:val="center"/>
          </w:tcPr>
          <w:p w14:paraId="47CA4EE8">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（1）注意控制施工现场对地面的扰动，减少扬尘；</w:t>
            </w:r>
          </w:p>
          <w:p w14:paraId="00CC001A">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（2）施工完毕及时清理现场垃圾；</w:t>
            </w:r>
          </w:p>
          <w:p w14:paraId="2ACBFA61">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（3）加强施工管理，禁止现场随意乱排生活污水；</w:t>
            </w:r>
          </w:p>
          <w:p w14:paraId="25E09B23">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t>（4）环保投资、环保措施</w:t>
            </w:r>
            <w:r>
              <w:rPr>
                <w:rFonts w:hint="eastAsia" w:ascii="Times New Roman" w:hAnsi="Times New Roman" w:eastAsia="宋体"/>
                <w:strike w:val="0"/>
                <w:dstrike w:val="0"/>
                <w:color w:val="auto"/>
                <w:kern w:val="2"/>
                <w:sz w:val="21"/>
                <w:szCs w:val="21"/>
                <w:highlight w:val="none"/>
                <w:lang w:eastAsia="zh-CN"/>
              </w:rPr>
              <w:t>”</w:t>
            </w:r>
            <w:r>
              <w:rPr>
                <w:rFonts w:ascii="Times New Roman" w:hAnsi="Times New Roman" w:eastAsia="宋体"/>
                <w:strike w:val="0"/>
                <w:dstrike w:val="0"/>
                <w:color w:val="auto"/>
                <w:kern w:val="2"/>
                <w:sz w:val="21"/>
                <w:szCs w:val="21"/>
                <w:highlight w:val="none"/>
              </w:rPr>
              <w:t>三同时</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39C71C0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施工单位、建设单位</w:t>
            </w:r>
          </w:p>
        </w:tc>
        <w:tc>
          <w:tcPr>
            <w:tcW w:w="640" w:type="pct"/>
            <w:vMerge w:val="restart"/>
            <w:vAlign w:val="center"/>
          </w:tcPr>
          <w:p w14:paraId="3872469B">
            <w:pPr>
              <w:snapToGrid w:val="0"/>
              <w:spacing w:line="240" w:lineRule="auto"/>
              <w:ind w:firstLine="0" w:firstLineChars="0"/>
              <w:jc w:val="center"/>
              <w:rPr>
                <w:rFonts w:hint="default" w:ascii="Times New Roman" w:hAnsi="Times New Roman" w:eastAsia="宋体"/>
                <w:strike w:val="0"/>
                <w:dstrike w:val="0"/>
                <w:color w:val="auto"/>
                <w:kern w:val="2"/>
                <w:sz w:val="21"/>
                <w:szCs w:val="21"/>
                <w:highlight w:val="none"/>
                <w:lang w:val="en-US" w:eastAsia="zh-CN"/>
              </w:rPr>
            </w:pPr>
            <w:r>
              <w:rPr>
                <w:rFonts w:hint="eastAsia" w:ascii="Times New Roman" w:hAnsi="Times New Roman" w:eastAsia="宋体"/>
                <w:strike w:val="0"/>
                <w:dstrike w:val="0"/>
                <w:color w:val="auto"/>
                <w:kern w:val="2"/>
                <w:sz w:val="21"/>
                <w:szCs w:val="21"/>
                <w:highlight w:val="none"/>
              </w:rPr>
              <w:t>昌吉州生态环境局、</w:t>
            </w:r>
            <w:r>
              <w:rPr>
                <w:rFonts w:hint="eastAsia" w:ascii="Times New Roman" w:hAnsi="Times New Roman" w:eastAsia="宋体"/>
                <w:strike w:val="0"/>
                <w:dstrike w:val="0"/>
                <w:color w:val="auto"/>
                <w:kern w:val="2"/>
                <w:sz w:val="21"/>
                <w:szCs w:val="21"/>
                <w:highlight w:val="none"/>
                <w:lang w:val="en-US" w:eastAsia="zh-CN"/>
              </w:rPr>
              <w:t>昌吉州生态环境局木垒县分局</w:t>
            </w:r>
          </w:p>
        </w:tc>
      </w:tr>
      <w:tr w14:paraId="6BC6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648" w:type="pct"/>
            <w:vMerge w:val="restart"/>
            <w:vAlign w:val="center"/>
          </w:tcPr>
          <w:p w14:paraId="7861BB05">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运营期</w:t>
            </w:r>
          </w:p>
        </w:tc>
        <w:tc>
          <w:tcPr>
            <w:tcW w:w="3080" w:type="pct"/>
            <w:vAlign w:val="center"/>
          </w:tcPr>
          <w:p w14:paraId="7384B6A4">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（1）废气治理</w:t>
            </w:r>
          </w:p>
          <w:p w14:paraId="51D09EE1">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1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①</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圈舍的恶臭气体以无组织形式排放；</w:t>
            </w:r>
          </w:p>
          <w:p w14:paraId="2AD30460">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2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②</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定期对臭气排放进行监测，环保设施严格控制、定期检查、减少臭气排放；</w:t>
            </w:r>
          </w:p>
          <w:p w14:paraId="11D51861">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3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③</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加强环保设施维护工作，保持其正常运行</w:t>
            </w:r>
          </w:p>
        </w:tc>
        <w:tc>
          <w:tcPr>
            <w:tcW w:w="632" w:type="pct"/>
            <w:vAlign w:val="center"/>
          </w:tcPr>
          <w:p w14:paraId="395C76A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0027E82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5BBE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6A62CC4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65CB8A45">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strike w:val="0"/>
                <w:dstrike w:val="0"/>
                <w:color w:val="auto"/>
                <w:kern w:val="2"/>
                <w:sz w:val="21"/>
                <w:szCs w:val="21"/>
                <w:highlight w:val="none"/>
              </w:rPr>
              <w:t>（2）</w:t>
            </w:r>
            <w:r>
              <w:rPr>
                <w:rFonts w:ascii="Times New Roman" w:hAnsi="Times New Roman" w:eastAsia="宋体"/>
                <w:strike w:val="0"/>
                <w:dstrike w:val="0"/>
                <w:color w:val="auto"/>
                <w:kern w:val="2"/>
                <w:sz w:val="21"/>
                <w:szCs w:val="21"/>
                <w:highlight w:val="none"/>
              </w:rPr>
              <w:t>加强管理，保证粪污处理设施正常运行</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6963B432">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067CDFD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0A6C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3812442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18922EEB">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（3）噪声</w:t>
            </w:r>
          </w:p>
          <w:p w14:paraId="48EA02F4">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hint="eastAsia" w:ascii="Times New Roman" w:hAnsi="Times New Roman" w:eastAsia="宋体" w:cs="宋体"/>
                <w:strike w:val="0"/>
                <w:dstrike w:val="0"/>
                <w:color w:val="auto"/>
                <w:kern w:val="2"/>
                <w:sz w:val="21"/>
                <w:szCs w:val="21"/>
                <w:highlight w:val="none"/>
              </w:rPr>
              <w:t>①</w:t>
            </w:r>
            <w:r>
              <w:rPr>
                <w:rFonts w:ascii="Times New Roman" w:hAnsi="Times New Roman" w:eastAsia="宋体"/>
                <w:strike w:val="0"/>
                <w:dstrike w:val="0"/>
                <w:color w:val="auto"/>
                <w:kern w:val="2"/>
                <w:sz w:val="21"/>
                <w:szCs w:val="21"/>
                <w:highlight w:val="none"/>
              </w:rPr>
              <w:t>选用低噪声设备及必要的隔声、减震措施；</w:t>
            </w:r>
          </w:p>
          <w:p w14:paraId="3C6E18F9">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hint="eastAsia" w:ascii="Times New Roman" w:hAnsi="Times New Roman" w:eastAsia="宋体" w:cs="宋体"/>
                <w:strike w:val="0"/>
                <w:dstrike w:val="0"/>
                <w:color w:val="auto"/>
                <w:kern w:val="2"/>
                <w:sz w:val="21"/>
                <w:szCs w:val="21"/>
                <w:highlight w:val="none"/>
              </w:rPr>
              <w:t>②</w:t>
            </w:r>
            <w:r>
              <w:rPr>
                <w:rFonts w:ascii="Times New Roman" w:hAnsi="Times New Roman" w:eastAsia="宋体"/>
                <w:strike w:val="0"/>
                <w:dstrike w:val="0"/>
                <w:color w:val="auto"/>
                <w:kern w:val="2"/>
                <w:sz w:val="21"/>
                <w:szCs w:val="21"/>
                <w:highlight w:val="none"/>
              </w:rPr>
              <w:t>保持设备良好的运营工况，及时维修检修</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46C8D063">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2DFCDA3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17B7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01099E3F">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3049842F">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（4）固体废物</w:t>
            </w:r>
          </w:p>
          <w:p w14:paraId="60E65BDA">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1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①</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粪便</w:t>
            </w:r>
            <w:r>
              <w:rPr>
                <w:rFonts w:hint="eastAsia" w:ascii="Times New Roman" w:hAnsi="Times New Roman" w:eastAsia="宋体"/>
                <w:strike w:val="0"/>
                <w:dstrike w:val="0"/>
                <w:color w:val="auto"/>
                <w:kern w:val="2"/>
                <w:sz w:val="21"/>
                <w:szCs w:val="21"/>
                <w:highlight w:val="none"/>
                <w:lang w:val="en-US" w:eastAsia="zh-CN"/>
              </w:rPr>
              <w:t>清运至堆肥场，处理后作为有机肥外售</w:t>
            </w:r>
            <w:r>
              <w:rPr>
                <w:rFonts w:ascii="Times New Roman" w:hAnsi="Times New Roman" w:eastAsia="宋体"/>
                <w:strike w:val="0"/>
                <w:dstrike w:val="0"/>
                <w:color w:val="auto"/>
                <w:kern w:val="2"/>
                <w:sz w:val="21"/>
                <w:szCs w:val="21"/>
                <w:highlight w:val="none"/>
              </w:rPr>
              <w:t>；</w:t>
            </w:r>
          </w:p>
          <w:p w14:paraId="2DCC27A9">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2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②</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医疗废物等暂存在</w:t>
            </w:r>
            <w:r>
              <w:rPr>
                <w:rFonts w:hint="eastAsia" w:ascii="Times New Roman" w:hAnsi="Times New Roman" w:eastAsia="宋体"/>
                <w:strike w:val="0"/>
                <w:dstrike w:val="0"/>
                <w:color w:val="auto"/>
                <w:kern w:val="2"/>
                <w:sz w:val="21"/>
                <w:szCs w:val="21"/>
                <w:highlight w:val="none"/>
                <w:lang w:eastAsia="zh-CN"/>
              </w:rPr>
              <w:t>医疗废物暂存间</w:t>
            </w:r>
            <w:r>
              <w:rPr>
                <w:rFonts w:ascii="Times New Roman" w:hAnsi="Times New Roman" w:eastAsia="宋体"/>
                <w:strike w:val="0"/>
                <w:dstrike w:val="0"/>
                <w:color w:val="auto"/>
                <w:kern w:val="2"/>
                <w:sz w:val="21"/>
                <w:szCs w:val="21"/>
                <w:highlight w:val="none"/>
              </w:rPr>
              <w:t>的专用容器内，定期委托当地有资质的单位处理；</w:t>
            </w:r>
          </w:p>
          <w:p w14:paraId="432C0304">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3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③</w:t>
            </w:r>
            <w:r>
              <w:rPr>
                <w:rFonts w:ascii="Times New Roman" w:hAnsi="Times New Roman" w:eastAsia="宋体"/>
                <w:strike w:val="0"/>
                <w:dstrike w:val="0"/>
                <w:color w:val="auto"/>
                <w:kern w:val="2"/>
                <w:sz w:val="21"/>
                <w:szCs w:val="21"/>
                <w:highlight w:val="none"/>
              </w:rPr>
              <w:fldChar w:fldCharType="end"/>
            </w:r>
            <w:r>
              <w:rPr>
                <w:rFonts w:hint="eastAsia" w:ascii="Times New Roman" w:hAnsi="Times New Roman" w:eastAsia="宋体"/>
                <w:strike w:val="0"/>
                <w:dstrike w:val="0"/>
                <w:color w:val="auto"/>
                <w:kern w:val="2"/>
                <w:sz w:val="21"/>
                <w:szCs w:val="21"/>
                <w:highlight w:val="none"/>
                <w:lang w:eastAsia="zh-CN"/>
              </w:rPr>
              <w:t>病死骆驼</w:t>
            </w:r>
            <w:r>
              <w:rPr>
                <w:rFonts w:hint="eastAsia" w:ascii="Times New Roman" w:hAnsi="Times New Roman" w:eastAsia="宋体"/>
                <w:strike w:val="0"/>
                <w:dstrike w:val="0"/>
                <w:color w:val="auto"/>
                <w:kern w:val="2"/>
                <w:sz w:val="21"/>
                <w:szCs w:val="21"/>
                <w:highlight w:val="none"/>
              </w:rPr>
              <w:t>尸体</w:t>
            </w:r>
            <w:r>
              <w:rPr>
                <w:rFonts w:hint="eastAsia" w:ascii="Times New Roman" w:hAnsi="Times New Roman" w:eastAsia="宋体"/>
                <w:strike w:val="0"/>
                <w:dstrike w:val="0"/>
                <w:color w:val="auto"/>
                <w:kern w:val="2"/>
                <w:sz w:val="21"/>
                <w:szCs w:val="21"/>
                <w:highlight w:val="none"/>
                <w:lang w:val="en-US" w:eastAsia="zh-CN"/>
              </w:rPr>
              <w:t>设置无害化处理池处理</w:t>
            </w:r>
            <w:r>
              <w:rPr>
                <w:rFonts w:ascii="Times New Roman" w:hAnsi="Times New Roman" w:eastAsia="宋体"/>
                <w:strike w:val="0"/>
                <w:dstrike w:val="0"/>
                <w:color w:val="auto"/>
                <w:kern w:val="2"/>
                <w:sz w:val="21"/>
                <w:szCs w:val="21"/>
                <w:highlight w:val="none"/>
              </w:rPr>
              <w:t>；</w:t>
            </w:r>
          </w:p>
          <w:p w14:paraId="3C0D544A">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fldChar w:fldCharType="begin"/>
            </w:r>
            <w:r>
              <w:rPr>
                <w:rFonts w:ascii="Times New Roman" w:hAnsi="Times New Roman" w:eastAsia="宋体"/>
                <w:strike w:val="0"/>
                <w:dstrike w:val="0"/>
                <w:color w:val="auto"/>
                <w:kern w:val="2"/>
                <w:sz w:val="21"/>
                <w:szCs w:val="21"/>
                <w:highlight w:val="none"/>
              </w:rPr>
              <w:instrText xml:space="preserve"> </w:instrText>
            </w:r>
            <w:r>
              <w:rPr>
                <w:rFonts w:hint="eastAsia" w:ascii="Times New Roman" w:hAnsi="Times New Roman" w:eastAsia="宋体"/>
                <w:strike w:val="0"/>
                <w:dstrike w:val="0"/>
                <w:color w:val="auto"/>
                <w:kern w:val="2"/>
                <w:sz w:val="21"/>
                <w:szCs w:val="21"/>
                <w:highlight w:val="none"/>
              </w:rPr>
              <w:instrText xml:space="preserve">= 4 \* GB3</w:instrText>
            </w:r>
            <w:r>
              <w:rPr>
                <w:rFonts w:ascii="Times New Roman" w:hAnsi="Times New Roman" w:eastAsia="宋体"/>
                <w:strike w:val="0"/>
                <w:dstrike w:val="0"/>
                <w:color w:val="auto"/>
                <w:kern w:val="2"/>
                <w:sz w:val="21"/>
                <w:szCs w:val="21"/>
                <w:highlight w:val="none"/>
              </w:rPr>
              <w:instrText xml:space="preserve"> </w:instrText>
            </w:r>
            <w:r>
              <w:rPr>
                <w:rFonts w:ascii="Times New Roman" w:hAnsi="Times New Roman" w:eastAsia="宋体"/>
                <w:strike w:val="0"/>
                <w:dstrike w:val="0"/>
                <w:color w:val="auto"/>
                <w:kern w:val="2"/>
                <w:sz w:val="21"/>
                <w:szCs w:val="21"/>
                <w:highlight w:val="none"/>
              </w:rPr>
              <w:fldChar w:fldCharType="separate"/>
            </w:r>
            <w:r>
              <w:rPr>
                <w:rFonts w:hint="eastAsia" w:ascii="Times New Roman" w:hAnsi="Times New Roman" w:eastAsia="宋体"/>
                <w:strike w:val="0"/>
                <w:dstrike w:val="0"/>
                <w:color w:val="auto"/>
                <w:kern w:val="2"/>
                <w:sz w:val="21"/>
                <w:szCs w:val="21"/>
                <w:highlight w:val="none"/>
              </w:rPr>
              <w:t>④</w:t>
            </w:r>
            <w:r>
              <w:rPr>
                <w:rFonts w:ascii="Times New Roman" w:hAnsi="Times New Roman" w:eastAsia="宋体"/>
                <w:strike w:val="0"/>
                <w:dstrike w:val="0"/>
                <w:color w:val="auto"/>
                <w:kern w:val="2"/>
                <w:sz w:val="21"/>
                <w:szCs w:val="21"/>
                <w:highlight w:val="none"/>
              </w:rPr>
              <w:fldChar w:fldCharType="end"/>
            </w:r>
            <w:r>
              <w:rPr>
                <w:rFonts w:ascii="Times New Roman" w:hAnsi="Times New Roman" w:eastAsia="宋体"/>
                <w:strike w:val="0"/>
                <w:dstrike w:val="0"/>
                <w:color w:val="auto"/>
                <w:kern w:val="2"/>
                <w:sz w:val="21"/>
                <w:szCs w:val="21"/>
                <w:highlight w:val="none"/>
              </w:rPr>
              <w:t>生活垃圾委托环卫部门定期统一清运</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1E4879E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57AB2058">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7CC6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0C17B73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749E3FBB">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（5）生态保护</w:t>
            </w:r>
          </w:p>
          <w:p w14:paraId="357C281A">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t>加强厂区及外围绿化，厂区绿化系数达到</w:t>
            </w:r>
            <w:r>
              <w:rPr>
                <w:rFonts w:hint="eastAsia" w:ascii="Times New Roman" w:hAnsi="Times New Roman" w:eastAsia="宋体"/>
                <w:strike w:val="0"/>
                <w:dstrike w:val="0"/>
                <w:color w:val="auto"/>
                <w:kern w:val="2"/>
                <w:sz w:val="21"/>
                <w:szCs w:val="21"/>
                <w:highlight w:val="none"/>
              </w:rPr>
              <w:t>1</w:t>
            </w:r>
            <w:r>
              <w:rPr>
                <w:rFonts w:ascii="Times New Roman" w:hAnsi="Times New Roman" w:eastAsia="宋体"/>
                <w:strike w:val="0"/>
                <w:dstrike w:val="0"/>
                <w:color w:val="auto"/>
                <w:kern w:val="2"/>
                <w:sz w:val="21"/>
                <w:szCs w:val="21"/>
                <w:highlight w:val="none"/>
              </w:rPr>
              <w:t>%的要求</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71C25729">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2AADA31A">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r w14:paraId="626A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pct"/>
            <w:vMerge w:val="continue"/>
            <w:vAlign w:val="center"/>
          </w:tcPr>
          <w:p w14:paraId="30C9E141">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c>
          <w:tcPr>
            <w:tcW w:w="3080" w:type="pct"/>
            <w:vAlign w:val="center"/>
          </w:tcPr>
          <w:p w14:paraId="4CF8534E">
            <w:pPr>
              <w:snapToGrid w:val="0"/>
              <w:spacing w:line="240" w:lineRule="auto"/>
              <w:ind w:firstLine="0" w:firstLineChars="0"/>
              <w:rPr>
                <w:rFonts w:ascii="Times New Roman" w:hAnsi="Times New Roman" w:eastAsia="宋体"/>
                <w:strike w:val="0"/>
                <w:dstrike w:val="0"/>
                <w:color w:val="auto"/>
                <w:kern w:val="2"/>
                <w:sz w:val="21"/>
                <w:szCs w:val="21"/>
                <w:highlight w:val="none"/>
              </w:rPr>
            </w:pPr>
            <w:r>
              <w:rPr>
                <w:rFonts w:ascii="Times New Roman" w:hAnsi="Times New Roman" w:eastAsia="宋体"/>
                <w:strike w:val="0"/>
                <w:dstrike w:val="0"/>
                <w:color w:val="auto"/>
                <w:kern w:val="2"/>
                <w:sz w:val="21"/>
                <w:szCs w:val="21"/>
                <w:highlight w:val="none"/>
              </w:rPr>
              <w:t>（6）环境管理</w:t>
            </w:r>
          </w:p>
          <w:p w14:paraId="7F283084">
            <w:pPr>
              <w:snapToGrid w:val="0"/>
              <w:spacing w:line="240" w:lineRule="auto"/>
              <w:ind w:firstLine="0" w:firstLineChars="0"/>
              <w:rPr>
                <w:rFonts w:hint="eastAsia" w:ascii="Times New Roman" w:hAnsi="Times New Roman" w:eastAsia="宋体"/>
                <w:strike w:val="0"/>
                <w:dstrike w:val="0"/>
                <w:color w:val="auto"/>
                <w:kern w:val="2"/>
                <w:sz w:val="21"/>
                <w:szCs w:val="21"/>
                <w:highlight w:val="none"/>
                <w:lang w:eastAsia="zh-CN"/>
              </w:rPr>
            </w:pPr>
            <w:r>
              <w:rPr>
                <w:rFonts w:ascii="Times New Roman" w:hAnsi="Times New Roman" w:eastAsia="宋体"/>
                <w:strike w:val="0"/>
                <w:dstrike w:val="0"/>
                <w:color w:val="auto"/>
                <w:kern w:val="2"/>
                <w:sz w:val="21"/>
                <w:szCs w:val="21"/>
                <w:highlight w:val="none"/>
              </w:rPr>
              <w:t>建立经常性环境监测制度，完善厂、工段、班组环保机构及环境目标管理</w:t>
            </w:r>
            <w:r>
              <w:rPr>
                <w:rFonts w:hint="eastAsia" w:ascii="Times New Roman" w:hAnsi="Times New Roman" w:eastAsia="宋体"/>
                <w:strike w:val="0"/>
                <w:dstrike w:val="0"/>
                <w:color w:val="auto"/>
                <w:kern w:val="2"/>
                <w:sz w:val="21"/>
                <w:szCs w:val="21"/>
                <w:highlight w:val="none"/>
                <w:lang w:eastAsia="zh-CN"/>
              </w:rPr>
              <w:t>。</w:t>
            </w:r>
          </w:p>
        </w:tc>
        <w:tc>
          <w:tcPr>
            <w:tcW w:w="632" w:type="pct"/>
            <w:vAlign w:val="center"/>
          </w:tcPr>
          <w:p w14:paraId="6F71811D">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r>
              <w:rPr>
                <w:rFonts w:hint="eastAsia" w:ascii="Times New Roman" w:hAnsi="Times New Roman" w:eastAsia="宋体"/>
                <w:strike w:val="0"/>
                <w:dstrike w:val="0"/>
                <w:color w:val="auto"/>
                <w:kern w:val="2"/>
                <w:sz w:val="21"/>
                <w:szCs w:val="21"/>
                <w:highlight w:val="none"/>
              </w:rPr>
              <w:t>建设单位</w:t>
            </w:r>
          </w:p>
        </w:tc>
        <w:tc>
          <w:tcPr>
            <w:tcW w:w="640" w:type="pct"/>
            <w:vMerge w:val="continue"/>
            <w:vAlign w:val="center"/>
          </w:tcPr>
          <w:p w14:paraId="069EA396">
            <w:pPr>
              <w:snapToGrid w:val="0"/>
              <w:spacing w:line="240" w:lineRule="auto"/>
              <w:ind w:firstLine="0" w:firstLineChars="0"/>
              <w:jc w:val="center"/>
              <w:rPr>
                <w:rFonts w:ascii="Times New Roman" w:hAnsi="Times New Roman" w:eastAsia="宋体"/>
                <w:strike w:val="0"/>
                <w:dstrike w:val="0"/>
                <w:color w:val="auto"/>
                <w:kern w:val="2"/>
                <w:sz w:val="21"/>
                <w:szCs w:val="21"/>
                <w:highlight w:val="none"/>
              </w:rPr>
            </w:pPr>
          </w:p>
        </w:tc>
      </w:tr>
    </w:tbl>
    <w:p w14:paraId="5DDE1FEA">
      <w:pPr>
        <w:pStyle w:val="4"/>
        <w:rPr>
          <w:rFonts w:ascii="Times New Roman" w:hAnsi="Times New Roman" w:eastAsia="宋体"/>
          <w:strike w:val="0"/>
          <w:dstrike w:val="0"/>
          <w:color w:val="auto"/>
          <w:highlight w:val="none"/>
        </w:rPr>
      </w:pPr>
      <w:bookmarkStart w:id="398" w:name="_Toc956"/>
      <w:bookmarkStart w:id="399" w:name="_Toc106663550"/>
      <w:r>
        <w:rPr>
          <w:rFonts w:ascii="Times New Roman" w:hAnsi="Times New Roman" w:eastAsia="宋体"/>
          <w:strike w:val="0"/>
          <w:dstrike w:val="0"/>
          <w:color w:val="auto"/>
          <w:highlight w:val="none"/>
        </w:rPr>
        <w:t>8.1.4排污</w:t>
      </w:r>
      <w:r>
        <w:rPr>
          <w:rFonts w:hint="eastAsia" w:ascii="Times New Roman" w:hAnsi="Times New Roman" w:eastAsia="宋体"/>
          <w:strike w:val="0"/>
          <w:dstrike w:val="0"/>
          <w:color w:val="auto"/>
          <w:highlight w:val="none"/>
        </w:rPr>
        <w:t>口规范化设置</w:t>
      </w:r>
      <w:bookmarkEnd w:id="398"/>
      <w:bookmarkEnd w:id="399"/>
    </w:p>
    <w:p w14:paraId="385FC0C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w:t>
      </w:r>
      <w:r>
        <w:rPr>
          <w:rFonts w:ascii="Times New Roman" w:hAnsi="Times New Roman" w:eastAsia="宋体"/>
          <w:color w:val="auto"/>
        </w:rPr>
        <w:t>《排污许可管理办法（试行）》</w:t>
      </w:r>
      <w:r>
        <w:rPr>
          <w:rFonts w:hint="eastAsia" w:ascii="Times New Roman" w:hAnsi="Times New Roman" w:eastAsia="宋体"/>
          <w:color w:val="auto"/>
          <w:lang w:eastAsia="zh-CN"/>
        </w:rPr>
        <w:t>（</w:t>
      </w:r>
      <w:r>
        <w:rPr>
          <w:rFonts w:hint="eastAsia" w:ascii="Times New Roman" w:hAnsi="Times New Roman" w:eastAsia="宋体"/>
          <w:color w:val="auto"/>
        </w:rPr>
        <w:t xml:space="preserve">部令第 </w:t>
      </w:r>
      <w:r>
        <w:rPr>
          <w:rFonts w:hint="eastAsia" w:ascii="Times New Roman" w:hAnsi="Times New Roman" w:eastAsia="宋体"/>
          <w:color w:val="auto"/>
          <w:lang w:val="en-US" w:eastAsia="zh-CN"/>
        </w:rPr>
        <w:t>32</w:t>
      </w:r>
      <w:r>
        <w:rPr>
          <w:rFonts w:hint="eastAsia" w:ascii="Times New Roman" w:hAnsi="Times New Roman" w:eastAsia="宋体"/>
          <w:color w:val="auto"/>
        </w:rPr>
        <w:t xml:space="preserve"> 号，20</w:t>
      </w:r>
      <w:r>
        <w:rPr>
          <w:rFonts w:hint="eastAsia" w:ascii="Times New Roman" w:hAnsi="Times New Roman" w:eastAsia="宋体"/>
          <w:color w:val="auto"/>
          <w:lang w:val="en-US" w:eastAsia="zh-CN"/>
        </w:rPr>
        <w:t>24</w:t>
      </w:r>
      <w:r>
        <w:rPr>
          <w:rFonts w:hint="eastAsia" w:ascii="Times New Roman" w:hAnsi="Times New Roman" w:eastAsia="宋体"/>
          <w:color w:val="auto"/>
        </w:rPr>
        <w:t xml:space="preserve"> 年</w:t>
      </w:r>
      <w:r>
        <w:rPr>
          <w:rFonts w:hint="eastAsia" w:ascii="Times New Roman" w:hAnsi="Times New Roman" w:eastAsia="宋体"/>
          <w:color w:val="auto"/>
          <w:lang w:eastAsia="zh-CN"/>
        </w:rPr>
        <w:t>）</w:t>
      </w:r>
      <w:r>
        <w:rPr>
          <w:rFonts w:ascii="Times New Roman" w:hAnsi="Times New Roman" w:eastAsia="宋体"/>
          <w:strike w:val="0"/>
          <w:dstrike w:val="0"/>
          <w:color w:val="auto"/>
          <w:highlight w:val="none"/>
        </w:rPr>
        <w:t>，排污单位应当依法持有排污许可证，并按照排污许可证的规定排放污染物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应当取得排污许可证而未取得的，不得排放污染物</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固定噪声源、固体废物贮存和排气筒必须按照国家和自治区的有关规定进行建设，应符合</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一明显、二合理、三便于</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的要求，即环保标志明显，排污口设置合理，便于采集样品、便于监测计量、便于公众参与和监督管理</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同时要求按照国家环保总局制定的《环境保护图形标志实施细则（试行）》的规定，设置与排污口相应的图形标志牌</w:t>
      </w:r>
      <w:r>
        <w:rPr>
          <w:rFonts w:hint="eastAsia" w:ascii="Times New Roman" w:hAnsi="Times New Roman" w:eastAsia="宋体"/>
          <w:strike w:val="0"/>
          <w:dstrike w:val="0"/>
          <w:color w:val="auto"/>
          <w:highlight w:val="none"/>
          <w:lang w:eastAsia="zh-CN"/>
        </w:rPr>
        <w:t>。</w:t>
      </w:r>
    </w:p>
    <w:p w14:paraId="3E752154">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本项目应按《环境保护图形标志—排放口（源）》（GB15562.1-1995）</w:t>
      </w:r>
      <w:r>
        <w:rPr>
          <w:rFonts w:hint="eastAsia" w:ascii="Times New Roman" w:hAnsi="Times New Roman" w:eastAsia="宋体"/>
          <w:strike w:val="0"/>
          <w:dstrike w:val="0"/>
          <w:color w:val="auto"/>
          <w:highlight w:val="none"/>
          <w:lang w:val="en-US" w:eastAsia="zh-CN"/>
        </w:rPr>
        <w:t>和《危险废物识别标志设置技术规范》（HJ1276-2022）</w:t>
      </w:r>
      <w:r>
        <w:rPr>
          <w:rFonts w:ascii="Times New Roman" w:hAnsi="Times New Roman" w:eastAsia="宋体"/>
          <w:strike w:val="0"/>
          <w:dstrike w:val="0"/>
          <w:color w:val="auto"/>
          <w:highlight w:val="none"/>
        </w:rPr>
        <w:t>规定的图形，在各气、水、声排污口（源）挂牌标识，做到各排污口（源）的环保标志明显，便于企业管理和公众监督</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污染物排放口的环保图形标志牌应设置在靠近采样点的醒目位置处，标志牌设置高度为其上缘距地面约2m</w:t>
      </w:r>
      <w:r>
        <w:rPr>
          <w:rFonts w:hint="eastAsia" w:ascii="Times New Roman" w:hAnsi="Times New Roman" w:eastAsia="宋体"/>
          <w:strike w:val="0"/>
          <w:dstrike w:val="0"/>
          <w:color w:val="auto"/>
          <w:highlight w:val="none"/>
          <w:lang w:eastAsia="zh-CN"/>
        </w:rPr>
        <w:t>。</w:t>
      </w:r>
    </w:p>
    <w:p w14:paraId="7A50270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本项目环境保护图形标志具体设置图形见图8.1-</w:t>
      </w:r>
      <w:r>
        <w:rPr>
          <w:rFonts w:hint="eastAsia" w:ascii="Times New Roman" w:hAnsi="Times New Roman" w:eastAsia="宋体"/>
          <w:strike w:val="0"/>
          <w:dstrike w:val="0"/>
          <w:color w:val="auto"/>
          <w:highlight w:val="none"/>
          <w:lang w:val="en-US" w:eastAsia="zh-CN"/>
        </w:rPr>
        <w:t>1</w:t>
      </w:r>
      <w:r>
        <w:rPr>
          <w:rFonts w:hint="eastAsia" w:ascii="Times New Roman" w:hAnsi="Times New Roman" w:eastAsia="宋体"/>
          <w:strike w:val="0"/>
          <w:dstrike w:val="0"/>
          <w:color w:val="auto"/>
          <w:highlight w:val="none"/>
          <w:lang w:eastAsia="zh-CN"/>
        </w:rPr>
        <w:t>。</w:t>
      </w:r>
    </w:p>
    <w:p w14:paraId="41DE3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strike w:val="0"/>
          <w:dstrike w:val="0"/>
          <w:color w:val="auto"/>
          <w:highlight w:val="none"/>
        </w:rPr>
      </w:pPr>
      <w:r>
        <w:rPr>
          <w:rFonts w:ascii="Times New Roman" w:hAnsi="Times New Roman" w:eastAsia="宋体"/>
          <w:caps w:val="0"/>
          <w:smallCaps w:val="0"/>
          <w:strike w:val="0"/>
          <w:dstrike w:val="0"/>
          <w:color w:val="auto"/>
          <w:highlight w:val="none"/>
        </w:rPr>
        <w:drawing>
          <wp:inline distT="0" distB="0" distL="114300" distR="114300">
            <wp:extent cx="5276215" cy="1837690"/>
            <wp:effectExtent l="0" t="0" r="635" b="1016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80"/>
                    <a:srcRect t="1025"/>
                    <a:stretch>
                      <a:fillRect/>
                    </a:stretch>
                  </pic:blipFill>
                  <pic:spPr>
                    <a:xfrm>
                      <a:off x="0" y="0"/>
                      <a:ext cx="5276215" cy="1837690"/>
                    </a:xfrm>
                    <a:prstGeom prst="rect">
                      <a:avLst/>
                    </a:prstGeom>
                    <a:noFill/>
                    <a:ln>
                      <a:noFill/>
                    </a:ln>
                  </pic:spPr>
                </pic:pic>
              </a:graphicData>
            </a:graphic>
          </wp:inline>
        </w:drawing>
      </w:r>
      <w:r>
        <w:rPr>
          <w:rFonts w:hint="eastAsia" w:ascii="Times New Roman" w:hAnsi="Times New Roman" w:eastAsia="宋体" w:cs="Times New Roman"/>
          <w:b/>
          <w:bCs/>
          <w:strike w:val="0"/>
          <w:dstrike w:val="0"/>
          <w:color w:val="auto"/>
          <w:sz w:val="24"/>
          <w:highlight w:val="none"/>
          <w:lang w:val="en-US" w:eastAsia="zh-CN" w:bidi="ar-SA"/>
        </w:rPr>
        <w:t>图8.1-环境保护图形标志</w:t>
      </w:r>
    </w:p>
    <w:p w14:paraId="3D037F2C">
      <w:pPr>
        <w:pStyle w:val="4"/>
        <w:rPr>
          <w:rFonts w:ascii="Times New Roman" w:hAnsi="Times New Roman" w:eastAsia="宋体"/>
          <w:strike w:val="0"/>
          <w:dstrike w:val="0"/>
          <w:color w:val="auto"/>
          <w:highlight w:val="none"/>
        </w:rPr>
      </w:pPr>
      <w:bookmarkStart w:id="400" w:name="_Toc28280"/>
      <w:bookmarkStart w:id="401" w:name="_Toc106663551"/>
      <w:r>
        <w:rPr>
          <w:rFonts w:hint="eastAsia" w:ascii="Times New Roman" w:hAnsi="Times New Roman" w:eastAsia="宋体"/>
          <w:strike w:val="0"/>
          <w:dstrike w:val="0"/>
          <w:color w:val="auto"/>
          <w:highlight w:val="none"/>
        </w:rPr>
        <w:t>8.1.5</w:t>
      </w:r>
      <w:r>
        <w:rPr>
          <w:rFonts w:ascii="Times New Roman" w:hAnsi="Times New Roman" w:eastAsia="宋体"/>
          <w:strike w:val="0"/>
          <w:dstrike w:val="0"/>
          <w:color w:val="auto"/>
          <w:highlight w:val="none"/>
        </w:rPr>
        <w:t>环境影响评价制度与排污许可制衔接分析</w:t>
      </w:r>
      <w:bookmarkEnd w:id="400"/>
      <w:bookmarkEnd w:id="401"/>
    </w:p>
    <w:p w14:paraId="59D88978">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根据环办环评</w:t>
      </w:r>
      <w:r>
        <w:rPr>
          <w:rFonts w:hint="eastAsia" w:ascii="Times New Roman" w:hAnsi="Times New Roman" w:eastAsia="宋体"/>
          <w:strike w:val="0"/>
          <w:dstrike w:val="0"/>
          <w:color w:val="auto"/>
          <w:highlight w:val="none"/>
          <w:lang w:eastAsia="zh-CN"/>
        </w:rPr>
        <w:t>〔2017〕84号</w:t>
      </w:r>
      <w:r>
        <w:rPr>
          <w:rFonts w:ascii="Times New Roman" w:hAnsi="Times New Roman" w:eastAsia="宋体"/>
          <w:strike w:val="0"/>
          <w:dstrike w:val="0"/>
          <w:color w:val="auto"/>
          <w:highlight w:val="none"/>
        </w:rPr>
        <w:t>《关于做好环境影响评价制度与排污许可制衔接相关工作的通知》，为贯彻落实《国务院办公厅关于印发控制污染物排放许可制实施方案的通知》（国办发〔2016〕81号），推进环境质量改善，现就做好建设项目环境影响评价制度与排污许可制有机衔接相关工作通知</w:t>
      </w:r>
      <w:r>
        <w:rPr>
          <w:rFonts w:hint="eastAsia" w:ascii="Times New Roman" w:hAnsi="Times New Roman" w:eastAsia="宋体"/>
          <w:strike w:val="0"/>
          <w:dstrike w:val="0"/>
          <w:color w:val="auto"/>
          <w:highlight w:val="none"/>
          <w:lang w:eastAsia="zh-CN"/>
        </w:rPr>
        <w:t>。</w:t>
      </w:r>
    </w:p>
    <w:p w14:paraId="0A48456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建设项目发生实际排污行为之前，排污单位应当按照国家环境保护相关法律法规以及《排污许可证申请与核发技术规范畜禽养殖行业》（HJ1029-2019）中相关规定申请排污许可证，不得无证排污或不按证排污</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污染物排放相关的主要内容应当纳入排污许可证</w:t>
      </w:r>
      <w:r>
        <w:rPr>
          <w:rFonts w:hint="eastAsia" w:ascii="Times New Roman" w:hAnsi="Times New Roman" w:eastAsia="宋体"/>
          <w:strike w:val="0"/>
          <w:dstrike w:val="0"/>
          <w:color w:val="auto"/>
          <w:highlight w:val="none"/>
          <w:lang w:eastAsia="zh-CN"/>
        </w:rPr>
        <w:t>。</w:t>
      </w:r>
    </w:p>
    <w:p w14:paraId="18A84801">
      <w:pPr>
        <w:pStyle w:val="4"/>
        <w:rPr>
          <w:rFonts w:ascii="Times New Roman" w:hAnsi="Times New Roman" w:eastAsia="宋体"/>
          <w:strike w:val="0"/>
          <w:dstrike w:val="0"/>
          <w:color w:val="auto"/>
          <w:highlight w:val="none"/>
        </w:rPr>
      </w:pPr>
      <w:bookmarkStart w:id="402" w:name="_Toc19052"/>
      <w:bookmarkStart w:id="403" w:name="_Toc106663552"/>
      <w:r>
        <w:rPr>
          <w:rFonts w:hint="eastAsia" w:ascii="Times New Roman" w:hAnsi="Times New Roman" w:eastAsia="宋体"/>
          <w:strike w:val="0"/>
          <w:dstrike w:val="0"/>
          <w:color w:val="auto"/>
          <w:highlight w:val="none"/>
        </w:rPr>
        <w:t>8.1.6</w:t>
      </w:r>
      <w:r>
        <w:rPr>
          <w:rFonts w:ascii="Times New Roman" w:hAnsi="Times New Roman" w:eastAsia="宋体"/>
          <w:strike w:val="0"/>
          <w:dstrike w:val="0"/>
          <w:color w:val="auto"/>
          <w:highlight w:val="none"/>
        </w:rPr>
        <w:t>企业环境信息公开</w:t>
      </w:r>
      <w:bookmarkEnd w:id="402"/>
      <w:bookmarkEnd w:id="403"/>
    </w:p>
    <w:p w14:paraId="302C2E6A">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根据《企业事业单位环境信息公开办法》（环境保护部第31号）相关规定，企业事业单位应当建立健全本单位环境信息公开制度，制定机构负责本单位环境信息公开日常工作</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根据企业特点，新疆国瑞牧升科技有限公司网站或本单位的资料索取点、信息公开栏、信息亭、电子屏幕或其他便于公众及时、准确获得信息的场所和方式公开下列信息：</w:t>
      </w:r>
    </w:p>
    <w:p w14:paraId="457BBFA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1、项目基础信息：包括单位名称、组织机构代码、法定代表人、生产地址、联系方式，以及生产经营和管理服务的主要内容、产品及规模</w:t>
      </w:r>
      <w:r>
        <w:rPr>
          <w:rFonts w:hint="eastAsia" w:ascii="Times New Roman" w:hAnsi="Times New Roman" w:eastAsia="宋体"/>
          <w:strike w:val="0"/>
          <w:dstrike w:val="0"/>
          <w:color w:val="auto"/>
          <w:highlight w:val="none"/>
          <w:lang w:eastAsia="zh-CN"/>
        </w:rPr>
        <w:t>。</w:t>
      </w:r>
    </w:p>
    <w:p w14:paraId="0B4AF79A">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2、排污信息：包括主要污染物及特征污染物的名称、排放方式、排放口数量和分布情况、排放浓度和总量、超标情况，及执行的污染物排放标准、核定的排放总量</w:t>
      </w:r>
      <w:r>
        <w:rPr>
          <w:rFonts w:hint="eastAsia" w:ascii="Times New Roman" w:hAnsi="Times New Roman" w:eastAsia="宋体"/>
          <w:strike w:val="0"/>
          <w:dstrike w:val="0"/>
          <w:color w:val="auto"/>
          <w:highlight w:val="none"/>
          <w:lang w:eastAsia="zh-CN"/>
        </w:rPr>
        <w:t>。</w:t>
      </w:r>
    </w:p>
    <w:p w14:paraId="698A2B6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3、防治污染设施的建设和运行情况</w:t>
      </w:r>
      <w:r>
        <w:rPr>
          <w:rFonts w:hint="eastAsia" w:ascii="Times New Roman" w:hAnsi="Times New Roman" w:eastAsia="宋体"/>
          <w:strike w:val="0"/>
          <w:dstrike w:val="0"/>
          <w:color w:val="auto"/>
          <w:highlight w:val="none"/>
          <w:lang w:eastAsia="zh-CN"/>
        </w:rPr>
        <w:t>。</w:t>
      </w:r>
    </w:p>
    <w:p w14:paraId="159802E7">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4、建设项目环境影响评价及其他环境保护行政许可情况</w:t>
      </w:r>
      <w:r>
        <w:rPr>
          <w:rFonts w:hint="eastAsia" w:ascii="Times New Roman" w:hAnsi="Times New Roman" w:eastAsia="宋体"/>
          <w:strike w:val="0"/>
          <w:dstrike w:val="0"/>
          <w:color w:val="auto"/>
          <w:highlight w:val="none"/>
          <w:lang w:eastAsia="zh-CN"/>
        </w:rPr>
        <w:t>。</w:t>
      </w:r>
    </w:p>
    <w:p w14:paraId="0E4CD149">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5、突发环境事件应急预案</w:t>
      </w:r>
      <w:r>
        <w:rPr>
          <w:rFonts w:hint="eastAsia" w:ascii="Times New Roman" w:hAnsi="Times New Roman" w:eastAsia="宋体"/>
          <w:strike w:val="0"/>
          <w:dstrike w:val="0"/>
          <w:color w:val="auto"/>
          <w:highlight w:val="none"/>
          <w:lang w:eastAsia="zh-CN"/>
        </w:rPr>
        <w:t>。</w:t>
      </w:r>
    </w:p>
    <w:p w14:paraId="24460631">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6、其他应当公开的环境信息</w:t>
      </w:r>
      <w:r>
        <w:rPr>
          <w:rFonts w:hint="eastAsia" w:ascii="Times New Roman" w:hAnsi="Times New Roman" w:eastAsia="宋体"/>
          <w:strike w:val="0"/>
          <w:dstrike w:val="0"/>
          <w:color w:val="auto"/>
          <w:highlight w:val="none"/>
          <w:lang w:eastAsia="zh-CN"/>
        </w:rPr>
        <w:t>。</w:t>
      </w:r>
    </w:p>
    <w:p w14:paraId="77F6C8F6">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如若公司的环境信息发生变更或有新生成时，应在环境信息生成或者变更之日起三十日内予以公开</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环境保护主管部门应当宣传和引导公众监督企业事业单位环境信息公开工作</w:t>
      </w:r>
      <w:r>
        <w:rPr>
          <w:rFonts w:hint="eastAsia" w:ascii="Times New Roman" w:hAnsi="Times New Roman" w:eastAsia="宋体"/>
          <w:strike w:val="0"/>
          <w:dstrike w:val="0"/>
          <w:color w:val="auto"/>
          <w:highlight w:val="none"/>
          <w:lang w:eastAsia="zh-CN"/>
        </w:rPr>
        <w:t>。</w:t>
      </w:r>
    </w:p>
    <w:p w14:paraId="0E201900">
      <w:pPr>
        <w:pStyle w:val="3"/>
        <w:rPr>
          <w:rFonts w:ascii="Times New Roman" w:hAnsi="Times New Roman" w:eastAsia="宋体"/>
          <w:strike w:val="0"/>
          <w:dstrike w:val="0"/>
          <w:color w:val="auto"/>
          <w:highlight w:val="none"/>
        </w:rPr>
      </w:pPr>
      <w:bookmarkStart w:id="404" w:name="_Toc24182"/>
      <w:bookmarkStart w:id="405" w:name="_Toc269723053"/>
      <w:bookmarkStart w:id="406" w:name="_Toc113278854"/>
      <w:bookmarkStart w:id="407" w:name="_Toc79578680"/>
      <w:bookmarkStart w:id="408" w:name="_Toc265225646"/>
      <w:bookmarkStart w:id="409" w:name="_Toc304234030"/>
      <w:bookmarkStart w:id="410" w:name="_Toc113254453"/>
      <w:bookmarkStart w:id="411" w:name="_Toc116777512"/>
      <w:bookmarkStart w:id="412" w:name="_Toc112971017"/>
      <w:bookmarkStart w:id="413" w:name="_Toc113254183"/>
      <w:bookmarkStart w:id="414" w:name="_Toc112970953"/>
      <w:bookmarkStart w:id="415" w:name="_Toc94001017"/>
      <w:bookmarkStart w:id="416" w:name="_Toc265225834"/>
      <w:bookmarkStart w:id="417" w:name="_Toc370052949"/>
      <w:bookmarkStart w:id="418" w:name="_Toc75019041"/>
      <w:bookmarkStart w:id="419" w:name="_Toc273384092"/>
      <w:bookmarkStart w:id="420" w:name="_Toc89619358"/>
      <w:bookmarkStart w:id="421" w:name="_Toc4338"/>
      <w:bookmarkStart w:id="422" w:name="_Toc32002"/>
      <w:r>
        <w:rPr>
          <w:rFonts w:hint="eastAsia" w:ascii="Times New Roman" w:hAnsi="Times New Roman" w:eastAsia="宋体"/>
          <w:strike w:val="0"/>
          <w:dstrike w:val="0"/>
          <w:color w:val="auto"/>
          <w:highlight w:val="none"/>
        </w:rPr>
        <w:t>8.2</w:t>
      </w:r>
      <w:r>
        <w:rPr>
          <w:rFonts w:ascii="Times New Roman" w:hAnsi="Times New Roman" w:eastAsia="宋体"/>
          <w:strike w:val="0"/>
          <w:dstrike w:val="0"/>
          <w:color w:val="auto"/>
          <w:highlight w:val="none"/>
        </w:rPr>
        <w:t>环境监测</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Fonts w:hint="eastAsia" w:ascii="Times New Roman" w:hAnsi="Times New Roman" w:eastAsia="宋体"/>
          <w:strike w:val="0"/>
          <w:dstrike w:val="0"/>
          <w:color w:val="auto"/>
          <w:highlight w:val="none"/>
        </w:rPr>
        <w:t>计划</w:t>
      </w:r>
      <w:bookmarkEnd w:id="420"/>
      <w:bookmarkEnd w:id="421"/>
      <w:bookmarkEnd w:id="422"/>
    </w:p>
    <w:p w14:paraId="51D482E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根据本项目污染源和厂址区域环境特点，按照《排污单位自行监测技术指南总则》（HJ819）、《排污许可证申请与核发技术规范畜禽养殖行业》（HJ1029-2019）</w:t>
      </w:r>
      <w:r>
        <w:rPr>
          <w:rFonts w:hint="eastAsia" w:ascii="Times New Roman" w:hAnsi="Times New Roman" w:eastAsia="宋体"/>
          <w:strike w:val="0"/>
          <w:dstrike w:val="0"/>
          <w:color w:val="auto"/>
          <w:highlight w:val="none"/>
          <w:lang w:eastAsia="zh-CN"/>
        </w:rPr>
        <w:t>、《畜禽养殖产地环境评价规范》（</w:t>
      </w:r>
      <w:r>
        <w:rPr>
          <w:rFonts w:hint="eastAsia" w:ascii="Times New Roman" w:hAnsi="Times New Roman" w:eastAsia="宋体"/>
          <w:strike w:val="0"/>
          <w:dstrike w:val="0"/>
          <w:color w:val="auto"/>
          <w:highlight w:val="none"/>
          <w:lang w:val="en-US" w:eastAsia="zh-CN"/>
        </w:rPr>
        <w:t>HJ 568-2010</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制定环境监测方案</w:t>
      </w:r>
      <w:r>
        <w:rPr>
          <w:rFonts w:hint="eastAsia" w:ascii="Times New Roman" w:hAnsi="Times New Roman" w:eastAsia="宋体"/>
          <w:strike w:val="0"/>
          <w:dstrike w:val="0"/>
          <w:color w:val="auto"/>
          <w:highlight w:val="none"/>
          <w:lang w:eastAsia="zh-CN"/>
        </w:rPr>
        <w:t>。</w:t>
      </w:r>
    </w:p>
    <w:p w14:paraId="3553F7F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针对本项目所排污染物情况，制定详细监测计划见表</w:t>
      </w:r>
      <w:r>
        <w:rPr>
          <w:rFonts w:hint="eastAsia" w:ascii="Times New Roman" w:hAnsi="Times New Roman" w:eastAsia="宋体"/>
          <w:strike w:val="0"/>
          <w:dstrike w:val="0"/>
          <w:color w:val="auto"/>
          <w:highlight w:val="none"/>
        </w:rPr>
        <w:t>8.2-1</w:t>
      </w:r>
      <w:r>
        <w:rPr>
          <w:rFonts w:hint="eastAsia" w:ascii="Times New Roman" w:hAnsi="Times New Roman" w:eastAsia="宋体"/>
          <w:strike w:val="0"/>
          <w:dstrike w:val="0"/>
          <w:color w:val="auto"/>
          <w:highlight w:val="none"/>
          <w:lang w:eastAsia="zh-CN"/>
        </w:rPr>
        <w:t>。</w:t>
      </w:r>
    </w:p>
    <w:p w14:paraId="72FD3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表8.2-1建设项目环境监测计划一览表</w:t>
      </w:r>
    </w:p>
    <w:tbl>
      <w:tblPr>
        <w:tblStyle w:val="39"/>
        <w:tblW w:w="50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autofit"/>
        <w:tblCellMar>
          <w:top w:w="0" w:type="dxa"/>
          <w:left w:w="0" w:type="dxa"/>
          <w:bottom w:w="0" w:type="dxa"/>
          <w:right w:w="0" w:type="dxa"/>
        </w:tblCellMar>
      </w:tblPr>
      <w:tblGrid>
        <w:gridCol w:w="1327"/>
        <w:gridCol w:w="3325"/>
        <w:gridCol w:w="2460"/>
        <w:gridCol w:w="1211"/>
      </w:tblGrid>
      <w:tr w14:paraId="4C23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PrEx>
        <w:trPr>
          <w:trHeight w:val="397" w:hRule="atLeast"/>
          <w:jc w:val="center"/>
        </w:trPr>
        <w:tc>
          <w:tcPr>
            <w:tcW w:w="797" w:type="pct"/>
            <w:tcBorders>
              <w:tl2br w:val="nil"/>
              <w:tr2bl w:val="nil"/>
            </w:tcBorders>
            <w:shd w:val="clear" w:color="000000" w:fill="auto"/>
            <w:vAlign w:val="center"/>
          </w:tcPr>
          <w:p w14:paraId="6794A78C">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要素</w:t>
            </w:r>
          </w:p>
        </w:tc>
        <w:tc>
          <w:tcPr>
            <w:tcW w:w="1997" w:type="pct"/>
            <w:tcBorders>
              <w:tl2br w:val="nil"/>
              <w:tr2bl w:val="nil"/>
            </w:tcBorders>
            <w:shd w:val="clear" w:color="000000" w:fill="auto"/>
            <w:vAlign w:val="center"/>
          </w:tcPr>
          <w:p w14:paraId="0C34136F">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监测点位</w:t>
            </w:r>
          </w:p>
        </w:tc>
        <w:tc>
          <w:tcPr>
            <w:tcW w:w="1477" w:type="pct"/>
            <w:tcBorders>
              <w:tl2br w:val="nil"/>
              <w:tr2bl w:val="nil"/>
            </w:tcBorders>
            <w:shd w:val="clear" w:color="000000" w:fill="auto"/>
            <w:vAlign w:val="center"/>
          </w:tcPr>
          <w:p w14:paraId="7BDEF21E">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监测项目</w:t>
            </w:r>
          </w:p>
        </w:tc>
        <w:tc>
          <w:tcPr>
            <w:tcW w:w="727" w:type="pct"/>
            <w:tcBorders>
              <w:tl2br w:val="nil"/>
              <w:tr2bl w:val="nil"/>
            </w:tcBorders>
            <w:shd w:val="clear" w:color="000000" w:fill="auto"/>
            <w:vAlign w:val="center"/>
          </w:tcPr>
          <w:p w14:paraId="1038CC36">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监测频次</w:t>
            </w:r>
          </w:p>
        </w:tc>
      </w:tr>
      <w:tr w14:paraId="04DE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0" w:type="dxa"/>
            <w:bottom w:w="0" w:type="dxa"/>
            <w:right w:w="0" w:type="dxa"/>
          </w:tblCellMar>
        </w:tblPrEx>
        <w:trPr>
          <w:trHeight w:val="90" w:hRule="atLeast"/>
          <w:jc w:val="center"/>
        </w:trPr>
        <w:tc>
          <w:tcPr>
            <w:tcW w:w="797" w:type="pct"/>
            <w:tcBorders>
              <w:tl2br w:val="nil"/>
              <w:tr2bl w:val="nil"/>
            </w:tcBorders>
            <w:shd w:val="clear" w:color="000000" w:fill="auto"/>
            <w:vAlign w:val="center"/>
          </w:tcPr>
          <w:p w14:paraId="3EFCAA87">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废气</w:t>
            </w:r>
          </w:p>
        </w:tc>
        <w:tc>
          <w:tcPr>
            <w:tcW w:w="1997" w:type="pct"/>
            <w:tcBorders>
              <w:tl2br w:val="nil"/>
              <w:tr2bl w:val="nil"/>
            </w:tcBorders>
            <w:shd w:val="clear" w:color="000000" w:fill="auto"/>
            <w:vAlign w:val="center"/>
          </w:tcPr>
          <w:p w14:paraId="00198304">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厂界</w:t>
            </w:r>
          </w:p>
        </w:tc>
        <w:tc>
          <w:tcPr>
            <w:tcW w:w="1477" w:type="pct"/>
            <w:tcBorders>
              <w:tl2br w:val="nil"/>
              <w:tr2bl w:val="nil"/>
            </w:tcBorders>
            <w:shd w:val="clear" w:color="000000" w:fill="auto"/>
            <w:vAlign w:val="center"/>
          </w:tcPr>
          <w:p w14:paraId="7B7B3461">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NH</w:t>
            </w:r>
            <w:r>
              <w:rPr>
                <w:rFonts w:hint="eastAsia" w:ascii="Times New Roman" w:hAnsi="Times New Roman" w:eastAsia="宋体"/>
                <w:strike w:val="0"/>
                <w:dstrike w:val="0"/>
                <w:color w:val="auto"/>
                <w:sz w:val="21"/>
                <w:szCs w:val="24"/>
                <w:highlight w:val="none"/>
                <w:vertAlign w:val="subscript"/>
              </w:rPr>
              <w:t>3</w:t>
            </w:r>
            <w:r>
              <w:rPr>
                <w:rFonts w:hint="eastAsia" w:ascii="Times New Roman" w:hAnsi="Times New Roman" w:eastAsia="宋体"/>
                <w:strike w:val="0"/>
                <w:dstrike w:val="0"/>
                <w:color w:val="auto"/>
                <w:sz w:val="21"/>
                <w:szCs w:val="24"/>
                <w:highlight w:val="none"/>
              </w:rPr>
              <w:t>、H</w:t>
            </w:r>
            <w:r>
              <w:rPr>
                <w:rFonts w:hint="eastAsia" w:ascii="Times New Roman" w:hAnsi="Times New Roman" w:eastAsia="宋体"/>
                <w:strike w:val="0"/>
                <w:dstrike w:val="0"/>
                <w:color w:val="auto"/>
                <w:sz w:val="21"/>
                <w:szCs w:val="24"/>
                <w:highlight w:val="none"/>
                <w:vertAlign w:val="subscript"/>
              </w:rPr>
              <w:t>2</w:t>
            </w:r>
            <w:r>
              <w:rPr>
                <w:rFonts w:hint="eastAsia" w:ascii="Times New Roman" w:hAnsi="Times New Roman" w:eastAsia="宋体"/>
                <w:strike w:val="0"/>
                <w:dstrike w:val="0"/>
                <w:color w:val="auto"/>
                <w:sz w:val="21"/>
                <w:szCs w:val="24"/>
                <w:highlight w:val="none"/>
              </w:rPr>
              <w:t>S、</w:t>
            </w:r>
            <w:r>
              <w:rPr>
                <w:rFonts w:hint="eastAsia" w:ascii="Times New Roman" w:hAnsi="Times New Roman" w:eastAsia="宋体"/>
                <w:strike w:val="0"/>
                <w:dstrike w:val="0"/>
                <w:color w:val="auto"/>
                <w:sz w:val="21"/>
                <w:szCs w:val="24"/>
                <w:highlight w:val="none"/>
                <w:lang w:val="en-US" w:eastAsia="zh-CN"/>
              </w:rPr>
              <w:t>TSP、</w:t>
            </w:r>
            <w:r>
              <w:rPr>
                <w:rFonts w:hint="eastAsia" w:ascii="Times New Roman" w:hAnsi="Times New Roman" w:eastAsia="宋体"/>
                <w:strike w:val="0"/>
                <w:dstrike w:val="0"/>
                <w:color w:val="auto"/>
                <w:sz w:val="21"/>
                <w:szCs w:val="24"/>
                <w:highlight w:val="none"/>
              </w:rPr>
              <w:t>臭气浓度</w:t>
            </w:r>
          </w:p>
        </w:tc>
        <w:tc>
          <w:tcPr>
            <w:tcW w:w="727" w:type="pct"/>
            <w:tcBorders>
              <w:tl2br w:val="nil"/>
              <w:tr2bl w:val="nil"/>
            </w:tcBorders>
            <w:shd w:val="clear" w:color="000000" w:fill="auto"/>
            <w:vAlign w:val="center"/>
          </w:tcPr>
          <w:p w14:paraId="163CFB0A">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1次/</w:t>
            </w:r>
            <w:r>
              <w:rPr>
                <w:rFonts w:hint="eastAsia" w:ascii="Times New Roman" w:hAnsi="Times New Roman" w:eastAsia="宋体"/>
                <w:strike w:val="0"/>
                <w:dstrike w:val="0"/>
                <w:color w:val="auto"/>
                <w:sz w:val="21"/>
                <w:szCs w:val="24"/>
                <w:highlight w:val="none"/>
              </w:rPr>
              <w:t>年</w:t>
            </w:r>
          </w:p>
        </w:tc>
      </w:tr>
      <w:tr w14:paraId="3E4B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0" w:type="dxa"/>
            <w:bottom w:w="0" w:type="dxa"/>
            <w:right w:w="0" w:type="dxa"/>
          </w:tblCellMar>
        </w:tblPrEx>
        <w:trPr>
          <w:trHeight w:val="340" w:hRule="atLeast"/>
          <w:jc w:val="center"/>
        </w:trPr>
        <w:tc>
          <w:tcPr>
            <w:tcW w:w="797" w:type="pct"/>
            <w:tcBorders>
              <w:tl2br w:val="nil"/>
              <w:tr2bl w:val="nil"/>
            </w:tcBorders>
            <w:shd w:val="clear" w:color="000000" w:fill="auto"/>
            <w:vAlign w:val="center"/>
          </w:tcPr>
          <w:p w14:paraId="430F97FA">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噪声</w:t>
            </w:r>
          </w:p>
        </w:tc>
        <w:tc>
          <w:tcPr>
            <w:tcW w:w="1997" w:type="pct"/>
            <w:tcBorders>
              <w:tl2br w:val="nil"/>
              <w:tr2bl w:val="nil"/>
            </w:tcBorders>
            <w:shd w:val="clear" w:color="000000" w:fill="auto"/>
            <w:vAlign w:val="center"/>
          </w:tcPr>
          <w:p w14:paraId="16781663">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厂界四周外1m</w:t>
            </w:r>
          </w:p>
        </w:tc>
        <w:tc>
          <w:tcPr>
            <w:tcW w:w="1477" w:type="pct"/>
            <w:tcBorders>
              <w:tl2br w:val="nil"/>
              <w:tr2bl w:val="nil"/>
            </w:tcBorders>
            <w:shd w:val="clear" w:color="000000" w:fill="auto"/>
            <w:vAlign w:val="center"/>
          </w:tcPr>
          <w:p w14:paraId="015332F0">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等效A声级</w:t>
            </w:r>
          </w:p>
        </w:tc>
        <w:tc>
          <w:tcPr>
            <w:tcW w:w="727" w:type="pct"/>
            <w:tcBorders>
              <w:tl2br w:val="nil"/>
              <w:tr2bl w:val="nil"/>
            </w:tcBorders>
            <w:shd w:val="clear" w:color="000000" w:fill="auto"/>
            <w:vAlign w:val="center"/>
          </w:tcPr>
          <w:p w14:paraId="1732C620">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1次/</w:t>
            </w:r>
            <w:r>
              <w:rPr>
                <w:rFonts w:hint="eastAsia" w:ascii="Times New Roman" w:hAnsi="Times New Roman" w:eastAsia="宋体"/>
                <w:strike w:val="0"/>
                <w:dstrike w:val="0"/>
                <w:color w:val="auto"/>
                <w:sz w:val="21"/>
                <w:szCs w:val="24"/>
                <w:highlight w:val="none"/>
              </w:rPr>
              <w:t>季度</w:t>
            </w:r>
          </w:p>
        </w:tc>
      </w:tr>
      <w:tr w14:paraId="550C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0" w:type="dxa"/>
            <w:bottom w:w="0" w:type="dxa"/>
            <w:right w:w="0" w:type="dxa"/>
          </w:tblCellMar>
        </w:tblPrEx>
        <w:trPr>
          <w:trHeight w:val="340" w:hRule="atLeast"/>
          <w:jc w:val="center"/>
        </w:trPr>
        <w:tc>
          <w:tcPr>
            <w:tcW w:w="797" w:type="pct"/>
            <w:tcBorders>
              <w:tl2br w:val="nil"/>
              <w:tr2bl w:val="nil"/>
            </w:tcBorders>
            <w:shd w:val="clear" w:color="000000" w:fill="auto"/>
            <w:vAlign w:val="center"/>
          </w:tcPr>
          <w:p w14:paraId="7E474E06">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地下水</w:t>
            </w:r>
          </w:p>
        </w:tc>
        <w:tc>
          <w:tcPr>
            <w:tcW w:w="1997" w:type="pct"/>
            <w:tcBorders>
              <w:tl2br w:val="nil"/>
              <w:tr2bl w:val="nil"/>
            </w:tcBorders>
            <w:shd w:val="clear" w:color="000000" w:fill="auto"/>
            <w:vAlign w:val="center"/>
          </w:tcPr>
          <w:p w14:paraId="2276B460">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建设项目场地下游500m范围内</w:t>
            </w:r>
          </w:p>
        </w:tc>
        <w:tc>
          <w:tcPr>
            <w:tcW w:w="1477" w:type="pct"/>
            <w:tcBorders>
              <w:tl2br w:val="nil"/>
              <w:tr2bl w:val="nil"/>
            </w:tcBorders>
            <w:shd w:val="clear" w:color="000000" w:fill="auto"/>
            <w:vAlign w:val="center"/>
          </w:tcPr>
          <w:p w14:paraId="6918DBA8">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pH、耗氧量、溶解性总固体、挥发性酚类、阴离子表面活性剂、氯化物、硫化物、石油类、汞、镉、砷、六价铬、铅、总大肠菌群、菌落总数</w:t>
            </w:r>
          </w:p>
        </w:tc>
        <w:tc>
          <w:tcPr>
            <w:tcW w:w="727" w:type="pct"/>
            <w:tcBorders>
              <w:tl2br w:val="nil"/>
              <w:tr2bl w:val="nil"/>
            </w:tcBorders>
            <w:shd w:val="clear" w:color="000000" w:fill="auto"/>
            <w:vAlign w:val="center"/>
          </w:tcPr>
          <w:p w14:paraId="265B49B1">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ascii="Times New Roman" w:hAnsi="Times New Roman" w:eastAsia="宋体"/>
                <w:strike w:val="0"/>
                <w:dstrike w:val="0"/>
                <w:color w:val="auto"/>
                <w:sz w:val="21"/>
                <w:szCs w:val="24"/>
                <w:highlight w:val="none"/>
              </w:rPr>
              <w:t>1次/</w:t>
            </w:r>
            <w:r>
              <w:rPr>
                <w:rFonts w:hint="eastAsia" w:ascii="Times New Roman" w:hAnsi="Times New Roman" w:eastAsia="宋体"/>
                <w:strike w:val="0"/>
                <w:dstrike w:val="0"/>
                <w:color w:val="auto"/>
                <w:sz w:val="21"/>
                <w:szCs w:val="24"/>
                <w:highlight w:val="none"/>
                <w:lang w:val="en-US" w:eastAsia="zh-CN"/>
              </w:rPr>
              <w:t>1</w:t>
            </w:r>
            <w:r>
              <w:rPr>
                <w:rFonts w:hint="eastAsia" w:ascii="Times New Roman" w:hAnsi="Times New Roman" w:eastAsia="宋体"/>
                <w:strike w:val="0"/>
                <w:dstrike w:val="0"/>
                <w:color w:val="auto"/>
                <w:sz w:val="21"/>
                <w:szCs w:val="24"/>
                <w:highlight w:val="none"/>
              </w:rPr>
              <w:t>年</w:t>
            </w:r>
          </w:p>
        </w:tc>
      </w:tr>
      <w:tr w14:paraId="6BAC8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0" w:type="dxa"/>
            <w:bottom w:w="0" w:type="dxa"/>
            <w:right w:w="0" w:type="dxa"/>
          </w:tblCellMar>
        </w:tblPrEx>
        <w:trPr>
          <w:trHeight w:val="340" w:hRule="atLeast"/>
          <w:jc w:val="center"/>
        </w:trPr>
        <w:tc>
          <w:tcPr>
            <w:tcW w:w="797" w:type="pct"/>
            <w:tcBorders>
              <w:tl2br w:val="nil"/>
              <w:tr2bl w:val="nil"/>
            </w:tcBorders>
            <w:shd w:val="clear" w:color="000000" w:fill="auto"/>
            <w:vAlign w:val="center"/>
          </w:tcPr>
          <w:p w14:paraId="04BABB1E">
            <w:pPr>
              <w:snapToGrid w:val="0"/>
              <w:spacing w:line="240" w:lineRule="auto"/>
              <w:ind w:firstLine="0" w:firstLineChars="0"/>
              <w:jc w:val="center"/>
              <w:rPr>
                <w:rFonts w:ascii="Times New Roman" w:hAnsi="Times New Roman" w:eastAsia="宋体"/>
                <w:strike w:val="0"/>
                <w:dstrike w:val="0"/>
                <w:color w:val="auto"/>
                <w:sz w:val="21"/>
                <w:szCs w:val="24"/>
                <w:highlight w:val="none"/>
              </w:rPr>
            </w:pPr>
            <w:r>
              <w:rPr>
                <w:rFonts w:hint="eastAsia" w:ascii="Times New Roman" w:hAnsi="Times New Roman" w:eastAsia="宋体"/>
                <w:strike w:val="0"/>
                <w:dstrike w:val="0"/>
                <w:color w:val="auto"/>
                <w:sz w:val="21"/>
                <w:szCs w:val="24"/>
                <w:highlight w:val="none"/>
              </w:rPr>
              <w:t>土壤</w:t>
            </w:r>
          </w:p>
        </w:tc>
        <w:tc>
          <w:tcPr>
            <w:tcW w:w="1997" w:type="pct"/>
            <w:tcBorders>
              <w:tl2br w:val="nil"/>
              <w:tr2bl w:val="nil"/>
            </w:tcBorders>
            <w:shd w:val="clear" w:color="000000" w:fill="auto"/>
            <w:vAlign w:val="center"/>
          </w:tcPr>
          <w:p w14:paraId="79770EFB">
            <w:pPr>
              <w:snapToGrid w:val="0"/>
              <w:spacing w:line="240" w:lineRule="auto"/>
              <w:ind w:firstLine="0" w:firstLineChars="0"/>
              <w:jc w:val="center"/>
              <w:rPr>
                <w:rFonts w:hint="eastAsia" w:ascii="Times New Roman" w:hAnsi="Times New Roman" w:eastAsia="宋体"/>
                <w:strike w:val="0"/>
                <w:dstrike w:val="0"/>
                <w:color w:val="auto"/>
                <w:sz w:val="21"/>
                <w:szCs w:val="24"/>
                <w:highlight w:val="none"/>
                <w:lang w:eastAsia="zh-CN"/>
              </w:rPr>
            </w:pPr>
            <w:r>
              <w:rPr>
                <w:rFonts w:hint="eastAsia" w:ascii="Times New Roman" w:hAnsi="Times New Roman" w:eastAsia="宋体"/>
                <w:strike w:val="0"/>
                <w:dstrike w:val="0"/>
                <w:color w:val="auto"/>
                <w:sz w:val="21"/>
                <w:szCs w:val="24"/>
                <w:highlight w:val="none"/>
                <w:lang w:val="en-US" w:eastAsia="zh-CN"/>
              </w:rPr>
              <w:t>项目区内</w:t>
            </w:r>
          </w:p>
        </w:tc>
        <w:tc>
          <w:tcPr>
            <w:tcW w:w="1477" w:type="pct"/>
            <w:tcBorders>
              <w:tl2br w:val="nil"/>
              <w:tr2bl w:val="nil"/>
            </w:tcBorders>
            <w:shd w:val="clear" w:color="000000" w:fill="auto"/>
            <w:vAlign w:val="center"/>
          </w:tcPr>
          <w:p w14:paraId="66BEE975">
            <w:pPr>
              <w:snapToGrid w:val="0"/>
              <w:spacing w:line="240" w:lineRule="auto"/>
              <w:ind w:firstLine="0" w:firstLineChars="0"/>
              <w:jc w:val="center"/>
              <w:rPr>
                <w:rFonts w:hint="default" w:ascii="Times New Roman" w:hAnsi="Times New Roman" w:eastAsia="宋体"/>
                <w:strike w:val="0"/>
                <w:dstrike w:val="0"/>
                <w:color w:val="auto"/>
                <w:sz w:val="21"/>
                <w:szCs w:val="24"/>
                <w:highlight w:val="none"/>
                <w:lang w:val="en-US"/>
              </w:rPr>
            </w:pPr>
            <w:r>
              <w:rPr>
                <w:rFonts w:hint="default" w:ascii="Times New Roman" w:hAnsi="Times New Roman" w:eastAsia="宋体"/>
                <w:strike w:val="0"/>
                <w:dstrike w:val="0"/>
                <w:color w:val="auto"/>
                <w:sz w:val="21"/>
                <w:szCs w:val="24"/>
                <w:highlight w:val="none"/>
                <w:lang w:val="en-US" w:eastAsia="zh-CN"/>
              </w:rPr>
              <w:t>pH</w:t>
            </w:r>
            <w:r>
              <w:rPr>
                <w:rFonts w:hint="eastAsia" w:ascii="Times New Roman" w:hAnsi="Times New Roman" w:eastAsia="宋体"/>
                <w:strike w:val="0"/>
                <w:dstrike w:val="0"/>
                <w:color w:val="auto"/>
                <w:sz w:val="21"/>
                <w:szCs w:val="24"/>
                <w:highlight w:val="none"/>
                <w:lang w:val="en-US" w:eastAsia="zh-CN"/>
              </w:rPr>
              <w:t>、重金属</w:t>
            </w:r>
            <w:r>
              <w:rPr>
                <w:rFonts w:hint="eastAsia" w:ascii="Times New Roman" w:hAnsi="Times New Roman" w:eastAsia="宋体"/>
                <w:strike w:val="0"/>
                <w:dstrike w:val="0"/>
                <w:color w:val="auto"/>
                <w:sz w:val="21"/>
                <w:szCs w:val="24"/>
                <w:highlight w:val="none"/>
                <w:lang w:val="en-US" w:eastAsia="zh-CN"/>
              </w:rPr>
              <w:t>、土壤中寄生虫卵数</w:t>
            </w:r>
          </w:p>
        </w:tc>
        <w:tc>
          <w:tcPr>
            <w:tcW w:w="727" w:type="pct"/>
            <w:tcBorders>
              <w:tl2br w:val="nil"/>
              <w:tr2bl w:val="nil"/>
            </w:tcBorders>
            <w:shd w:val="clear" w:color="000000" w:fill="auto"/>
            <w:vAlign w:val="center"/>
          </w:tcPr>
          <w:p w14:paraId="27870643">
            <w:pPr>
              <w:snapToGrid w:val="0"/>
              <w:spacing w:line="240" w:lineRule="auto"/>
              <w:ind w:firstLine="0" w:firstLineChars="0"/>
              <w:jc w:val="center"/>
              <w:rPr>
                <w:rFonts w:hint="default" w:ascii="Times New Roman" w:hAnsi="Times New Roman" w:eastAsia="宋体"/>
                <w:strike w:val="0"/>
                <w:dstrike w:val="0"/>
                <w:color w:val="auto"/>
                <w:sz w:val="21"/>
                <w:szCs w:val="24"/>
                <w:highlight w:val="none"/>
                <w:lang w:val="en-US" w:eastAsia="zh-CN"/>
              </w:rPr>
            </w:pPr>
            <w:r>
              <w:rPr>
                <w:rFonts w:hint="eastAsia" w:ascii="Times New Roman" w:hAnsi="Times New Roman" w:eastAsia="宋体"/>
                <w:strike w:val="0"/>
                <w:dstrike w:val="0"/>
                <w:color w:val="auto"/>
                <w:sz w:val="21"/>
                <w:szCs w:val="24"/>
                <w:highlight w:val="none"/>
                <w:lang w:val="en-US" w:eastAsia="zh-CN"/>
              </w:rPr>
              <w:t>必要时开展</w:t>
            </w:r>
          </w:p>
        </w:tc>
      </w:tr>
    </w:tbl>
    <w:p w14:paraId="78A4DCA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关于监测点的选取、监测项目及监测周期的确定应根据国家规定的环境监测技术规范进行</w:t>
      </w:r>
      <w:r>
        <w:rPr>
          <w:rFonts w:hint="eastAsia" w:ascii="Times New Roman" w:hAnsi="Times New Roman" w:eastAsia="宋体"/>
          <w:strike w:val="0"/>
          <w:dstrike w:val="0"/>
          <w:color w:val="auto"/>
          <w:highlight w:val="none"/>
          <w:lang w:eastAsia="zh-CN"/>
        </w:rPr>
        <w:t>。</w:t>
      </w:r>
    </w:p>
    <w:p w14:paraId="4CFED92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非正常工况根据实际情况随时进行监测，如发生异常或对环境产生不利影响需立即采取相应措施进行处理</w:t>
      </w:r>
      <w:r>
        <w:rPr>
          <w:rFonts w:hint="eastAsia" w:ascii="Times New Roman" w:hAnsi="Times New Roman" w:eastAsia="宋体"/>
          <w:strike w:val="0"/>
          <w:dstrike w:val="0"/>
          <w:color w:val="auto"/>
          <w:highlight w:val="none"/>
          <w:lang w:eastAsia="zh-CN"/>
        </w:rPr>
        <w:t>。</w:t>
      </w:r>
    </w:p>
    <w:p w14:paraId="470BFE7B">
      <w:pPr>
        <w:pStyle w:val="3"/>
        <w:rPr>
          <w:rFonts w:ascii="Times New Roman" w:hAnsi="Times New Roman" w:eastAsia="宋体"/>
          <w:strike w:val="0"/>
          <w:dstrike w:val="0"/>
          <w:color w:val="auto"/>
          <w:highlight w:val="none"/>
        </w:rPr>
      </w:pPr>
      <w:bookmarkStart w:id="423" w:name="_Toc89619359"/>
      <w:bookmarkStart w:id="424" w:name="_Toc282"/>
      <w:bookmarkStart w:id="425" w:name="_Toc18212"/>
      <w:bookmarkStart w:id="426" w:name="_Toc15438"/>
      <w:r>
        <w:rPr>
          <w:rFonts w:hint="eastAsia" w:ascii="Times New Roman" w:hAnsi="Times New Roman" w:eastAsia="宋体"/>
          <w:strike w:val="0"/>
          <w:dstrike w:val="0"/>
          <w:color w:val="auto"/>
          <w:highlight w:val="none"/>
        </w:rPr>
        <w:t>8.3</w:t>
      </w:r>
      <w:r>
        <w:rPr>
          <w:rFonts w:ascii="Times New Roman" w:hAnsi="Times New Roman" w:eastAsia="宋体"/>
          <w:strike w:val="0"/>
          <w:dstrike w:val="0"/>
          <w:color w:val="auto"/>
          <w:highlight w:val="none"/>
        </w:rPr>
        <w:t>竣工验收管理</w:t>
      </w:r>
      <w:bookmarkEnd w:id="423"/>
      <w:bookmarkEnd w:id="424"/>
      <w:bookmarkEnd w:id="425"/>
      <w:bookmarkEnd w:id="426"/>
    </w:p>
    <w:p w14:paraId="1D5E97AB">
      <w:pPr>
        <w:pStyle w:val="4"/>
        <w:rPr>
          <w:rFonts w:ascii="Times New Roman" w:hAnsi="Times New Roman" w:eastAsia="宋体"/>
          <w:strike w:val="0"/>
          <w:dstrike w:val="0"/>
          <w:color w:val="auto"/>
          <w:highlight w:val="none"/>
        </w:rPr>
      </w:pPr>
      <w:bookmarkStart w:id="427" w:name="_Toc5046"/>
      <w:bookmarkStart w:id="428" w:name="_Toc106663555"/>
      <w:r>
        <w:rPr>
          <w:rFonts w:hint="eastAsia" w:ascii="Times New Roman" w:hAnsi="Times New Roman" w:eastAsia="宋体"/>
          <w:strike w:val="0"/>
          <w:dstrike w:val="0"/>
          <w:color w:val="auto"/>
          <w:highlight w:val="none"/>
        </w:rPr>
        <w:t>8.3.1竣工验收管理及要求</w:t>
      </w:r>
      <w:bookmarkEnd w:id="427"/>
      <w:bookmarkEnd w:id="428"/>
    </w:p>
    <w:p w14:paraId="1DBE80F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根据《建设项目竣工环境保护验收暂行办法》，建设项目竣工后建设单位自主开展环境保护验收及相关监督管理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项目建设中应配套建设气、水、噪声或者固体废物污染防治设施，正式投入生产或使用之前自主开展环境保护验收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环境保护设施是指防治环境污染和生态破坏以及开展环境监测所需的装置、设备和工程设施等</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验收报告分为验收监测（调查）报告、验收意见和其他需要说明的事项等三项内容</w:t>
      </w:r>
      <w:r>
        <w:rPr>
          <w:rFonts w:hint="eastAsia" w:ascii="Times New Roman" w:hAnsi="Times New Roman" w:eastAsia="宋体"/>
          <w:strike w:val="0"/>
          <w:dstrike w:val="0"/>
          <w:color w:val="auto"/>
          <w:highlight w:val="none"/>
          <w:lang w:eastAsia="zh-CN"/>
        </w:rPr>
        <w:t>。</w:t>
      </w:r>
    </w:p>
    <w:p w14:paraId="020E85F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（1）建设项目竣工环境保护验收的主要依据包括：</w:t>
      </w:r>
    </w:p>
    <w:p w14:paraId="70FCB269">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①建设项目环境保护相关法律、法规、规章、标准和规范性文件；</w:t>
      </w:r>
    </w:p>
    <w:p w14:paraId="292B8AB5">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②建设项目竣工环境保护验收技术规范；</w:t>
      </w:r>
    </w:p>
    <w:p w14:paraId="230F98F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③建设项目环境影响报告书及审批部门审批决定</w:t>
      </w:r>
      <w:r>
        <w:rPr>
          <w:rFonts w:hint="eastAsia" w:ascii="Times New Roman" w:hAnsi="Times New Roman" w:eastAsia="宋体"/>
          <w:strike w:val="0"/>
          <w:dstrike w:val="0"/>
          <w:color w:val="auto"/>
          <w:highlight w:val="none"/>
          <w:lang w:eastAsia="zh-CN"/>
        </w:rPr>
        <w:t>。</w:t>
      </w:r>
    </w:p>
    <w:p w14:paraId="07E71361">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（2）验收的程序和内容</w:t>
      </w:r>
    </w:p>
    <w:p w14:paraId="54F6E03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建设项目竣工后，建设单位应当如实查验、监测、记载建设项目环境保护设施的建设和调试情况，编制验收监测（调查）报告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以排放污染物为主的建设项目，参照《建设项目竣工环境保护验收技术指南污染影响类》编制验收监测报告</w:t>
      </w:r>
      <w:r>
        <w:rPr>
          <w:rFonts w:hint="eastAsia" w:ascii="Times New Roman" w:hAnsi="Times New Roman" w:eastAsia="宋体"/>
          <w:strike w:val="0"/>
          <w:dstrike w:val="0"/>
          <w:color w:val="auto"/>
          <w:highlight w:val="none"/>
          <w:lang w:eastAsia="zh-CN"/>
        </w:rPr>
        <w:t>。</w:t>
      </w:r>
    </w:p>
    <w:p w14:paraId="046A56D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建设单位应当确保调试期间污染物排放符合国家和地方有关污染物排放标准和排污许可等相关管理规定</w:t>
      </w:r>
      <w:r>
        <w:rPr>
          <w:rFonts w:hint="eastAsia" w:ascii="Times New Roman" w:hAnsi="Times New Roman" w:eastAsia="宋体"/>
          <w:strike w:val="0"/>
          <w:dstrike w:val="0"/>
          <w:color w:val="auto"/>
          <w:highlight w:val="none"/>
          <w:lang w:eastAsia="zh-CN"/>
        </w:rPr>
        <w:t>。</w:t>
      </w:r>
    </w:p>
    <w:p w14:paraId="3508E29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环境保护设施未与主体工程同时建成的，或者应当取得排污许可证但未取得的，建设单位不得对该建设项目环境保护设施进行调试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调试期间，建设单位应当对环境保护设施运行情况和建设项目对环境的影响进行监测</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验收监测应当在确保主体工程调试工况稳定、环境保护设施运行正常的情况下进行，并如实记录监测时的实际工况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国家和地方有关污染物排放标准或者行业验收技术规范对工况和生产负荷另有规定的，按其规定执行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建设单位开展验收监测活动，可根据自身条件和能力，利用自有人员、场所和设备自行监测；也可以委托其他有能力的监测机构开展监测</w:t>
      </w:r>
      <w:r>
        <w:rPr>
          <w:rFonts w:hint="eastAsia" w:ascii="Times New Roman" w:hAnsi="Times New Roman" w:eastAsia="宋体"/>
          <w:strike w:val="0"/>
          <w:dstrike w:val="0"/>
          <w:color w:val="auto"/>
          <w:highlight w:val="none"/>
          <w:lang w:eastAsia="zh-CN"/>
        </w:rPr>
        <w:t>。</w:t>
      </w:r>
    </w:p>
    <w:p w14:paraId="0DAAEE06">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验收监测（调查）报告编制完成后，建设单位应当根据验收监测（调查）报告结论，逐一检查是否存在验收不合格的情形，提出验收意见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存在问题的，建设单位应当进行整改，整改完成后方可提出验收意见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验收意见包括工程建设基本情况、工程变动情况、环境保护设施落实情况、环境保护设施调试效果、工程建设对环境的影响、验收结论和后续要求等内容，验收结论应当明确该建设项目环境保护设施是否验收合格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建设项目配套建设的环境保护设施经验收合格后，其主体工程方可投入生产或者使用；未经验收或者验收不合格的，不得投入生产或者使用</w:t>
      </w:r>
      <w:r>
        <w:rPr>
          <w:rFonts w:hint="eastAsia" w:ascii="Times New Roman" w:hAnsi="Times New Roman" w:eastAsia="宋体"/>
          <w:strike w:val="0"/>
          <w:dstrike w:val="0"/>
          <w:color w:val="auto"/>
          <w:highlight w:val="none"/>
          <w:lang w:eastAsia="zh-CN"/>
        </w:rPr>
        <w:t>。</w:t>
      </w:r>
    </w:p>
    <w:p w14:paraId="367D5DF3">
      <w:pPr>
        <w:pStyle w:val="4"/>
        <w:rPr>
          <w:rFonts w:ascii="Times New Roman" w:hAnsi="Times New Roman" w:eastAsia="宋体"/>
          <w:strike w:val="0"/>
          <w:dstrike w:val="0"/>
          <w:color w:val="auto"/>
          <w:highlight w:val="none"/>
        </w:rPr>
      </w:pPr>
      <w:bookmarkStart w:id="429" w:name="_Toc106663556"/>
      <w:bookmarkStart w:id="430" w:name="_Toc26604"/>
      <w:r>
        <w:rPr>
          <w:rFonts w:hint="eastAsia" w:ascii="Times New Roman" w:hAnsi="Times New Roman" w:eastAsia="宋体"/>
          <w:strike w:val="0"/>
          <w:dstrike w:val="0"/>
          <w:color w:val="auto"/>
          <w:highlight w:val="none"/>
        </w:rPr>
        <w:t>8.3.2环境保护</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验收</w:t>
      </w:r>
      <w:bookmarkEnd w:id="429"/>
      <w:bookmarkEnd w:id="430"/>
    </w:p>
    <w:p w14:paraId="3F26384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根据《中华人民共和国环境保护法》规定，项目建成后，应全面检查项目对周围环境的改变及环保设施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情况</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项目试运行一段时间，达到生产正常、稳定后，由建设单位成立验收组进行自主验收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项目环保设施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竣工验收内容见表8.3-1</w:t>
      </w:r>
      <w:r>
        <w:rPr>
          <w:rFonts w:hint="eastAsia" w:ascii="Times New Roman" w:hAnsi="Times New Roman" w:eastAsia="宋体"/>
          <w:strike w:val="0"/>
          <w:dstrike w:val="0"/>
          <w:color w:val="auto"/>
          <w:highlight w:val="none"/>
          <w:lang w:eastAsia="zh-CN"/>
        </w:rPr>
        <w:t>。</w:t>
      </w:r>
    </w:p>
    <w:p w14:paraId="5FA2FD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表8.3-1本项目环保设施”三同时”验收一览表</w:t>
      </w:r>
    </w:p>
    <w:tbl>
      <w:tblPr>
        <w:tblStyle w:val="183"/>
        <w:tblW w:w="5034"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9"/>
        <w:gridCol w:w="661"/>
        <w:gridCol w:w="924"/>
        <w:gridCol w:w="3126"/>
        <w:gridCol w:w="3109"/>
      </w:tblGrid>
      <w:tr w14:paraId="0CB40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tcBorders>
              <w:tl2br w:val="nil"/>
              <w:tr2bl w:val="nil"/>
            </w:tcBorders>
            <w:vAlign w:val="center"/>
          </w:tcPr>
          <w:p w14:paraId="76FAEBC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ascii="Times New Roman" w:hAnsi="Times New Roman" w:eastAsia="宋体" w:cs="宋体"/>
                <w:strike w:val="0"/>
                <w:dstrike w:val="0"/>
                <w:color w:val="auto"/>
                <w:spacing w:val="0"/>
                <w:position w:val="0"/>
                <w:sz w:val="21"/>
                <w:szCs w:val="21"/>
                <w:highlight w:val="none"/>
              </w:rPr>
              <w:t>污染类</w:t>
            </w:r>
            <w:r>
              <w:rPr>
                <w:rFonts w:hint="eastAsia" w:ascii="Times New Roman" w:hAnsi="Times New Roman" w:eastAsia="宋体" w:cs="宋体"/>
                <w:strike w:val="0"/>
                <w:dstrike w:val="0"/>
                <w:color w:val="auto"/>
                <w:spacing w:val="0"/>
                <w:position w:val="0"/>
                <w:sz w:val="21"/>
                <w:szCs w:val="21"/>
                <w:highlight w:val="none"/>
                <w:lang w:val="en-US" w:eastAsia="zh-CN"/>
              </w:rPr>
              <w:t>别</w:t>
            </w:r>
          </w:p>
        </w:tc>
        <w:tc>
          <w:tcPr>
            <w:tcW w:w="395" w:type="pct"/>
            <w:tcBorders>
              <w:tl2br w:val="nil"/>
              <w:tr2bl w:val="nil"/>
            </w:tcBorders>
            <w:vAlign w:val="center"/>
          </w:tcPr>
          <w:p w14:paraId="2CEFF5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污染源</w:t>
            </w:r>
          </w:p>
        </w:tc>
        <w:tc>
          <w:tcPr>
            <w:tcW w:w="552" w:type="pct"/>
            <w:tcBorders>
              <w:tl2br w:val="nil"/>
              <w:tr2bl w:val="nil"/>
            </w:tcBorders>
            <w:vAlign w:val="center"/>
          </w:tcPr>
          <w:p w14:paraId="4C0559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污染物</w:t>
            </w:r>
          </w:p>
        </w:tc>
        <w:tc>
          <w:tcPr>
            <w:tcW w:w="1866" w:type="pct"/>
            <w:tcBorders>
              <w:tl2br w:val="nil"/>
              <w:tr2bl w:val="nil"/>
            </w:tcBorders>
            <w:vAlign w:val="center"/>
          </w:tcPr>
          <w:p w14:paraId="3A1DE01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环保措施</w:t>
            </w:r>
          </w:p>
        </w:tc>
        <w:tc>
          <w:tcPr>
            <w:tcW w:w="1857" w:type="pct"/>
            <w:tcBorders>
              <w:tl2br w:val="nil"/>
              <w:tr2bl w:val="nil"/>
            </w:tcBorders>
            <w:vAlign w:val="center"/>
          </w:tcPr>
          <w:p w14:paraId="0479897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验收标准</w:t>
            </w:r>
          </w:p>
        </w:tc>
      </w:tr>
      <w:tr w14:paraId="3D203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vAlign w:val="center"/>
          </w:tcPr>
          <w:p w14:paraId="0ACBA3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废气</w:t>
            </w:r>
          </w:p>
        </w:tc>
        <w:tc>
          <w:tcPr>
            <w:tcW w:w="395" w:type="pct"/>
            <w:tcBorders>
              <w:tl2br w:val="nil"/>
              <w:tr2bl w:val="nil"/>
            </w:tcBorders>
            <w:vAlign w:val="center"/>
          </w:tcPr>
          <w:p w14:paraId="02EE4A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552" w:type="pct"/>
            <w:vMerge w:val="restart"/>
            <w:tcBorders>
              <w:tl2br w:val="nil"/>
              <w:tr2bl w:val="nil"/>
            </w:tcBorders>
            <w:vAlign w:val="center"/>
          </w:tcPr>
          <w:p w14:paraId="3D663C6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14"/>
                <w:highlight w:val="none"/>
              </w:rPr>
            </w:pPr>
            <w:r>
              <w:rPr>
                <w:rFonts w:ascii="Times New Roman" w:hAnsi="Times New Roman" w:eastAsia="宋体" w:cs="宋体"/>
                <w:strike w:val="0"/>
                <w:dstrike w:val="0"/>
                <w:color w:val="auto"/>
                <w:spacing w:val="0"/>
                <w:position w:val="0"/>
                <w:sz w:val="21"/>
                <w:szCs w:val="21"/>
                <w:highlight w:val="none"/>
              </w:rPr>
              <w:t>臭气浓度、</w:t>
            </w:r>
            <w:r>
              <w:rPr>
                <w:rFonts w:ascii="Times New Roman" w:hAnsi="Times New Roman" w:eastAsia="宋体" w:cs="Times New Roman"/>
                <w:strike w:val="0"/>
                <w:dstrike w:val="0"/>
                <w:color w:val="auto"/>
                <w:spacing w:val="0"/>
                <w:position w:val="0"/>
                <w:sz w:val="21"/>
                <w:szCs w:val="21"/>
                <w:highlight w:val="none"/>
              </w:rPr>
              <w:t>H</w:t>
            </w:r>
            <w:r>
              <w:rPr>
                <w:rFonts w:ascii="Times New Roman" w:hAnsi="Times New Roman" w:eastAsia="宋体" w:cs="Times New Roman"/>
                <w:strike w:val="0"/>
                <w:dstrike w:val="0"/>
                <w:color w:val="auto"/>
                <w:spacing w:val="0"/>
                <w:position w:val="0"/>
                <w:sz w:val="21"/>
                <w:szCs w:val="14"/>
                <w:highlight w:val="none"/>
                <w:vertAlign w:val="subscript"/>
              </w:rPr>
              <w:t>2</w:t>
            </w:r>
            <w:r>
              <w:rPr>
                <w:rFonts w:ascii="Times New Roman" w:hAnsi="Times New Roman" w:eastAsia="宋体" w:cs="Times New Roman"/>
                <w:strike w:val="0"/>
                <w:dstrike w:val="0"/>
                <w:color w:val="auto"/>
                <w:spacing w:val="0"/>
                <w:position w:val="0"/>
                <w:sz w:val="21"/>
                <w:szCs w:val="21"/>
                <w:highlight w:val="none"/>
              </w:rPr>
              <w:t>S</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p>
        </w:tc>
        <w:tc>
          <w:tcPr>
            <w:tcW w:w="1866" w:type="pct"/>
            <w:tcBorders>
              <w:tl2br w:val="nil"/>
              <w:tr2bl w:val="nil"/>
            </w:tcBorders>
            <w:vAlign w:val="center"/>
          </w:tcPr>
          <w:p w14:paraId="52E6EB1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1857" w:type="pct"/>
            <w:vMerge w:val="restart"/>
            <w:tcBorders>
              <w:tl2br w:val="nil"/>
              <w:tr2bl w:val="nil"/>
            </w:tcBorders>
            <w:vAlign w:val="center"/>
          </w:tcPr>
          <w:p w14:paraId="0BC55FD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臭气浓度排放执行《畜禽养殖业污染物排放标准》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GB18596-2001</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中集约化畜禽养殖业恶臭污染物排放标准，</w:t>
            </w:r>
            <w:r>
              <w:rPr>
                <w:rFonts w:ascii="Times New Roman" w:hAnsi="Times New Roman" w:eastAsia="宋体" w:cs="Times New Roman"/>
                <w:strike w:val="0"/>
                <w:dstrike w:val="0"/>
                <w:color w:val="auto"/>
                <w:spacing w:val="0"/>
                <w:position w:val="0"/>
                <w:sz w:val="21"/>
                <w:szCs w:val="21"/>
                <w:highlight w:val="none"/>
              </w:rPr>
              <w:t>H</w:t>
            </w:r>
            <w:r>
              <w:rPr>
                <w:rFonts w:ascii="Times New Roman" w:hAnsi="Times New Roman" w:eastAsia="宋体" w:cs="Times New Roman"/>
                <w:strike w:val="0"/>
                <w:dstrike w:val="0"/>
                <w:color w:val="auto"/>
                <w:spacing w:val="0"/>
                <w:position w:val="0"/>
                <w:sz w:val="21"/>
                <w:szCs w:val="14"/>
                <w:highlight w:val="none"/>
                <w:vertAlign w:val="subscript"/>
              </w:rPr>
              <w:t>2</w:t>
            </w:r>
            <w:r>
              <w:rPr>
                <w:rFonts w:ascii="Times New Roman" w:hAnsi="Times New Roman" w:eastAsia="宋体" w:cs="Times New Roman"/>
                <w:strike w:val="0"/>
                <w:dstrike w:val="0"/>
                <w:color w:val="auto"/>
                <w:spacing w:val="0"/>
                <w:position w:val="0"/>
                <w:sz w:val="21"/>
                <w:szCs w:val="21"/>
                <w:highlight w:val="none"/>
              </w:rPr>
              <w:t>S</w:t>
            </w:r>
            <w:r>
              <w:rPr>
                <w:rFonts w:ascii="Times New Roman" w:hAnsi="Times New Roman" w:eastAsia="宋体" w:cs="宋体"/>
                <w:strike w:val="0"/>
                <w:dstrike w:val="0"/>
                <w:color w:val="auto"/>
                <w:spacing w:val="0"/>
                <w:position w:val="0"/>
                <w:sz w:val="21"/>
                <w:szCs w:val="21"/>
                <w:highlight w:val="none"/>
              </w:rPr>
              <w:t>、</w:t>
            </w:r>
            <w:r>
              <w:rPr>
                <w:rFonts w:ascii="Times New Roman" w:hAnsi="Times New Roman" w:eastAsia="宋体" w:cs="Times New Roman"/>
                <w:strike w:val="0"/>
                <w:dstrike w:val="0"/>
                <w:color w:val="auto"/>
                <w:spacing w:val="0"/>
                <w:position w:val="0"/>
                <w:sz w:val="21"/>
                <w:szCs w:val="21"/>
                <w:highlight w:val="none"/>
              </w:rPr>
              <w:t>NH</w:t>
            </w:r>
            <w:r>
              <w:rPr>
                <w:rFonts w:ascii="Times New Roman" w:hAnsi="Times New Roman" w:eastAsia="宋体" w:cs="Times New Roman"/>
                <w:strike w:val="0"/>
                <w:dstrike w:val="0"/>
                <w:color w:val="auto"/>
                <w:spacing w:val="0"/>
                <w:position w:val="0"/>
                <w:sz w:val="21"/>
                <w:szCs w:val="14"/>
                <w:highlight w:val="none"/>
                <w:vertAlign w:val="subscript"/>
              </w:rPr>
              <w:t>3</w:t>
            </w:r>
            <w:r>
              <w:rPr>
                <w:rFonts w:ascii="Times New Roman" w:hAnsi="Times New Roman" w:eastAsia="宋体" w:cs="宋体"/>
                <w:strike w:val="0"/>
                <w:dstrike w:val="0"/>
                <w:color w:val="auto"/>
                <w:spacing w:val="0"/>
                <w:position w:val="0"/>
                <w:sz w:val="21"/>
                <w:szCs w:val="21"/>
                <w:highlight w:val="none"/>
              </w:rPr>
              <w:t>厂界排放浓度执行《恶臭污染物排放标准》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GB14554-93</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中表</w:t>
            </w:r>
            <w:r>
              <w:rPr>
                <w:rFonts w:ascii="Times New Roman" w:hAnsi="Times New Roman" w:eastAsia="宋体" w:cs="Times New Roman"/>
                <w:strike w:val="0"/>
                <w:dstrike w:val="0"/>
                <w:color w:val="auto"/>
                <w:spacing w:val="0"/>
                <w:position w:val="0"/>
                <w:sz w:val="21"/>
                <w:szCs w:val="21"/>
                <w:highlight w:val="none"/>
              </w:rPr>
              <w:t>1</w:t>
            </w:r>
            <w:r>
              <w:rPr>
                <w:rFonts w:ascii="Times New Roman" w:hAnsi="Times New Roman" w:eastAsia="宋体" w:cs="宋体"/>
                <w:strike w:val="0"/>
                <w:dstrike w:val="0"/>
                <w:color w:val="auto"/>
                <w:spacing w:val="0"/>
                <w:position w:val="0"/>
                <w:sz w:val="21"/>
                <w:szCs w:val="21"/>
                <w:highlight w:val="none"/>
              </w:rPr>
              <w:t>新污染源二级标准</w:t>
            </w:r>
          </w:p>
        </w:tc>
      </w:tr>
      <w:tr w14:paraId="2D1E3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7C5AA06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395" w:type="pct"/>
            <w:tcBorders>
              <w:tl2br w:val="nil"/>
              <w:tr2bl w:val="nil"/>
            </w:tcBorders>
            <w:vAlign w:val="center"/>
          </w:tcPr>
          <w:p w14:paraId="0FB21A9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堆肥场</w:t>
            </w:r>
          </w:p>
        </w:tc>
        <w:tc>
          <w:tcPr>
            <w:tcW w:w="552" w:type="pct"/>
            <w:vMerge w:val="continue"/>
            <w:tcBorders>
              <w:tl2br w:val="nil"/>
              <w:tr2bl w:val="nil"/>
            </w:tcBorders>
            <w:vAlign w:val="center"/>
          </w:tcPr>
          <w:p w14:paraId="0F18DC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866" w:type="pct"/>
            <w:tcBorders>
              <w:tl2br w:val="nil"/>
              <w:tr2bl w:val="nil"/>
            </w:tcBorders>
            <w:vAlign w:val="center"/>
          </w:tcPr>
          <w:p w14:paraId="18FB77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在晾晒棚周边喷洒除臭剂进行处理</w:t>
            </w:r>
          </w:p>
        </w:tc>
        <w:tc>
          <w:tcPr>
            <w:tcW w:w="1857" w:type="pct"/>
            <w:vMerge w:val="continue"/>
            <w:tcBorders>
              <w:tl2br w:val="nil"/>
              <w:tr2bl w:val="nil"/>
            </w:tcBorders>
            <w:vAlign w:val="center"/>
          </w:tcPr>
          <w:p w14:paraId="015DD8B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1B4C33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vAlign w:val="center"/>
          </w:tcPr>
          <w:p w14:paraId="32914D8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废水</w:t>
            </w:r>
          </w:p>
        </w:tc>
        <w:tc>
          <w:tcPr>
            <w:tcW w:w="395" w:type="pct"/>
            <w:tcBorders>
              <w:tl2br w:val="nil"/>
              <w:tr2bl w:val="nil"/>
            </w:tcBorders>
            <w:vAlign w:val="center"/>
          </w:tcPr>
          <w:p w14:paraId="614DBB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骆驼圈舍</w:t>
            </w:r>
            <w:r>
              <w:rPr>
                <w:rFonts w:ascii="Times New Roman" w:hAnsi="Times New Roman" w:eastAsia="宋体" w:cs="宋体"/>
                <w:strike w:val="0"/>
                <w:dstrike w:val="0"/>
                <w:color w:val="auto"/>
                <w:spacing w:val="0"/>
                <w:position w:val="0"/>
                <w:sz w:val="21"/>
                <w:szCs w:val="21"/>
                <w:highlight w:val="none"/>
              </w:rPr>
              <w:t>和管理区</w:t>
            </w:r>
          </w:p>
        </w:tc>
        <w:tc>
          <w:tcPr>
            <w:tcW w:w="552" w:type="pct"/>
            <w:tcBorders>
              <w:tl2br w:val="nil"/>
              <w:tr2bl w:val="nil"/>
            </w:tcBorders>
            <w:vAlign w:val="center"/>
          </w:tcPr>
          <w:p w14:paraId="7B545A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生活污水</w:t>
            </w:r>
          </w:p>
        </w:tc>
        <w:tc>
          <w:tcPr>
            <w:tcW w:w="1866" w:type="pct"/>
            <w:vMerge w:val="restart"/>
            <w:tcBorders>
              <w:tl2br w:val="nil"/>
              <w:tr2bl w:val="nil"/>
            </w:tcBorders>
            <w:vAlign w:val="center"/>
          </w:tcPr>
          <w:p w14:paraId="7AE4B94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z w:val="21"/>
                <w:szCs w:val="24"/>
                <w:lang w:eastAsia="zh-CN"/>
              </w:rPr>
              <w:t>本项目生活污水和生产废水经黑膜池发酵处理后用于项目区周边林带施肥。</w:t>
            </w:r>
          </w:p>
        </w:tc>
        <w:tc>
          <w:tcPr>
            <w:tcW w:w="1857" w:type="pct"/>
            <w:vMerge w:val="restart"/>
            <w:tcBorders>
              <w:tl2br w:val="nil"/>
              <w:tr2bl w:val="nil"/>
            </w:tcBorders>
            <w:vAlign w:val="center"/>
          </w:tcPr>
          <w:p w14:paraId="5606643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56A84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3A6240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395" w:type="pct"/>
            <w:tcBorders>
              <w:tl2br w:val="nil"/>
              <w:tr2bl w:val="nil"/>
            </w:tcBorders>
            <w:vAlign w:val="center"/>
          </w:tcPr>
          <w:p w14:paraId="528B4F3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挤奶大厅</w:t>
            </w:r>
          </w:p>
        </w:tc>
        <w:tc>
          <w:tcPr>
            <w:tcW w:w="552" w:type="pct"/>
            <w:tcBorders>
              <w:tl2br w:val="nil"/>
              <w:tr2bl w:val="nil"/>
            </w:tcBorders>
            <w:vAlign w:val="center"/>
          </w:tcPr>
          <w:p w14:paraId="4E575BB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清洗废水</w:t>
            </w:r>
          </w:p>
        </w:tc>
        <w:tc>
          <w:tcPr>
            <w:tcW w:w="1866" w:type="pct"/>
            <w:vMerge w:val="continue"/>
            <w:tcBorders>
              <w:tl2br w:val="nil"/>
              <w:tr2bl w:val="nil"/>
            </w:tcBorders>
            <w:vAlign w:val="center"/>
          </w:tcPr>
          <w:p w14:paraId="6C6CDF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857" w:type="pct"/>
            <w:vMerge w:val="continue"/>
            <w:tcBorders>
              <w:tl2br w:val="nil"/>
              <w:tr2bl w:val="nil"/>
            </w:tcBorders>
            <w:vAlign w:val="center"/>
          </w:tcPr>
          <w:p w14:paraId="1686344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5EA7D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1C057AF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395" w:type="pct"/>
            <w:tcBorders>
              <w:tl2br w:val="nil"/>
              <w:tr2bl w:val="nil"/>
            </w:tcBorders>
            <w:vAlign w:val="center"/>
          </w:tcPr>
          <w:p w14:paraId="058333C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设备清洗</w:t>
            </w:r>
          </w:p>
        </w:tc>
        <w:tc>
          <w:tcPr>
            <w:tcW w:w="552" w:type="pct"/>
            <w:tcBorders>
              <w:tl2br w:val="nil"/>
              <w:tr2bl w:val="nil"/>
            </w:tcBorders>
            <w:vAlign w:val="center"/>
          </w:tcPr>
          <w:p w14:paraId="79EB7A7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清洗废水</w:t>
            </w:r>
          </w:p>
        </w:tc>
        <w:tc>
          <w:tcPr>
            <w:tcW w:w="1866" w:type="pct"/>
            <w:vMerge w:val="continue"/>
            <w:tcBorders>
              <w:tl2br w:val="nil"/>
              <w:tr2bl w:val="nil"/>
            </w:tcBorders>
            <w:vAlign w:val="center"/>
          </w:tcPr>
          <w:p w14:paraId="7CA22C2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c>
          <w:tcPr>
            <w:tcW w:w="1857" w:type="pct"/>
            <w:vMerge w:val="continue"/>
            <w:tcBorders>
              <w:tl2br w:val="nil"/>
              <w:tr2bl w:val="nil"/>
            </w:tcBorders>
            <w:vAlign w:val="center"/>
          </w:tcPr>
          <w:p w14:paraId="3B965E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p>
        </w:tc>
      </w:tr>
      <w:tr w14:paraId="2C71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tcBorders>
              <w:tl2br w:val="nil"/>
              <w:tr2bl w:val="nil"/>
            </w:tcBorders>
            <w:textDirection w:val="tbRlV"/>
            <w:vAlign w:val="center"/>
          </w:tcPr>
          <w:p w14:paraId="170F43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噪声</w:t>
            </w:r>
          </w:p>
        </w:tc>
        <w:tc>
          <w:tcPr>
            <w:tcW w:w="395" w:type="pct"/>
            <w:tcBorders>
              <w:tl2br w:val="nil"/>
              <w:tr2bl w:val="nil"/>
            </w:tcBorders>
            <w:vAlign w:val="center"/>
          </w:tcPr>
          <w:p w14:paraId="3380F3E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厂区</w:t>
            </w:r>
          </w:p>
        </w:tc>
        <w:tc>
          <w:tcPr>
            <w:tcW w:w="552" w:type="pct"/>
            <w:tcBorders>
              <w:tl2br w:val="nil"/>
              <w:tr2bl w:val="nil"/>
            </w:tcBorders>
            <w:vAlign w:val="center"/>
          </w:tcPr>
          <w:p w14:paraId="4DFBE5A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设备噪声</w:t>
            </w:r>
          </w:p>
        </w:tc>
        <w:tc>
          <w:tcPr>
            <w:tcW w:w="1866" w:type="pct"/>
            <w:tcBorders>
              <w:tl2br w:val="nil"/>
              <w:tr2bl w:val="nil"/>
            </w:tcBorders>
            <w:vAlign w:val="center"/>
          </w:tcPr>
          <w:p w14:paraId="46FA4F2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合理布置</w:t>
            </w:r>
            <w:r>
              <w:rPr>
                <w:rFonts w:hint="eastAsia" w:ascii="Times New Roman" w:hAnsi="Times New Roman" w:eastAsia="宋体" w:cs="宋体"/>
                <w:strike w:val="0"/>
                <w:dstrike w:val="0"/>
                <w:color w:val="auto"/>
                <w:spacing w:val="0"/>
                <w:position w:val="0"/>
                <w:sz w:val="21"/>
                <w:szCs w:val="21"/>
                <w:highlight w:val="none"/>
                <w:lang w:eastAsia="zh-CN"/>
              </w:rPr>
              <w:t>骆驼圈舍</w:t>
            </w:r>
            <w:r>
              <w:rPr>
                <w:rFonts w:ascii="Times New Roman" w:hAnsi="Times New Roman" w:eastAsia="宋体" w:cs="宋体"/>
                <w:strike w:val="0"/>
                <w:dstrike w:val="0"/>
                <w:color w:val="auto"/>
                <w:spacing w:val="0"/>
                <w:position w:val="0"/>
                <w:sz w:val="21"/>
                <w:szCs w:val="21"/>
                <w:highlight w:val="none"/>
              </w:rPr>
              <w:t>间距，选用低噪声设备、厂房隔声减振等措施后</w:t>
            </w:r>
          </w:p>
        </w:tc>
        <w:tc>
          <w:tcPr>
            <w:tcW w:w="1857" w:type="pct"/>
            <w:tcBorders>
              <w:tl2br w:val="nil"/>
              <w:tr2bl w:val="nil"/>
            </w:tcBorders>
            <w:vAlign w:val="center"/>
          </w:tcPr>
          <w:p w14:paraId="6088ECE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厂界噪声执行《工业企业厂界环境噪声排放标准》</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GB12348-2008</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中</w:t>
            </w:r>
            <w:r>
              <w:rPr>
                <w:rFonts w:ascii="Times New Roman" w:hAnsi="Times New Roman" w:eastAsia="宋体" w:cs="Times New Roman"/>
                <w:strike w:val="0"/>
                <w:dstrike w:val="0"/>
                <w:color w:val="auto"/>
                <w:spacing w:val="0"/>
                <w:position w:val="0"/>
                <w:sz w:val="21"/>
                <w:szCs w:val="21"/>
                <w:highlight w:val="none"/>
              </w:rPr>
              <w:t>2</w:t>
            </w:r>
            <w:r>
              <w:rPr>
                <w:rFonts w:ascii="Times New Roman" w:hAnsi="Times New Roman" w:eastAsia="宋体" w:cs="宋体"/>
                <w:strike w:val="0"/>
                <w:dstrike w:val="0"/>
                <w:color w:val="auto"/>
                <w:spacing w:val="0"/>
                <w:position w:val="0"/>
                <w:sz w:val="21"/>
                <w:szCs w:val="21"/>
                <w:highlight w:val="none"/>
              </w:rPr>
              <w:t>类标准限值</w:t>
            </w:r>
          </w:p>
        </w:tc>
      </w:tr>
      <w:tr w14:paraId="014B3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textDirection w:val="tbRlV"/>
            <w:vAlign w:val="center"/>
          </w:tcPr>
          <w:p w14:paraId="1CB9A51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固废</w:t>
            </w:r>
          </w:p>
        </w:tc>
        <w:tc>
          <w:tcPr>
            <w:tcW w:w="395" w:type="pct"/>
            <w:tcBorders>
              <w:tl2br w:val="nil"/>
              <w:tr2bl w:val="nil"/>
            </w:tcBorders>
            <w:vAlign w:val="center"/>
          </w:tcPr>
          <w:p w14:paraId="160D476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管理区</w:t>
            </w:r>
          </w:p>
        </w:tc>
        <w:tc>
          <w:tcPr>
            <w:tcW w:w="552" w:type="pct"/>
            <w:tcBorders>
              <w:tl2br w:val="nil"/>
              <w:tr2bl w:val="nil"/>
            </w:tcBorders>
            <w:vAlign w:val="center"/>
          </w:tcPr>
          <w:p w14:paraId="2CFDCD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生活垃圾</w:t>
            </w:r>
          </w:p>
        </w:tc>
        <w:tc>
          <w:tcPr>
            <w:tcW w:w="1866" w:type="pct"/>
            <w:tcBorders>
              <w:tl2br w:val="nil"/>
              <w:tr2bl w:val="nil"/>
            </w:tcBorders>
            <w:vAlign w:val="center"/>
          </w:tcPr>
          <w:p w14:paraId="79EF10D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生活垃圾集中收集合理处置</w:t>
            </w:r>
          </w:p>
        </w:tc>
        <w:tc>
          <w:tcPr>
            <w:tcW w:w="1857" w:type="pct"/>
            <w:tcBorders>
              <w:tl2br w:val="nil"/>
              <w:tr2bl w:val="nil"/>
            </w:tcBorders>
            <w:vAlign w:val="center"/>
          </w:tcPr>
          <w:p w14:paraId="3D286E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44D6E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49F517D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4F391AC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552" w:type="pct"/>
            <w:tcBorders>
              <w:tl2br w:val="nil"/>
              <w:tr2bl w:val="nil"/>
            </w:tcBorders>
            <w:vAlign w:val="center"/>
          </w:tcPr>
          <w:p w14:paraId="25A1FE6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eastAsia="zh-CN"/>
              </w:rPr>
              <w:t>骆驼粪便</w:t>
            </w:r>
          </w:p>
        </w:tc>
        <w:tc>
          <w:tcPr>
            <w:tcW w:w="1866" w:type="pct"/>
            <w:tcBorders>
              <w:tl2br w:val="nil"/>
              <w:tr2bl w:val="nil"/>
            </w:tcBorders>
            <w:vAlign w:val="center"/>
          </w:tcPr>
          <w:p w14:paraId="5FC36AD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strike w:val="0"/>
                <w:dstrike w:val="0"/>
                <w:color w:val="auto"/>
                <w:spacing w:val="0"/>
                <w:position w:val="0"/>
                <w:sz w:val="21"/>
                <w:szCs w:val="21"/>
                <w:highlight w:val="none"/>
                <w:lang w:val="en-US" w:eastAsia="zh-CN"/>
              </w:rPr>
            </w:pPr>
            <w:r>
              <w:rPr>
                <w:rFonts w:hint="eastAsia" w:ascii="Times New Roman" w:hAnsi="Times New Roman" w:eastAsia="宋体" w:cs="宋体"/>
                <w:strike w:val="0"/>
                <w:dstrike w:val="0"/>
                <w:color w:val="auto"/>
                <w:spacing w:val="0"/>
                <w:position w:val="0"/>
                <w:sz w:val="21"/>
                <w:szCs w:val="21"/>
                <w:highlight w:val="none"/>
                <w:lang w:val="en-US" w:eastAsia="zh-CN"/>
              </w:rPr>
              <w:t>清运至堆肥场，处理后外售</w:t>
            </w:r>
          </w:p>
        </w:tc>
        <w:tc>
          <w:tcPr>
            <w:tcW w:w="1857" w:type="pct"/>
            <w:tcBorders>
              <w:tl2br w:val="nil"/>
              <w:tr2bl w:val="nil"/>
            </w:tcBorders>
            <w:vAlign w:val="center"/>
          </w:tcPr>
          <w:p w14:paraId="7665C0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090B6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textDirection w:val="tbRlV"/>
            <w:vAlign w:val="center"/>
          </w:tcPr>
          <w:p w14:paraId="045E01F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68B1767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hint="eastAsia" w:ascii="Times New Roman" w:hAnsi="Times New Roman" w:eastAsia="宋体" w:cs="宋体"/>
                <w:strike w:val="0"/>
                <w:dstrike w:val="0"/>
                <w:color w:val="auto"/>
                <w:spacing w:val="0"/>
                <w:position w:val="0"/>
                <w:sz w:val="21"/>
                <w:szCs w:val="21"/>
                <w:highlight w:val="none"/>
                <w:lang w:eastAsia="zh-CN"/>
              </w:rPr>
              <w:t>骆驼圈舍</w:t>
            </w:r>
          </w:p>
        </w:tc>
        <w:tc>
          <w:tcPr>
            <w:tcW w:w="552" w:type="pct"/>
            <w:tcBorders>
              <w:tl2br w:val="nil"/>
              <w:tr2bl w:val="nil"/>
            </w:tcBorders>
            <w:vAlign w:val="center"/>
          </w:tcPr>
          <w:p w14:paraId="5C74BB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病死</w:t>
            </w:r>
            <w:r>
              <w:rPr>
                <w:rFonts w:hint="eastAsia" w:ascii="Times New Roman" w:hAnsi="Times New Roman" w:eastAsia="宋体" w:cs="宋体"/>
                <w:strike w:val="0"/>
                <w:dstrike w:val="0"/>
                <w:color w:val="auto"/>
                <w:spacing w:val="0"/>
                <w:position w:val="0"/>
                <w:sz w:val="21"/>
                <w:szCs w:val="21"/>
                <w:highlight w:val="none"/>
                <w:lang w:eastAsia="zh-CN"/>
              </w:rPr>
              <w:t>骆驼</w:t>
            </w:r>
          </w:p>
        </w:tc>
        <w:tc>
          <w:tcPr>
            <w:tcW w:w="1866" w:type="pct"/>
            <w:tcBorders>
              <w:tl2br w:val="nil"/>
              <w:tr2bl w:val="nil"/>
            </w:tcBorders>
            <w:vAlign w:val="center"/>
          </w:tcPr>
          <w:p w14:paraId="0A00F22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eastAsia="zh-CN"/>
              </w:rPr>
              <w:t>委托具有合法资质的无害化处理单位进行无害化处理。</w:t>
            </w:r>
          </w:p>
        </w:tc>
        <w:tc>
          <w:tcPr>
            <w:tcW w:w="1857" w:type="pct"/>
            <w:tcBorders>
              <w:tl2br w:val="nil"/>
              <w:tr2bl w:val="nil"/>
            </w:tcBorders>
            <w:vAlign w:val="center"/>
          </w:tcPr>
          <w:p w14:paraId="70D7927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eastAsia="zh-CN"/>
              </w:rPr>
            </w:pPr>
            <w:r>
              <w:rPr>
                <w:rFonts w:ascii="Times New Roman" w:hAnsi="Times New Roman" w:eastAsia="宋体" w:cs="宋体"/>
                <w:strike w:val="0"/>
                <w:dstrike w:val="0"/>
                <w:color w:val="auto"/>
                <w:spacing w:val="0"/>
                <w:position w:val="0"/>
                <w:sz w:val="21"/>
                <w:szCs w:val="21"/>
                <w:highlight w:val="none"/>
              </w:rPr>
              <w:t>按照《畜禽养殖业污染防治技术规范》</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Times New Roman"/>
                <w:strike w:val="0"/>
                <w:dstrike w:val="0"/>
                <w:color w:val="auto"/>
                <w:spacing w:val="0"/>
                <w:position w:val="0"/>
                <w:sz w:val="21"/>
                <w:szCs w:val="21"/>
                <w:highlight w:val="none"/>
              </w:rPr>
              <w:t>HJ/T81-2001</w:t>
            </w:r>
            <w:r>
              <w:rPr>
                <w:rFonts w:hint="eastAsia" w:ascii="Times New Roman" w:hAnsi="Times New Roman" w:eastAsia="宋体" w:cs="宋体"/>
                <w:strike w:val="0"/>
                <w:dstrike w:val="0"/>
                <w:color w:val="auto"/>
                <w:spacing w:val="0"/>
                <w:position w:val="0"/>
                <w:sz w:val="21"/>
                <w:szCs w:val="21"/>
                <w:highlight w:val="none"/>
                <w:lang w:eastAsia="zh-CN"/>
              </w:rPr>
              <w:t>）</w:t>
            </w:r>
            <w:r>
              <w:rPr>
                <w:rFonts w:ascii="Times New Roman" w:hAnsi="Times New Roman" w:eastAsia="宋体" w:cs="宋体"/>
                <w:strike w:val="0"/>
                <w:dstrike w:val="0"/>
                <w:color w:val="auto"/>
                <w:spacing w:val="0"/>
                <w:position w:val="0"/>
                <w:sz w:val="21"/>
                <w:szCs w:val="21"/>
                <w:highlight w:val="none"/>
              </w:rPr>
              <w:t>要求进行</w:t>
            </w:r>
            <w:r>
              <w:rPr>
                <w:rFonts w:hint="eastAsia" w:ascii="Times New Roman" w:hAnsi="Times New Roman" w:eastAsia="宋体" w:cs="宋体"/>
                <w:strike w:val="0"/>
                <w:dstrike w:val="0"/>
                <w:color w:val="auto"/>
                <w:spacing w:val="0"/>
                <w:position w:val="0"/>
                <w:sz w:val="21"/>
                <w:szCs w:val="21"/>
                <w:highlight w:val="none"/>
                <w:lang w:val="en-US" w:eastAsia="zh-CN"/>
              </w:rPr>
              <w:t>处置</w:t>
            </w:r>
          </w:p>
        </w:tc>
      </w:tr>
      <w:tr w14:paraId="4AFB0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vAlign w:val="center"/>
          </w:tcPr>
          <w:p w14:paraId="715BE2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6B589BE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生产加工区</w:t>
            </w:r>
          </w:p>
        </w:tc>
        <w:tc>
          <w:tcPr>
            <w:tcW w:w="552" w:type="pct"/>
            <w:tcBorders>
              <w:tl2br w:val="nil"/>
              <w:tr2bl w:val="nil"/>
            </w:tcBorders>
            <w:vAlign w:val="center"/>
          </w:tcPr>
          <w:p w14:paraId="6787D43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废弃包装袋</w:t>
            </w:r>
          </w:p>
        </w:tc>
        <w:tc>
          <w:tcPr>
            <w:tcW w:w="1866" w:type="pct"/>
            <w:tcBorders>
              <w:tl2br w:val="nil"/>
              <w:tr2bl w:val="nil"/>
            </w:tcBorders>
            <w:vAlign w:val="center"/>
          </w:tcPr>
          <w:p w14:paraId="636484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饲料包装袋集中收集后外售</w:t>
            </w:r>
          </w:p>
        </w:tc>
        <w:tc>
          <w:tcPr>
            <w:tcW w:w="1857" w:type="pct"/>
            <w:tcBorders>
              <w:tl2br w:val="nil"/>
              <w:tr2bl w:val="nil"/>
            </w:tcBorders>
            <w:vAlign w:val="center"/>
          </w:tcPr>
          <w:p w14:paraId="1AD0C43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合理处置</w:t>
            </w:r>
          </w:p>
        </w:tc>
      </w:tr>
      <w:tr w14:paraId="10EADF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vAlign w:val="center"/>
          </w:tcPr>
          <w:p w14:paraId="48CFEA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strike w:val="0"/>
                <w:dstrike w:val="0"/>
                <w:color w:val="auto"/>
                <w:spacing w:val="0"/>
                <w:position w:val="0"/>
                <w:sz w:val="21"/>
                <w:highlight w:val="none"/>
              </w:rPr>
            </w:pPr>
          </w:p>
        </w:tc>
        <w:tc>
          <w:tcPr>
            <w:tcW w:w="395" w:type="pct"/>
            <w:tcBorders>
              <w:tl2br w:val="nil"/>
              <w:tr2bl w:val="nil"/>
            </w:tcBorders>
            <w:vAlign w:val="center"/>
          </w:tcPr>
          <w:p w14:paraId="7F00D92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危废暂存间</w:t>
            </w:r>
          </w:p>
        </w:tc>
        <w:tc>
          <w:tcPr>
            <w:tcW w:w="552" w:type="pct"/>
            <w:tcBorders>
              <w:tl2br w:val="nil"/>
              <w:tr2bl w:val="nil"/>
            </w:tcBorders>
            <w:vAlign w:val="center"/>
          </w:tcPr>
          <w:p w14:paraId="629CBB7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医疗废物</w:t>
            </w:r>
          </w:p>
        </w:tc>
        <w:tc>
          <w:tcPr>
            <w:tcW w:w="1866" w:type="pct"/>
            <w:tcBorders>
              <w:tl2br w:val="nil"/>
              <w:tr2bl w:val="nil"/>
            </w:tcBorders>
            <w:vAlign w:val="center"/>
          </w:tcPr>
          <w:p w14:paraId="34E3456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按照《危险废物储存场所管理规范》设置医疗废物暂存间，定期</w:t>
            </w:r>
          </w:p>
          <w:p w14:paraId="288BC8D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交由有资质的单位</w:t>
            </w:r>
          </w:p>
        </w:tc>
        <w:tc>
          <w:tcPr>
            <w:tcW w:w="1857" w:type="pct"/>
            <w:tcBorders>
              <w:tl2br w:val="nil"/>
              <w:tr2bl w:val="nil"/>
            </w:tcBorders>
            <w:vAlign w:val="center"/>
          </w:tcPr>
          <w:p w14:paraId="6F36A55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按照环评要求进行</w:t>
            </w:r>
          </w:p>
        </w:tc>
      </w:tr>
      <w:tr w14:paraId="721E2A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jc w:val="center"/>
        </w:trPr>
        <w:tc>
          <w:tcPr>
            <w:tcW w:w="328" w:type="pct"/>
            <w:tcBorders>
              <w:tl2br w:val="nil"/>
              <w:tr2bl w:val="nil"/>
            </w:tcBorders>
            <w:vAlign w:val="center"/>
          </w:tcPr>
          <w:p w14:paraId="56D4B03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绿化</w:t>
            </w:r>
          </w:p>
        </w:tc>
        <w:tc>
          <w:tcPr>
            <w:tcW w:w="2814" w:type="pct"/>
            <w:gridSpan w:val="3"/>
            <w:tcBorders>
              <w:tl2br w:val="nil"/>
              <w:tr2bl w:val="nil"/>
            </w:tcBorders>
            <w:vAlign w:val="center"/>
          </w:tcPr>
          <w:p w14:paraId="555F0BF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宋体"/>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种植草坪、树木，景观造型设计等</w:t>
            </w:r>
          </w:p>
        </w:tc>
        <w:tc>
          <w:tcPr>
            <w:tcW w:w="1857" w:type="pct"/>
            <w:tcBorders>
              <w:tl2br w:val="nil"/>
              <w:tr2bl w:val="nil"/>
            </w:tcBorders>
            <w:vAlign w:val="center"/>
          </w:tcPr>
          <w:p w14:paraId="3C48739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s="Times New Roman"/>
                <w:strike w:val="0"/>
                <w:dstrike w:val="0"/>
                <w:color w:val="auto"/>
                <w:spacing w:val="0"/>
                <w:position w:val="0"/>
                <w:sz w:val="21"/>
                <w:szCs w:val="21"/>
                <w:highlight w:val="none"/>
              </w:rPr>
            </w:pPr>
            <w:r>
              <w:rPr>
                <w:rFonts w:ascii="Times New Roman" w:hAnsi="Times New Roman" w:eastAsia="宋体" w:cs="宋体"/>
                <w:strike w:val="0"/>
                <w:dstrike w:val="0"/>
                <w:color w:val="auto"/>
                <w:spacing w:val="0"/>
                <w:position w:val="0"/>
                <w:sz w:val="21"/>
                <w:szCs w:val="21"/>
                <w:highlight w:val="none"/>
              </w:rPr>
              <w:t>绿化率达</w:t>
            </w:r>
            <w:r>
              <w:rPr>
                <w:rFonts w:ascii="Times New Roman" w:hAnsi="Times New Roman" w:eastAsia="宋体" w:cs="Times New Roman"/>
                <w:strike w:val="0"/>
                <w:dstrike w:val="0"/>
                <w:color w:val="auto"/>
                <w:spacing w:val="0"/>
                <w:position w:val="0"/>
                <w:sz w:val="21"/>
                <w:szCs w:val="21"/>
                <w:highlight w:val="none"/>
              </w:rPr>
              <w:t>10%</w:t>
            </w:r>
          </w:p>
        </w:tc>
      </w:tr>
    </w:tbl>
    <w:p w14:paraId="195CA804">
      <w:pPr>
        <w:pStyle w:val="3"/>
        <w:rPr>
          <w:rFonts w:ascii="Times New Roman" w:hAnsi="Times New Roman" w:eastAsia="宋体"/>
          <w:strike w:val="0"/>
          <w:dstrike w:val="0"/>
          <w:color w:val="auto"/>
          <w:highlight w:val="none"/>
        </w:rPr>
      </w:pPr>
      <w:bookmarkStart w:id="431" w:name="_Toc19743"/>
      <w:bookmarkStart w:id="432" w:name="_Toc89619360"/>
      <w:r>
        <w:rPr>
          <w:rFonts w:hint="eastAsia" w:ascii="Times New Roman" w:hAnsi="Times New Roman" w:eastAsia="宋体"/>
          <w:strike w:val="0"/>
          <w:dstrike w:val="0"/>
          <w:color w:val="auto"/>
          <w:highlight w:val="none"/>
        </w:rPr>
        <w:t>8.4污染源排放清单</w:t>
      </w:r>
      <w:bookmarkEnd w:id="431"/>
      <w:bookmarkEnd w:id="432"/>
    </w:p>
    <w:p w14:paraId="37F9D293">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本项目运营期间污染物排放清单见表8.4-1</w:t>
      </w:r>
      <w:r>
        <w:rPr>
          <w:rFonts w:hint="eastAsia" w:ascii="Times New Roman" w:hAnsi="Times New Roman" w:eastAsia="宋体"/>
          <w:strike w:val="0"/>
          <w:dstrike w:val="0"/>
          <w:color w:val="auto"/>
          <w:highlight w:val="none"/>
          <w:lang w:eastAsia="zh-CN"/>
        </w:rPr>
        <w:t>。</w:t>
      </w:r>
    </w:p>
    <w:p w14:paraId="233BF1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b/>
          <w:bCs/>
          <w:strike w:val="0"/>
          <w:dstrike w:val="0"/>
          <w:color w:val="auto"/>
          <w:highlight w:val="none"/>
          <w:lang w:val="en-US" w:eastAsia="zh-CN"/>
        </w:rPr>
      </w:pPr>
      <w:r>
        <w:rPr>
          <w:rFonts w:hint="eastAsia" w:ascii="Times New Roman" w:hAnsi="Times New Roman" w:eastAsia="宋体"/>
          <w:b/>
          <w:bCs/>
          <w:strike w:val="0"/>
          <w:dstrike w:val="0"/>
          <w:color w:val="auto"/>
          <w:highlight w:val="none"/>
          <w:lang w:val="en-US" w:eastAsia="zh-CN"/>
        </w:rPr>
        <w:t>表8.4-1运营期污染源排放清单</w:t>
      </w:r>
    </w:p>
    <w:tbl>
      <w:tblPr>
        <w:tblStyle w:val="183"/>
        <w:tblW w:w="5031"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15"/>
        <w:gridCol w:w="954"/>
        <w:gridCol w:w="1275"/>
        <w:gridCol w:w="1491"/>
        <w:gridCol w:w="3097"/>
        <w:gridCol w:w="1132"/>
      </w:tblGrid>
      <w:tr w14:paraId="6FDC8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jc w:val="center"/>
        </w:trPr>
        <w:tc>
          <w:tcPr>
            <w:tcW w:w="818" w:type="pct"/>
            <w:gridSpan w:val="2"/>
            <w:tcBorders>
              <w:tl2br w:val="nil"/>
              <w:tr2bl w:val="nil"/>
            </w:tcBorders>
            <w:vAlign w:val="center"/>
          </w:tcPr>
          <w:p w14:paraId="24B267B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污染源</w:t>
            </w:r>
          </w:p>
        </w:tc>
        <w:tc>
          <w:tcPr>
            <w:tcW w:w="762" w:type="pct"/>
            <w:tcBorders>
              <w:tl2br w:val="nil"/>
              <w:tr2bl w:val="nil"/>
            </w:tcBorders>
            <w:vAlign w:val="center"/>
          </w:tcPr>
          <w:p w14:paraId="673D2D4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主要污染物</w:t>
            </w:r>
          </w:p>
        </w:tc>
        <w:tc>
          <w:tcPr>
            <w:tcW w:w="891" w:type="pct"/>
            <w:tcBorders>
              <w:tl2br w:val="nil"/>
              <w:tr2bl w:val="nil"/>
            </w:tcBorders>
            <w:vAlign w:val="center"/>
          </w:tcPr>
          <w:p w14:paraId="0026BF3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产生量</w:t>
            </w:r>
          </w:p>
        </w:tc>
        <w:tc>
          <w:tcPr>
            <w:tcW w:w="1851" w:type="pct"/>
            <w:tcBorders>
              <w:tl2br w:val="nil"/>
              <w:tr2bl w:val="nil"/>
            </w:tcBorders>
            <w:vAlign w:val="center"/>
          </w:tcPr>
          <w:p w14:paraId="5EDBBE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处置措施</w:t>
            </w:r>
          </w:p>
        </w:tc>
        <w:tc>
          <w:tcPr>
            <w:tcW w:w="675" w:type="pct"/>
            <w:tcBorders>
              <w:tl2br w:val="nil"/>
              <w:tr2bl w:val="nil"/>
            </w:tcBorders>
            <w:vAlign w:val="center"/>
          </w:tcPr>
          <w:p w14:paraId="4B6ACA5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排放量</w:t>
            </w:r>
          </w:p>
        </w:tc>
      </w:tr>
      <w:tr w14:paraId="10B92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restart"/>
            <w:tcBorders>
              <w:tl2br w:val="nil"/>
              <w:tr2bl w:val="nil"/>
            </w:tcBorders>
            <w:vAlign w:val="center"/>
          </w:tcPr>
          <w:p w14:paraId="2248F3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废气</w:t>
            </w:r>
          </w:p>
        </w:tc>
        <w:tc>
          <w:tcPr>
            <w:tcW w:w="570" w:type="pct"/>
            <w:vMerge w:val="restart"/>
            <w:tcBorders>
              <w:tl2br w:val="nil"/>
              <w:tr2bl w:val="nil"/>
            </w:tcBorders>
            <w:vAlign w:val="center"/>
          </w:tcPr>
          <w:p w14:paraId="4AE64FD4">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骆驼圈舍</w:t>
            </w:r>
          </w:p>
        </w:tc>
        <w:tc>
          <w:tcPr>
            <w:tcW w:w="762" w:type="pct"/>
            <w:tcBorders>
              <w:tl2br w:val="nil"/>
              <w:tr2bl w:val="nil"/>
            </w:tcBorders>
            <w:vAlign w:val="center"/>
          </w:tcPr>
          <w:p w14:paraId="6BCE9CA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14"/>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02DA995D">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943.599kg/a</w:t>
            </w:r>
          </w:p>
        </w:tc>
        <w:tc>
          <w:tcPr>
            <w:tcW w:w="1851" w:type="pct"/>
            <w:vMerge w:val="restart"/>
            <w:tcBorders>
              <w:tl2br w:val="nil"/>
              <w:tr2bl w:val="nil"/>
            </w:tcBorders>
            <w:vAlign w:val="center"/>
          </w:tcPr>
          <w:p w14:paraId="15E6454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default" w:ascii="Times New Roman" w:hAnsi="Times New Roman" w:eastAsia="宋体" w:cs="Times New Roman"/>
                <w:strike w:val="0"/>
                <w:dstrike w:val="0"/>
                <w:color w:val="auto"/>
                <w:spacing w:val="0"/>
                <w:position w:val="0"/>
                <w:sz w:val="21"/>
                <w:szCs w:val="21"/>
                <w:highlight w:val="none"/>
                <w:lang w:val="en-US" w:eastAsia="zh-CN"/>
              </w:rPr>
              <w:t>每天定时清理骆驼粪，加强驼舍通风，并科学合理调控饲粮，合理配置饲料成分，对驼舍定期喷洒除臭剂</w:t>
            </w:r>
          </w:p>
        </w:tc>
        <w:tc>
          <w:tcPr>
            <w:tcW w:w="675" w:type="pct"/>
            <w:tcBorders>
              <w:tl2br w:val="nil"/>
              <w:tr2bl w:val="nil"/>
            </w:tcBorders>
            <w:vAlign w:val="center"/>
          </w:tcPr>
          <w:p w14:paraId="2CDEF766">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141.54kg/a</w:t>
            </w:r>
          </w:p>
        </w:tc>
      </w:tr>
      <w:tr w14:paraId="57E6F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4DD7D9F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64100EA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01D808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72FF4F92">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94.36kg/a</w:t>
            </w:r>
          </w:p>
        </w:tc>
        <w:tc>
          <w:tcPr>
            <w:tcW w:w="1851" w:type="pct"/>
            <w:vMerge w:val="continue"/>
            <w:tcBorders>
              <w:tl2br w:val="nil"/>
              <w:tr2bl w:val="nil"/>
            </w:tcBorders>
            <w:vAlign w:val="center"/>
          </w:tcPr>
          <w:p w14:paraId="1619A94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3070571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rPr>
            </w:pPr>
            <w:r>
              <w:rPr>
                <w:rFonts w:hint="eastAsia" w:ascii="Times New Roman" w:hAnsi="Times New Roman" w:eastAsia="宋体" w:cs="Times New Roman"/>
                <w:strike w:val="0"/>
                <w:dstrike w:val="0"/>
                <w:color w:val="auto"/>
                <w:spacing w:val="0"/>
                <w:sz w:val="21"/>
                <w:szCs w:val="21"/>
                <w:highlight w:val="none"/>
                <w:lang w:val="en-US" w:eastAsia="zh-CN"/>
              </w:rPr>
              <w:t>14.154kg/a</w:t>
            </w:r>
          </w:p>
        </w:tc>
      </w:tr>
      <w:tr w14:paraId="588D2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1FAC80F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7EAD4F49">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堆肥场</w:t>
            </w:r>
          </w:p>
        </w:tc>
        <w:tc>
          <w:tcPr>
            <w:tcW w:w="762" w:type="pct"/>
            <w:tcBorders>
              <w:tl2br w:val="nil"/>
              <w:tr2bl w:val="nil"/>
            </w:tcBorders>
            <w:vAlign w:val="center"/>
          </w:tcPr>
          <w:p w14:paraId="0352C06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128007E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22.8347kg/a</w:t>
            </w:r>
          </w:p>
        </w:tc>
        <w:tc>
          <w:tcPr>
            <w:tcW w:w="1851" w:type="pct"/>
            <w:vMerge w:val="restart"/>
            <w:tcBorders>
              <w:tl2br w:val="nil"/>
              <w:tr2bl w:val="nil"/>
            </w:tcBorders>
            <w:vAlign w:val="center"/>
          </w:tcPr>
          <w:p w14:paraId="17585F5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cs="宋体"/>
                <w:color w:val="auto"/>
                <w:kern w:val="0"/>
                <w:sz w:val="21"/>
                <w:szCs w:val="21"/>
                <w:lang w:bidi="ar"/>
              </w:rPr>
              <w:t>喷洒除臭剂、</w:t>
            </w:r>
            <w:r>
              <w:rPr>
                <w:rFonts w:hint="eastAsia" w:ascii="Times New Roman" w:hAnsi="Times New Roman" w:eastAsia="宋体" w:cs="宋体"/>
                <w:color w:val="auto"/>
                <w:kern w:val="0"/>
                <w:sz w:val="21"/>
                <w:szCs w:val="21"/>
                <w:lang w:val="en-US" w:eastAsia="zh-CN" w:bidi="ar"/>
              </w:rPr>
              <w:t>发酵膜覆盖、</w:t>
            </w:r>
            <w:r>
              <w:rPr>
                <w:rFonts w:hint="eastAsia" w:ascii="Times New Roman" w:hAnsi="Times New Roman" w:eastAsia="宋体" w:cs="宋体"/>
                <w:color w:val="auto"/>
                <w:kern w:val="0"/>
                <w:sz w:val="21"/>
                <w:szCs w:val="21"/>
                <w:lang w:bidi="ar"/>
              </w:rPr>
              <w:t>加强绿化</w:t>
            </w:r>
          </w:p>
        </w:tc>
        <w:tc>
          <w:tcPr>
            <w:tcW w:w="675" w:type="pct"/>
            <w:tcBorders>
              <w:tl2br w:val="nil"/>
              <w:tr2bl w:val="nil"/>
            </w:tcBorders>
            <w:vAlign w:val="center"/>
          </w:tcPr>
          <w:p w14:paraId="23ADCA3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9.1350kg/a</w:t>
            </w:r>
          </w:p>
        </w:tc>
      </w:tr>
      <w:tr w14:paraId="687F6D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7A69F03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00390D0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4272AEAE">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4E17EFDA">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0.5481kg/a</w:t>
            </w:r>
          </w:p>
        </w:tc>
        <w:tc>
          <w:tcPr>
            <w:tcW w:w="1851" w:type="pct"/>
            <w:vMerge w:val="continue"/>
            <w:tcBorders>
              <w:tl2br w:val="nil"/>
              <w:tr2bl w:val="nil"/>
            </w:tcBorders>
            <w:vAlign w:val="center"/>
          </w:tcPr>
          <w:p w14:paraId="42B324D7">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675" w:type="pct"/>
            <w:tcBorders>
              <w:tl2br w:val="nil"/>
              <w:tr2bl w:val="nil"/>
            </w:tcBorders>
            <w:vAlign w:val="center"/>
          </w:tcPr>
          <w:p w14:paraId="504B738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0.2192kg/a</w:t>
            </w:r>
          </w:p>
        </w:tc>
      </w:tr>
      <w:tr w14:paraId="4C1F6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5BF03D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restart"/>
            <w:tcBorders>
              <w:tl2br w:val="nil"/>
              <w:tr2bl w:val="nil"/>
            </w:tcBorders>
            <w:vAlign w:val="center"/>
          </w:tcPr>
          <w:p w14:paraId="19225C9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strike w:val="0"/>
                <w:dstrike w:val="0"/>
                <w:color w:val="auto"/>
                <w:spacing w:val="0"/>
                <w:sz w:val="21"/>
                <w:highlight w:val="none"/>
                <w:lang w:val="en-US" w:eastAsia="zh-CN"/>
              </w:rPr>
            </w:pPr>
            <w:r>
              <w:rPr>
                <w:rFonts w:hint="eastAsia" w:ascii="Times New Roman" w:hAnsi="Times New Roman" w:eastAsia="宋体"/>
                <w:strike w:val="0"/>
                <w:dstrike w:val="0"/>
                <w:color w:val="auto"/>
                <w:spacing w:val="0"/>
                <w:sz w:val="21"/>
                <w:highlight w:val="none"/>
                <w:lang w:val="en-US" w:eastAsia="zh-CN"/>
              </w:rPr>
              <w:t>黑膜池</w:t>
            </w:r>
          </w:p>
        </w:tc>
        <w:tc>
          <w:tcPr>
            <w:tcW w:w="762" w:type="pct"/>
            <w:tcBorders>
              <w:tl2br w:val="nil"/>
              <w:tr2bl w:val="nil"/>
            </w:tcBorders>
            <w:vAlign w:val="center"/>
          </w:tcPr>
          <w:p w14:paraId="2E7C695B">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NH</w:t>
            </w:r>
            <w:r>
              <w:rPr>
                <w:rFonts w:ascii="Times New Roman" w:hAnsi="Times New Roman" w:eastAsia="宋体" w:cs="Times New Roman"/>
                <w:strike w:val="0"/>
                <w:dstrike w:val="0"/>
                <w:color w:val="auto"/>
                <w:spacing w:val="0"/>
                <w:position w:val="-1"/>
                <w:sz w:val="21"/>
                <w:szCs w:val="14"/>
                <w:highlight w:val="none"/>
                <w:vertAlign w:val="subscript"/>
              </w:rPr>
              <w:t>3</w:t>
            </w:r>
          </w:p>
        </w:tc>
        <w:tc>
          <w:tcPr>
            <w:tcW w:w="891" w:type="pct"/>
            <w:tcBorders>
              <w:tl2br w:val="nil"/>
              <w:tr2bl w:val="nil"/>
            </w:tcBorders>
            <w:vAlign w:val="center"/>
          </w:tcPr>
          <w:p w14:paraId="603F76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olor w:val="auto"/>
                <w:kern w:val="0"/>
                <w:sz w:val="21"/>
                <w:szCs w:val="21"/>
                <w:lang w:val="en-US" w:eastAsia="zh-CN" w:bidi="ar"/>
              </w:rPr>
              <w:t>4.8670</w:t>
            </w:r>
            <w:r>
              <w:rPr>
                <w:rFonts w:hint="eastAsia" w:ascii="Times New Roman" w:hAnsi="Times New Roman" w:eastAsia="宋体" w:cs="Times New Roman"/>
                <w:strike w:val="0"/>
                <w:dstrike w:val="0"/>
                <w:color w:val="auto"/>
                <w:spacing w:val="0"/>
                <w:sz w:val="21"/>
                <w:szCs w:val="21"/>
                <w:highlight w:val="none"/>
                <w:lang w:val="en-US" w:eastAsia="zh-CN"/>
              </w:rPr>
              <w:t>kg/a</w:t>
            </w:r>
          </w:p>
        </w:tc>
        <w:tc>
          <w:tcPr>
            <w:tcW w:w="1851" w:type="pct"/>
            <w:vMerge w:val="restart"/>
            <w:tcBorders>
              <w:tl2br w:val="nil"/>
              <w:tr2bl w:val="nil"/>
            </w:tcBorders>
            <w:vAlign w:val="center"/>
          </w:tcPr>
          <w:p w14:paraId="7858211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r>
              <w:rPr>
                <w:rFonts w:hint="eastAsia" w:ascii="Times New Roman" w:hAnsi="Times New Roman" w:eastAsia="宋体" w:cs="宋体"/>
                <w:color w:val="auto"/>
                <w:kern w:val="0"/>
                <w:sz w:val="21"/>
                <w:szCs w:val="21"/>
                <w:lang w:bidi="ar"/>
              </w:rPr>
              <w:t>池体覆膜密闭，喷洒除臭剂、加强绿化</w:t>
            </w:r>
          </w:p>
        </w:tc>
        <w:tc>
          <w:tcPr>
            <w:tcW w:w="1131" w:type="dxa"/>
            <w:tcBorders>
              <w:tl2br w:val="nil"/>
              <w:tr2bl w:val="nil"/>
            </w:tcBorders>
            <w:vAlign w:val="center"/>
          </w:tcPr>
          <w:p w14:paraId="45F425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bCs/>
                <w:color w:val="auto"/>
                <w:spacing w:val="-10"/>
                <w:sz w:val="21"/>
                <w:szCs w:val="21"/>
                <w:lang w:val="en-US" w:eastAsia="zh-CN"/>
              </w:rPr>
              <w:t>0.7301</w:t>
            </w:r>
            <w:r>
              <w:rPr>
                <w:rFonts w:hint="eastAsia" w:ascii="Times New Roman" w:hAnsi="Times New Roman" w:eastAsia="宋体" w:cs="Times New Roman"/>
                <w:strike w:val="0"/>
                <w:dstrike w:val="0"/>
                <w:color w:val="auto"/>
                <w:spacing w:val="0"/>
                <w:sz w:val="21"/>
                <w:szCs w:val="21"/>
                <w:highlight w:val="none"/>
                <w:lang w:val="en-US" w:eastAsia="zh-CN"/>
              </w:rPr>
              <w:t>kg/a</w:t>
            </w:r>
          </w:p>
        </w:tc>
      </w:tr>
      <w:tr w14:paraId="1CA63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jc w:val="center"/>
        </w:trPr>
        <w:tc>
          <w:tcPr>
            <w:tcW w:w="248" w:type="pct"/>
            <w:vMerge w:val="continue"/>
            <w:tcBorders>
              <w:tl2br w:val="nil"/>
              <w:tr2bl w:val="nil"/>
            </w:tcBorders>
            <w:textDirection w:val="tbRlV"/>
            <w:vAlign w:val="center"/>
          </w:tcPr>
          <w:p w14:paraId="6869FB3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vMerge w:val="continue"/>
            <w:tcBorders>
              <w:tl2br w:val="nil"/>
              <w:tr2bl w:val="nil"/>
            </w:tcBorders>
            <w:vAlign w:val="center"/>
          </w:tcPr>
          <w:p w14:paraId="23859D4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762" w:type="pct"/>
            <w:tcBorders>
              <w:tl2br w:val="nil"/>
              <w:tr2bl w:val="nil"/>
            </w:tcBorders>
            <w:vAlign w:val="center"/>
          </w:tcPr>
          <w:p w14:paraId="3BE48F80">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H</w:t>
            </w:r>
            <w:r>
              <w:rPr>
                <w:rFonts w:ascii="Times New Roman" w:hAnsi="Times New Roman" w:eastAsia="宋体" w:cs="Times New Roman"/>
                <w:strike w:val="0"/>
                <w:dstrike w:val="0"/>
                <w:color w:val="auto"/>
                <w:spacing w:val="0"/>
                <w:position w:val="-1"/>
                <w:sz w:val="21"/>
                <w:szCs w:val="14"/>
                <w:highlight w:val="none"/>
                <w:vertAlign w:val="subscript"/>
              </w:rPr>
              <w:t>2</w:t>
            </w:r>
            <w:r>
              <w:rPr>
                <w:rFonts w:ascii="Times New Roman" w:hAnsi="Times New Roman" w:eastAsia="宋体" w:cs="Times New Roman"/>
                <w:strike w:val="0"/>
                <w:dstrike w:val="0"/>
                <w:color w:val="auto"/>
                <w:spacing w:val="0"/>
                <w:sz w:val="21"/>
                <w:szCs w:val="21"/>
                <w:highlight w:val="none"/>
              </w:rPr>
              <w:t>S</w:t>
            </w:r>
          </w:p>
        </w:tc>
        <w:tc>
          <w:tcPr>
            <w:tcW w:w="891" w:type="pct"/>
            <w:tcBorders>
              <w:tl2br w:val="nil"/>
              <w:tr2bl w:val="nil"/>
            </w:tcBorders>
            <w:vAlign w:val="center"/>
          </w:tcPr>
          <w:p w14:paraId="20D623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ascii="Times New Roman" w:hAnsi="Times New Roman" w:eastAsia="宋体"/>
                <w:color w:val="auto"/>
                <w:kern w:val="0"/>
                <w:sz w:val="21"/>
                <w:szCs w:val="21"/>
                <w:lang w:bidi="ar"/>
              </w:rPr>
              <w:t>0.</w:t>
            </w:r>
            <w:r>
              <w:rPr>
                <w:rFonts w:hint="eastAsia" w:ascii="Times New Roman" w:hAnsi="Times New Roman" w:eastAsia="宋体"/>
                <w:color w:val="auto"/>
                <w:kern w:val="0"/>
                <w:sz w:val="21"/>
                <w:szCs w:val="21"/>
                <w:lang w:val="en-US" w:eastAsia="zh-CN" w:bidi="ar"/>
              </w:rPr>
              <w:t>1884</w:t>
            </w:r>
            <w:r>
              <w:rPr>
                <w:rFonts w:hint="eastAsia" w:ascii="Times New Roman" w:hAnsi="Times New Roman" w:eastAsia="宋体" w:cs="Times New Roman"/>
                <w:strike w:val="0"/>
                <w:dstrike w:val="0"/>
                <w:color w:val="auto"/>
                <w:spacing w:val="0"/>
                <w:sz w:val="21"/>
                <w:szCs w:val="21"/>
                <w:highlight w:val="none"/>
                <w:lang w:val="en-US" w:eastAsia="zh-CN"/>
              </w:rPr>
              <w:t>kg/a</w:t>
            </w:r>
          </w:p>
        </w:tc>
        <w:tc>
          <w:tcPr>
            <w:tcW w:w="1851" w:type="pct"/>
            <w:vMerge w:val="continue"/>
            <w:tcBorders>
              <w:tl2br w:val="nil"/>
              <w:tr2bl w:val="nil"/>
            </w:tcBorders>
            <w:vAlign w:val="center"/>
          </w:tcPr>
          <w:p w14:paraId="094AECF1">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ascii="Times New Roman" w:hAnsi="Times New Roman" w:eastAsia="宋体"/>
                <w:strike w:val="0"/>
                <w:dstrike w:val="0"/>
                <w:color w:val="auto"/>
                <w:spacing w:val="0"/>
                <w:sz w:val="21"/>
                <w:highlight w:val="none"/>
              </w:rPr>
            </w:pPr>
          </w:p>
        </w:tc>
        <w:tc>
          <w:tcPr>
            <w:tcW w:w="1131" w:type="dxa"/>
            <w:tcBorders>
              <w:tl2br w:val="nil"/>
              <w:tr2bl w:val="nil"/>
            </w:tcBorders>
            <w:vAlign w:val="center"/>
          </w:tcPr>
          <w:p w14:paraId="252D8B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宋体"/>
                <w:bCs/>
                <w:color w:val="auto"/>
                <w:spacing w:val="-10"/>
                <w:sz w:val="21"/>
                <w:szCs w:val="21"/>
                <w:lang w:val="en-US" w:eastAsia="zh-CN"/>
              </w:rPr>
              <w:t>0.0283</w:t>
            </w:r>
            <w:r>
              <w:rPr>
                <w:rFonts w:hint="eastAsia" w:ascii="Times New Roman" w:hAnsi="Times New Roman" w:eastAsia="宋体" w:cs="Times New Roman"/>
                <w:strike w:val="0"/>
                <w:dstrike w:val="0"/>
                <w:color w:val="auto"/>
                <w:spacing w:val="0"/>
                <w:sz w:val="21"/>
                <w:szCs w:val="21"/>
                <w:highlight w:val="none"/>
                <w:lang w:val="en-US" w:eastAsia="zh-CN"/>
              </w:rPr>
              <w:t>kg/a</w:t>
            </w:r>
          </w:p>
        </w:tc>
      </w:tr>
      <w:tr w14:paraId="7BF15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248" w:type="pct"/>
            <w:vMerge w:val="restart"/>
            <w:tcBorders>
              <w:tl2br w:val="nil"/>
              <w:tr2bl w:val="nil"/>
            </w:tcBorders>
            <w:vAlign w:val="center"/>
          </w:tcPr>
          <w:p w14:paraId="5AA2E4A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废水</w:t>
            </w:r>
          </w:p>
        </w:tc>
        <w:tc>
          <w:tcPr>
            <w:tcW w:w="570" w:type="pct"/>
            <w:tcBorders>
              <w:tl2br w:val="nil"/>
              <w:tr2bl w:val="nil"/>
            </w:tcBorders>
            <w:vAlign w:val="center"/>
          </w:tcPr>
          <w:p w14:paraId="4A7C540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33F57B5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生活污水</w:t>
            </w:r>
          </w:p>
        </w:tc>
        <w:tc>
          <w:tcPr>
            <w:tcW w:w="891" w:type="pct"/>
            <w:tcBorders>
              <w:tl2br w:val="nil"/>
              <w:tr2bl w:val="nil"/>
            </w:tcBorders>
            <w:vAlign w:val="center"/>
          </w:tcPr>
          <w:p w14:paraId="62944A1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restart"/>
            <w:tcBorders>
              <w:tl2br w:val="nil"/>
              <w:tr2bl w:val="nil"/>
            </w:tcBorders>
            <w:vAlign w:val="center"/>
          </w:tcPr>
          <w:p w14:paraId="48686B5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position w:val="0"/>
                <w:sz w:val="21"/>
                <w:szCs w:val="21"/>
                <w:highlight w:val="none"/>
                <w:lang w:val="en-US" w:eastAsia="zh-CN"/>
              </w:rPr>
              <w:t>经地下排污管道自流至舍外黑膜池，发酵处理后定期外售有机肥厂</w:t>
            </w:r>
          </w:p>
        </w:tc>
        <w:tc>
          <w:tcPr>
            <w:tcW w:w="675" w:type="pct"/>
            <w:tcBorders>
              <w:tl2br w:val="nil"/>
              <w:tr2bl w:val="nil"/>
            </w:tcBorders>
            <w:vAlign w:val="center"/>
          </w:tcPr>
          <w:p w14:paraId="7F1C9FE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1168</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56317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248" w:type="pct"/>
            <w:vMerge w:val="continue"/>
            <w:tcBorders>
              <w:tl2br w:val="nil"/>
              <w:tr2bl w:val="nil"/>
            </w:tcBorders>
            <w:vAlign w:val="center"/>
          </w:tcPr>
          <w:p w14:paraId="7166740A">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5086CB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挤奶大厅</w:t>
            </w:r>
          </w:p>
        </w:tc>
        <w:tc>
          <w:tcPr>
            <w:tcW w:w="762" w:type="pct"/>
            <w:tcBorders>
              <w:tl2br w:val="nil"/>
              <w:tr2bl w:val="nil"/>
            </w:tcBorders>
            <w:vAlign w:val="center"/>
          </w:tcPr>
          <w:p w14:paraId="10BA295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val="en-US" w:eastAsia="zh-CN"/>
              </w:rPr>
            </w:pPr>
            <w:r>
              <w:rPr>
                <w:rFonts w:hint="eastAsia" w:ascii="Times New Roman" w:hAnsi="Times New Roman" w:eastAsia="宋体" w:cs="宋体"/>
                <w:strike w:val="0"/>
                <w:dstrike w:val="0"/>
                <w:color w:val="auto"/>
                <w:spacing w:val="0"/>
                <w:sz w:val="21"/>
                <w:szCs w:val="21"/>
                <w:highlight w:val="none"/>
                <w:lang w:val="en-US" w:eastAsia="zh-CN"/>
              </w:rPr>
              <w:t>清洗废水</w:t>
            </w:r>
          </w:p>
        </w:tc>
        <w:tc>
          <w:tcPr>
            <w:tcW w:w="891" w:type="pct"/>
            <w:tcBorders>
              <w:tl2br w:val="nil"/>
              <w:tr2bl w:val="nil"/>
            </w:tcBorders>
            <w:vAlign w:val="center"/>
          </w:tcPr>
          <w:p w14:paraId="0463DE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b/>
                <w:bCs/>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2336</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c>
          <w:tcPr>
            <w:tcW w:w="1851" w:type="pct"/>
            <w:vMerge w:val="continue"/>
            <w:tcBorders>
              <w:tl2br w:val="nil"/>
              <w:tr2bl w:val="nil"/>
            </w:tcBorders>
            <w:vAlign w:val="center"/>
          </w:tcPr>
          <w:p w14:paraId="6B68E1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position w:val="0"/>
                <w:sz w:val="21"/>
                <w:szCs w:val="21"/>
                <w:highlight w:val="none"/>
                <w:lang w:val="en-US" w:eastAsia="zh-CN"/>
              </w:rPr>
            </w:pPr>
          </w:p>
        </w:tc>
        <w:tc>
          <w:tcPr>
            <w:tcW w:w="675" w:type="pct"/>
            <w:tcBorders>
              <w:tl2br w:val="nil"/>
              <w:tr2bl w:val="nil"/>
            </w:tcBorders>
            <w:vAlign w:val="center"/>
          </w:tcPr>
          <w:p w14:paraId="71275AB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2336</w:t>
            </w:r>
            <w:r>
              <w:rPr>
                <w:rFonts w:hint="eastAsia" w:ascii="Times New Roman" w:hAnsi="Times New Roman" w:eastAsia="宋体" w:cs="Times New Roman"/>
                <w:strike w:val="0"/>
                <w:dstrike w:val="0"/>
                <w:color w:val="auto"/>
                <w:spacing w:val="0"/>
                <w:sz w:val="21"/>
                <w:szCs w:val="21"/>
                <w:highlight w:val="none"/>
                <w:lang w:val="en-US" w:eastAsia="zh-CN"/>
              </w:rPr>
              <w:t>m</w:t>
            </w:r>
            <w:r>
              <w:rPr>
                <w:rFonts w:hint="eastAsia" w:ascii="Times New Roman" w:hAnsi="Times New Roman" w:eastAsia="宋体" w:cs="Times New Roman"/>
                <w:strike w:val="0"/>
                <w:dstrike w:val="0"/>
                <w:color w:val="auto"/>
                <w:spacing w:val="0"/>
                <w:sz w:val="21"/>
                <w:szCs w:val="21"/>
                <w:highlight w:val="none"/>
                <w:vertAlign w:val="superscript"/>
                <w:lang w:val="en-US" w:eastAsia="zh-CN"/>
              </w:rPr>
              <w:t>3</w:t>
            </w:r>
            <w:r>
              <w:rPr>
                <w:rFonts w:ascii="Times New Roman" w:hAnsi="Times New Roman" w:eastAsia="宋体" w:cs="Times New Roman"/>
                <w:strike w:val="0"/>
                <w:dstrike w:val="0"/>
                <w:color w:val="auto"/>
                <w:spacing w:val="0"/>
                <w:sz w:val="21"/>
                <w:szCs w:val="21"/>
                <w:highlight w:val="none"/>
              </w:rPr>
              <w:t>/a</w:t>
            </w:r>
          </w:p>
        </w:tc>
      </w:tr>
      <w:tr w14:paraId="795A4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48" w:type="pct"/>
            <w:vMerge w:val="restart"/>
            <w:tcBorders>
              <w:tl2br w:val="nil"/>
              <w:tr2bl w:val="nil"/>
            </w:tcBorders>
            <w:vAlign w:val="center"/>
          </w:tcPr>
          <w:p w14:paraId="1570872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固体废物</w:t>
            </w:r>
          </w:p>
        </w:tc>
        <w:tc>
          <w:tcPr>
            <w:tcW w:w="570" w:type="pct"/>
            <w:tcBorders>
              <w:tl2br w:val="nil"/>
              <w:tr2bl w:val="nil"/>
            </w:tcBorders>
            <w:vAlign w:val="center"/>
          </w:tcPr>
          <w:p w14:paraId="6351BC0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圈舍</w:t>
            </w:r>
          </w:p>
        </w:tc>
        <w:tc>
          <w:tcPr>
            <w:tcW w:w="762" w:type="pct"/>
            <w:tcBorders>
              <w:tl2br w:val="nil"/>
              <w:tr2bl w:val="nil"/>
            </w:tcBorders>
            <w:vAlign w:val="center"/>
          </w:tcPr>
          <w:p w14:paraId="25D6D1D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骆驼粪便</w:t>
            </w:r>
          </w:p>
        </w:tc>
        <w:tc>
          <w:tcPr>
            <w:tcW w:w="891" w:type="pct"/>
            <w:tcBorders>
              <w:tl2br w:val="nil"/>
              <w:tr2bl w:val="nil"/>
            </w:tcBorders>
            <w:vAlign w:val="center"/>
          </w:tcPr>
          <w:p w14:paraId="3EB9C59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c>
          <w:tcPr>
            <w:tcW w:w="1851" w:type="pct"/>
            <w:tcBorders>
              <w:tl2br w:val="nil"/>
              <w:tr2bl w:val="nil"/>
            </w:tcBorders>
            <w:vAlign w:val="center"/>
          </w:tcPr>
          <w:p w14:paraId="50AB13FC">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清理后外售作为有机肥使用</w:t>
            </w:r>
          </w:p>
        </w:tc>
        <w:tc>
          <w:tcPr>
            <w:tcW w:w="675" w:type="pct"/>
            <w:tcBorders>
              <w:tl2br w:val="nil"/>
              <w:tr2bl w:val="nil"/>
            </w:tcBorders>
            <w:vAlign w:val="center"/>
          </w:tcPr>
          <w:p w14:paraId="108F87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11.3274</w:t>
            </w:r>
            <w:r>
              <w:rPr>
                <w:rFonts w:ascii="Times New Roman" w:hAnsi="Times New Roman" w:eastAsia="宋体" w:cs="Times New Roman"/>
                <w:strike w:val="0"/>
                <w:dstrike w:val="0"/>
                <w:color w:val="auto"/>
                <w:spacing w:val="0"/>
                <w:sz w:val="21"/>
                <w:szCs w:val="21"/>
                <w:highlight w:val="none"/>
              </w:rPr>
              <w:t>t/d</w:t>
            </w:r>
          </w:p>
        </w:tc>
      </w:tr>
      <w:tr w14:paraId="11025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jc w:val="center"/>
        </w:trPr>
        <w:tc>
          <w:tcPr>
            <w:tcW w:w="248" w:type="pct"/>
            <w:vMerge w:val="continue"/>
            <w:tcBorders>
              <w:tl2br w:val="nil"/>
              <w:tr2bl w:val="nil"/>
            </w:tcBorders>
            <w:textDirection w:val="tbRlV"/>
            <w:vAlign w:val="center"/>
          </w:tcPr>
          <w:p w14:paraId="41500A8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334C495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养殖区</w:t>
            </w:r>
          </w:p>
        </w:tc>
        <w:tc>
          <w:tcPr>
            <w:tcW w:w="762" w:type="pct"/>
            <w:tcBorders>
              <w:tl2br w:val="nil"/>
              <w:tr2bl w:val="nil"/>
            </w:tcBorders>
            <w:vAlign w:val="center"/>
          </w:tcPr>
          <w:p w14:paraId="087944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ascii="Times New Roman" w:hAnsi="Times New Roman" w:eastAsia="宋体" w:cs="宋体"/>
                <w:strike w:val="0"/>
                <w:dstrike w:val="0"/>
                <w:color w:val="auto"/>
                <w:spacing w:val="0"/>
                <w:sz w:val="21"/>
                <w:szCs w:val="21"/>
                <w:highlight w:val="none"/>
              </w:rPr>
              <w:t>病死</w:t>
            </w:r>
            <w:r>
              <w:rPr>
                <w:rFonts w:hint="eastAsia" w:ascii="Times New Roman" w:hAnsi="Times New Roman" w:eastAsia="宋体" w:cs="宋体"/>
                <w:strike w:val="0"/>
                <w:dstrike w:val="0"/>
                <w:color w:val="auto"/>
                <w:spacing w:val="0"/>
                <w:sz w:val="21"/>
                <w:szCs w:val="21"/>
                <w:highlight w:val="none"/>
                <w:lang w:eastAsia="zh-CN"/>
              </w:rPr>
              <w:t>骆驼</w:t>
            </w:r>
          </w:p>
        </w:tc>
        <w:tc>
          <w:tcPr>
            <w:tcW w:w="891" w:type="pct"/>
            <w:tcBorders>
              <w:tl2br w:val="nil"/>
              <w:tr2bl w:val="nil"/>
            </w:tcBorders>
            <w:vAlign w:val="center"/>
          </w:tcPr>
          <w:p w14:paraId="31F7FC3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c>
          <w:tcPr>
            <w:tcW w:w="1851" w:type="pct"/>
            <w:tcBorders>
              <w:tl2br w:val="nil"/>
              <w:tr2bl w:val="nil"/>
            </w:tcBorders>
            <w:vAlign w:val="center"/>
          </w:tcPr>
          <w:p w14:paraId="6338B17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rPr>
              <w:t>委托具有合法资质的无害化处理单位进行无害化处理</w:t>
            </w:r>
          </w:p>
        </w:tc>
        <w:tc>
          <w:tcPr>
            <w:tcW w:w="675" w:type="pct"/>
            <w:tcBorders>
              <w:tl2br w:val="nil"/>
              <w:tr2bl w:val="nil"/>
            </w:tcBorders>
            <w:vAlign w:val="center"/>
          </w:tcPr>
          <w:p w14:paraId="2804DB4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default" w:ascii="Times New Roman" w:hAnsi="Times New Roman" w:eastAsia="宋体" w:cs="Times New Roman"/>
                <w:strike w:val="0"/>
                <w:dstrike w:val="0"/>
                <w:color w:val="auto"/>
                <w:spacing w:val="0"/>
                <w:sz w:val="21"/>
                <w:szCs w:val="21"/>
                <w:highlight w:val="none"/>
                <w:lang w:val="en-US" w:eastAsia="zh-CN"/>
              </w:rPr>
            </w:pPr>
            <w:r>
              <w:rPr>
                <w:rFonts w:hint="eastAsia" w:ascii="Times New Roman" w:hAnsi="Times New Roman" w:eastAsia="宋体" w:cs="Times New Roman"/>
                <w:strike w:val="0"/>
                <w:dstrike w:val="0"/>
                <w:color w:val="auto"/>
                <w:spacing w:val="0"/>
                <w:sz w:val="21"/>
                <w:szCs w:val="21"/>
                <w:highlight w:val="none"/>
                <w:lang w:val="en-US" w:eastAsia="zh-CN"/>
              </w:rPr>
              <w:t>5.5</w:t>
            </w:r>
            <w:r>
              <w:rPr>
                <w:rFonts w:ascii="Times New Roman" w:hAnsi="Times New Roman" w:eastAsia="宋体" w:cs="Times New Roman"/>
                <w:strike w:val="0"/>
                <w:dstrike w:val="0"/>
                <w:color w:val="auto"/>
                <w:spacing w:val="0"/>
                <w:sz w:val="21"/>
                <w:szCs w:val="21"/>
                <w:highlight w:val="none"/>
              </w:rPr>
              <w:t>t/a</w:t>
            </w:r>
          </w:p>
        </w:tc>
      </w:tr>
      <w:tr w14:paraId="217CA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jc w:val="center"/>
        </w:trPr>
        <w:tc>
          <w:tcPr>
            <w:tcW w:w="248" w:type="pct"/>
            <w:vMerge w:val="continue"/>
            <w:tcBorders>
              <w:tl2br w:val="nil"/>
              <w:tr2bl w:val="nil"/>
            </w:tcBorders>
            <w:textDirection w:val="tbRlV"/>
            <w:vAlign w:val="center"/>
          </w:tcPr>
          <w:p w14:paraId="74082FE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p>
        </w:tc>
        <w:tc>
          <w:tcPr>
            <w:tcW w:w="570" w:type="pct"/>
            <w:tcBorders>
              <w:tl2br w:val="nil"/>
              <w:tr2bl w:val="nil"/>
            </w:tcBorders>
            <w:vAlign w:val="center"/>
          </w:tcPr>
          <w:p w14:paraId="53C4B34F">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val="en-US" w:eastAsia="zh-CN"/>
              </w:rPr>
              <w:t>/</w:t>
            </w:r>
          </w:p>
        </w:tc>
        <w:tc>
          <w:tcPr>
            <w:tcW w:w="762" w:type="pct"/>
            <w:tcBorders>
              <w:tl2br w:val="nil"/>
              <w:tr2bl w:val="nil"/>
            </w:tcBorders>
            <w:vAlign w:val="center"/>
          </w:tcPr>
          <w:p w14:paraId="4D74483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医疗垃圾</w:t>
            </w:r>
          </w:p>
        </w:tc>
        <w:tc>
          <w:tcPr>
            <w:tcW w:w="891" w:type="pct"/>
            <w:tcBorders>
              <w:tl2br w:val="nil"/>
              <w:tr2bl w:val="nil"/>
            </w:tcBorders>
            <w:vAlign w:val="center"/>
          </w:tcPr>
          <w:p w14:paraId="30DF488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c>
          <w:tcPr>
            <w:tcW w:w="1851" w:type="pct"/>
            <w:tcBorders>
              <w:tl2br w:val="nil"/>
              <w:tr2bl w:val="nil"/>
            </w:tcBorders>
            <w:vAlign w:val="center"/>
          </w:tcPr>
          <w:p w14:paraId="3409F93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设置</w:t>
            </w:r>
            <w:r>
              <w:rPr>
                <w:rFonts w:hint="eastAsia" w:ascii="Times New Roman" w:hAnsi="Times New Roman" w:eastAsia="宋体" w:cs="宋体"/>
                <w:strike w:val="0"/>
                <w:dstrike w:val="0"/>
                <w:color w:val="auto"/>
                <w:spacing w:val="0"/>
                <w:sz w:val="21"/>
                <w:szCs w:val="21"/>
                <w:highlight w:val="none"/>
                <w:lang w:eastAsia="zh-CN"/>
              </w:rPr>
              <w:t>医疗废物暂存间</w:t>
            </w:r>
            <w:r>
              <w:rPr>
                <w:rFonts w:ascii="Times New Roman" w:hAnsi="Times New Roman" w:eastAsia="宋体" w:cs="宋体"/>
                <w:strike w:val="0"/>
                <w:dstrike w:val="0"/>
                <w:color w:val="auto"/>
                <w:spacing w:val="0"/>
                <w:sz w:val="21"/>
                <w:szCs w:val="21"/>
                <w:highlight w:val="none"/>
              </w:rPr>
              <w:t>暂存后定期交由有资质单位处置</w:t>
            </w:r>
          </w:p>
        </w:tc>
        <w:tc>
          <w:tcPr>
            <w:tcW w:w="675" w:type="pct"/>
            <w:tcBorders>
              <w:tl2br w:val="nil"/>
              <w:tr2bl w:val="nil"/>
            </w:tcBorders>
            <w:vAlign w:val="center"/>
          </w:tcPr>
          <w:p w14:paraId="4CA165A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0.03t/a</w:t>
            </w:r>
          </w:p>
        </w:tc>
      </w:tr>
      <w:tr w14:paraId="4CBD0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jc w:val="center"/>
        </w:trPr>
        <w:tc>
          <w:tcPr>
            <w:tcW w:w="248" w:type="pct"/>
            <w:vMerge w:val="continue"/>
            <w:tcBorders>
              <w:tl2br w:val="nil"/>
              <w:tr2bl w:val="nil"/>
            </w:tcBorders>
            <w:textDirection w:val="tbRlV"/>
            <w:vAlign w:val="center"/>
          </w:tcPr>
          <w:p w14:paraId="3BB5A4A8">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266AE5C0">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hint="eastAsia" w:ascii="Times New Roman" w:hAnsi="Times New Roman" w:eastAsia="宋体" w:cs="宋体"/>
                <w:strike w:val="0"/>
                <w:dstrike w:val="0"/>
                <w:color w:val="auto"/>
                <w:spacing w:val="0"/>
                <w:sz w:val="21"/>
                <w:szCs w:val="21"/>
                <w:highlight w:val="none"/>
                <w:lang w:eastAsia="zh-CN"/>
              </w:rPr>
            </w:pPr>
            <w:r>
              <w:rPr>
                <w:rFonts w:hint="eastAsia" w:ascii="Times New Roman" w:hAnsi="Times New Roman" w:eastAsia="宋体" w:cs="宋体"/>
                <w:strike w:val="0"/>
                <w:dstrike w:val="0"/>
                <w:color w:val="auto"/>
                <w:spacing w:val="0"/>
                <w:sz w:val="21"/>
                <w:szCs w:val="21"/>
                <w:highlight w:val="none"/>
                <w:lang w:eastAsia="zh-CN"/>
              </w:rPr>
              <w:t>骆驼圈舍</w:t>
            </w:r>
          </w:p>
        </w:tc>
        <w:tc>
          <w:tcPr>
            <w:tcW w:w="762" w:type="pct"/>
            <w:tcBorders>
              <w:tl2br w:val="nil"/>
              <w:tr2bl w:val="nil"/>
            </w:tcBorders>
            <w:vAlign w:val="center"/>
          </w:tcPr>
          <w:p w14:paraId="175CBD9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废包装材料</w:t>
            </w:r>
          </w:p>
        </w:tc>
        <w:tc>
          <w:tcPr>
            <w:tcW w:w="891" w:type="pct"/>
            <w:tcBorders>
              <w:tl2br w:val="nil"/>
              <w:tr2bl w:val="nil"/>
            </w:tcBorders>
            <w:vAlign w:val="center"/>
          </w:tcPr>
          <w:p w14:paraId="2533ED7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c>
          <w:tcPr>
            <w:tcW w:w="1851" w:type="pct"/>
            <w:tcBorders>
              <w:tl2br w:val="nil"/>
              <w:tr2bl w:val="nil"/>
            </w:tcBorders>
            <w:vAlign w:val="center"/>
          </w:tcPr>
          <w:p w14:paraId="60CBAEB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交由废物回收单位处置</w:t>
            </w:r>
          </w:p>
        </w:tc>
        <w:tc>
          <w:tcPr>
            <w:tcW w:w="675" w:type="pct"/>
            <w:tcBorders>
              <w:tl2br w:val="nil"/>
              <w:tr2bl w:val="nil"/>
            </w:tcBorders>
            <w:vAlign w:val="center"/>
          </w:tcPr>
          <w:p w14:paraId="5BDBE66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Times New Roman"/>
                <w:strike w:val="0"/>
                <w:dstrike w:val="0"/>
                <w:color w:val="auto"/>
                <w:spacing w:val="0"/>
                <w:sz w:val="21"/>
                <w:szCs w:val="21"/>
                <w:highlight w:val="none"/>
              </w:rPr>
              <w:t>1.2t/a</w:t>
            </w:r>
          </w:p>
        </w:tc>
      </w:tr>
      <w:tr w14:paraId="3888F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248" w:type="pct"/>
            <w:vMerge w:val="continue"/>
            <w:tcBorders>
              <w:tl2br w:val="nil"/>
              <w:tr2bl w:val="nil"/>
            </w:tcBorders>
            <w:textDirection w:val="tbRlV"/>
            <w:vAlign w:val="center"/>
          </w:tcPr>
          <w:p w14:paraId="178772D9">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strike w:val="0"/>
                <w:dstrike w:val="0"/>
                <w:color w:val="auto"/>
                <w:spacing w:val="0"/>
                <w:sz w:val="21"/>
                <w:highlight w:val="none"/>
              </w:rPr>
            </w:pPr>
          </w:p>
        </w:tc>
        <w:tc>
          <w:tcPr>
            <w:tcW w:w="570" w:type="pct"/>
            <w:tcBorders>
              <w:tl2br w:val="nil"/>
              <w:tr2bl w:val="nil"/>
            </w:tcBorders>
            <w:vAlign w:val="center"/>
          </w:tcPr>
          <w:p w14:paraId="4BBFE2D7">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生活办公区</w:t>
            </w:r>
          </w:p>
        </w:tc>
        <w:tc>
          <w:tcPr>
            <w:tcW w:w="762" w:type="pct"/>
            <w:tcBorders>
              <w:tl2br w:val="nil"/>
              <w:tr2bl w:val="nil"/>
            </w:tcBorders>
            <w:vAlign w:val="center"/>
          </w:tcPr>
          <w:p w14:paraId="7A315B96">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生活垃圾</w:t>
            </w:r>
          </w:p>
        </w:tc>
        <w:tc>
          <w:tcPr>
            <w:tcW w:w="891" w:type="pct"/>
            <w:tcBorders>
              <w:tl2br w:val="nil"/>
              <w:tr2bl w:val="nil"/>
            </w:tcBorders>
            <w:vAlign w:val="center"/>
          </w:tcPr>
          <w:p w14:paraId="66B37FE4">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c>
          <w:tcPr>
            <w:tcW w:w="1851" w:type="pct"/>
            <w:tcBorders>
              <w:tl2br w:val="nil"/>
              <w:tr2bl w:val="nil"/>
            </w:tcBorders>
            <w:vAlign w:val="center"/>
          </w:tcPr>
          <w:p w14:paraId="2734163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由环卫部门运至垃圾填埋场</w:t>
            </w:r>
          </w:p>
        </w:tc>
        <w:tc>
          <w:tcPr>
            <w:tcW w:w="675" w:type="pct"/>
            <w:tcBorders>
              <w:tl2br w:val="nil"/>
              <w:tr2bl w:val="nil"/>
            </w:tcBorders>
            <w:vAlign w:val="center"/>
          </w:tcPr>
          <w:p w14:paraId="72FD7D2D">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hint="eastAsia" w:ascii="Times New Roman" w:hAnsi="Times New Roman" w:eastAsia="宋体" w:cs="Times New Roman"/>
                <w:strike w:val="0"/>
                <w:dstrike w:val="0"/>
                <w:color w:val="auto"/>
                <w:spacing w:val="0"/>
                <w:sz w:val="21"/>
                <w:szCs w:val="21"/>
                <w:highlight w:val="none"/>
                <w:lang w:val="en-US" w:eastAsia="zh-CN"/>
              </w:rPr>
              <w:t>9.125</w:t>
            </w:r>
            <w:r>
              <w:rPr>
                <w:rFonts w:ascii="Times New Roman" w:hAnsi="Times New Roman" w:eastAsia="宋体" w:cs="Times New Roman"/>
                <w:strike w:val="0"/>
                <w:dstrike w:val="0"/>
                <w:color w:val="auto"/>
                <w:spacing w:val="0"/>
                <w:sz w:val="21"/>
                <w:szCs w:val="21"/>
                <w:highlight w:val="none"/>
              </w:rPr>
              <w:t>t/a</w:t>
            </w:r>
          </w:p>
        </w:tc>
      </w:tr>
      <w:tr w14:paraId="1802A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9" w:hRule="atLeast"/>
          <w:jc w:val="center"/>
        </w:trPr>
        <w:tc>
          <w:tcPr>
            <w:tcW w:w="248" w:type="pct"/>
            <w:tcBorders>
              <w:tl2br w:val="nil"/>
              <w:tr2bl w:val="nil"/>
            </w:tcBorders>
            <w:vAlign w:val="center"/>
          </w:tcPr>
          <w:p w14:paraId="26E1E593">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噪声</w:t>
            </w:r>
          </w:p>
        </w:tc>
        <w:tc>
          <w:tcPr>
            <w:tcW w:w="1332" w:type="pct"/>
            <w:gridSpan w:val="2"/>
            <w:tcBorders>
              <w:tl2br w:val="nil"/>
              <w:tr2bl w:val="nil"/>
            </w:tcBorders>
            <w:vAlign w:val="center"/>
          </w:tcPr>
          <w:p w14:paraId="41D39BFB">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Times New Roman"/>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工艺设备运行噪声，声级在</w:t>
            </w:r>
            <w:r>
              <w:rPr>
                <w:rFonts w:ascii="Times New Roman" w:hAnsi="Times New Roman" w:eastAsia="宋体" w:cs="Times New Roman"/>
                <w:strike w:val="0"/>
                <w:dstrike w:val="0"/>
                <w:color w:val="auto"/>
                <w:spacing w:val="0"/>
                <w:sz w:val="21"/>
                <w:szCs w:val="21"/>
                <w:highlight w:val="none"/>
              </w:rPr>
              <w:t>75~95dB</w:t>
            </w:r>
          </w:p>
          <w:p w14:paraId="08214F65">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Times New Roman"/>
                <w:strike w:val="0"/>
                <w:dstrike w:val="0"/>
                <w:color w:val="auto"/>
                <w:spacing w:val="0"/>
                <w:sz w:val="21"/>
                <w:szCs w:val="21"/>
                <w:highlight w:val="none"/>
              </w:rPr>
              <w:t>A</w:t>
            </w:r>
            <w:r>
              <w:rPr>
                <w:rFonts w:hint="eastAsia" w:ascii="Times New Roman" w:hAnsi="Times New Roman" w:eastAsia="宋体" w:cs="宋体"/>
                <w:strike w:val="0"/>
                <w:dstrike w:val="0"/>
                <w:color w:val="auto"/>
                <w:spacing w:val="0"/>
                <w:sz w:val="21"/>
                <w:szCs w:val="21"/>
                <w:highlight w:val="none"/>
                <w:lang w:eastAsia="zh-CN"/>
              </w:rPr>
              <w:t>）</w:t>
            </w:r>
            <w:r>
              <w:rPr>
                <w:rFonts w:ascii="Times New Roman" w:hAnsi="Times New Roman" w:eastAsia="宋体" w:cs="宋体"/>
                <w:strike w:val="0"/>
                <w:dstrike w:val="0"/>
                <w:color w:val="auto"/>
                <w:spacing w:val="0"/>
                <w:sz w:val="21"/>
                <w:szCs w:val="21"/>
                <w:highlight w:val="none"/>
              </w:rPr>
              <w:t>之间</w:t>
            </w:r>
          </w:p>
        </w:tc>
        <w:tc>
          <w:tcPr>
            <w:tcW w:w="3418" w:type="pct"/>
            <w:gridSpan w:val="3"/>
            <w:tcBorders>
              <w:tl2br w:val="nil"/>
              <w:tr2bl w:val="nil"/>
            </w:tcBorders>
            <w:vAlign w:val="center"/>
          </w:tcPr>
          <w:p w14:paraId="77F6CD71">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设备选用低噪声设备，在安装时采取降噪减震措施，全部</w:t>
            </w:r>
          </w:p>
          <w:p w14:paraId="51B79C3E">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安装于室内，使用时定期检修，做好设备保养，落实工作</w:t>
            </w:r>
          </w:p>
          <w:p w14:paraId="6FEC7282">
            <w:pPr>
              <w:keepNext w:val="0"/>
              <w:keepLines w:val="0"/>
              <w:pageBreakBefore w:val="0"/>
              <w:widowControl w:val="0"/>
              <w:kinsoku/>
              <w:wordWrap/>
              <w:overflowPunct/>
              <w:topLinePunct w:val="0"/>
              <w:autoSpaceDE/>
              <w:autoSpaceDN/>
              <w:bidi w:val="0"/>
              <w:adjustRightInd/>
              <w:snapToGrid/>
              <w:spacing w:line="360" w:lineRule="exact"/>
              <w:ind w:left="0" w:right="0" w:firstLine="0" w:firstLineChars="0"/>
              <w:jc w:val="center"/>
              <w:textAlignment w:val="auto"/>
              <w:rPr>
                <w:rFonts w:ascii="Times New Roman" w:hAnsi="Times New Roman" w:eastAsia="宋体" w:cs="宋体"/>
                <w:strike w:val="0"/>
                <w:dstrike w:val="0"/>
                <w:color w:val="auto"/>
                <w:spacing w:val="0"/>
                <w:sz w:val="21"/>
                <w:szCs w:val="21"/>
                <w:highlight w:val="none"/>
              </w:rPr>
            </w:pPr>
            <w:r>
              <w:rPr>
                <w:rFonts w:ascii="Times New Roman" w:hAnsi="Times New Roman" w:eastAsia="宋体" w:cs="宋体"/>
                <w:strike w:val="0"/>
                <w:dstrike w:val="0"/>
                <w:color w:val="auto"/>
                <w:spacing w:val="0"/>
                <w:sz w:val="21"/>
                <w:szCs w:val="21"/>
                <w:highlight w:val="none"/>
              </w:rPr>
              <w:t>间防噪声劳动保护和管理，完善厂区绿化建设</w:t>
            </w:r>
          </w:p>
        </w:tc>
      </w:tr>
    </w:tbl>
    <w:p w14:paraId="194DAD5A">
      <w:pPr>
        <w:ind w:firstLine="480"/>
        <w:rPr>
          <w:rFonts w:ascii="Times New Roman" w:hAnsi="Times New Roman" w:eastAsia="宋体"/>
          <w:strike w:val="0"/>
          <w:dstrike w:val="0"/>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pPr>
    </w:p>
    <w:p w14:paraId="72E5C9CA">
      <w:pPr>
        <w:pStyle w:val="2"/>
        <w:rPr>
          <w:rFonts w:ascii="Times New Roman" w:hAnsi="Times New Roman" w:eastAsia="宋体"/>
          <w:strike w:val="0"/>
          <w:dstrike w:val="0"/>
          <w:color w:val="auto"/>
          <w:highlight w:val="none"/>
        </w:rPr>
      </w:pPr>
      <w:bookmarkStart w:id="433" w:name="_Toc9779"/>
      <w:bookmarkStart w:id="434" w:name="_Toc89619361"/>
      <w:r>
        <w:rPr>
          <w:rFonts w:hint="eastAsia" w:ascii="Times New Roman" w:hAnsi="Times New Roman" w:eastAsia="宋体"/>
          <w:strike w:val="0"/>
          <w:dstrike w:val="0"/>
          <w:color w:val="auto"/>
          <w:highlight w:val="none"/>
        </w:rPr>
        <w:t>9、结论与建议</w:t>
      </w:r>
      <w:bookmarkEnd w:id="433"/>
      <w:bookmarkEnd w:id="434"/>
    </w:p>
    <w:p w14:paraId="2440E93D">
      <w:pPr>
        <w:pStyle w:val="3"/>
        <w:rPr>
          <w:rFonts w:ascii="Times New Roman" w:hAnsi="Times New Roman" w:eastAsia="宋体"/>
          <w:strike w:val="0"/>
          <w:dstrike w:val="0"/>
          <w:color w:val="auto"/>
          <w:highlight w:val="none"/>
        </w:rPr>
      </w:pPr>
      <w:bookmarkStart w:id="435" w:name="_Toc13917"/>
      <w:bookmarkStart w:id="436" w:name="_Toc89619362"/>
      <w:r>
        <w:rPr>
          <w:rFonts w:hint="eastAsia" w:ascii="Times New Roman" w:hAnsi="Times New Roman" w:eastAsia="宋体"/>
          <w:strike w:val="0"/>
          <w:dstrike w:val="0"/>
          <w:color w:val="auto"/>
          <w:highlight w:val="none"/>
        </w:rPr>
        <w:t>9.1建设项目概况</w:t>
      </w:r>
      <w:bookmarkEnd w:id="435"/>
      <w:bookmarkEnd w:id="436"/>
    </w:p>
    <w:p w14:paraId="3B3A9DA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（1）项目名称：</w:t>
      </w:r>
      <w:r>
        <w:rPr>
          <w:rFonts w:hint="eastAsia" w:ascii="Times New Roman" w:hAnsi="Times New Roman" w:eastAsia="宋体"/>
          <w:strike w:val="0"/>
          <w:dstrike w:val="0"/>
          <w:color w:val="auto"/>
          <w:highlight w:val="none"/>
          <w:lang w:eastAsia="zh-CN"/>
        </w:rPr>
        <w:t>木垒县2026年长眉驼良种繁育基地建设项目</w:t>
      </w:r>
    </w:p>
    <w:p w14:paraId="5221672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（2）建设单位：</w:t>
      </w:r>
      <w:r>
        <w:rPr>
          <w:rFonts w:hint="eastAsia" w:ascii="Times New Roman" w:hAnsi="Times New Roman" w:eastAsia="宋体"/>
          <w:strike w:val="0"/>
          <w:dstrike w:val="0"/>
          <w:color w:val="auto"/>
          <w:highlight w:val="none"/>
          <w:lang w:eastAsia="zh-CN"/>
        </w:rPr>
        <w:t>木垒县博斯坦乡人民政府</w:t>
      </w:r>
    </w:p>
    <w:p w14:paraId="2C3DB767">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（3）项目性质：新建</w:t>
      </w:r>
    </w:p>
    <w:p w14:paraId="26BB3AA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（4）建设地点：本项目位于</w:t>
      </w:r>
      <w:r>
        <w:rPr>
          <w:rFonts w:hint="eastAsia" w:ascii="Times New Roman" w:hAnsi="Times New Roman" w:eastAsia="宋体"/>
          <w:strike w:val="0"/>
          <w:dstrike w:val="0"/>
          <w:color w:val="auto"/>
          <w:highlight w:val="none"/>
          <w:lang w:eastAsia="zh-CN"/>
        </w:rPr>
        <w:t>昌吉木垒县博斯坦乡阿克卓勒村</w:t>
      </w:r>
      <w:r>
        <w:rPr>
          <w:rFonts w:hint="eastAsia" w:ascii="Times New Roman" w:hAnsi="Times New Roman" w:eastAsia="宋体"/>
          <w:strike w:val="0"/>
          <w:dstrike w:val="0"/>
          <w:color w:val="auto"/>
          <w:highlight w:val="none"/>
        </w:rPr>
        <w:t>，项目北侧和南侧为空地、西侧为农田，东侧为无名道路</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中心地理坐标：90°36′6.39</w:t>
      </w:r>
      <w:r>
        <w:rPr>
          <w:rFonts w:hint="eastAsia" w:ascii="Times New Roman" w:hAnsi="Times New Roman" w:eastAsia="宋体"/>
          <w:strike w:val="0"/>
          <w:dstrike w:val="0"/>
          <w:color w:val="auto"/>
          <w:highlight w:val="none"/>
          <w:lang w:val="en-US" w:eastAsia="zh-CN"/>
        </w:rPr>
        <w:t>5</w:t>
      </w:r>
      <w:r>
        <w:rPr>
          <w:rFonts w:hint="eastAsia" w:ascii="Times New Roman" w:hAnsi="Times New Roman" w:eastAsia="宋体"/>
          <w:strike w:val="0"/>
          <w:dstrike w:val="0"/>
          <w:color w:val="auto"/>
          <w:highlight w:val="none"/>
        </w:rPr>
        <w:t>″E，43°44′50.07</w:t>
      </w:r>
      <w:r>
        <w:rPr>
          <w:rFonts w:hint="eastAsia" w:ascii="Times New Roman" w:hAnsi="Times New Roman" w:eastAsia="宋体"/>
          <w:strike w:val="0"/>
          <w:dstrike w:val="0"/>
          <w:color w:val="auto"/>
          <w:highlight w:val="none"/>
          <w:lang w:val="en-US" w:eastAsia="zh-CN"/>
        </w:rPr>
        <w:t>4</w:t>
      </w:r>
      <w:r>
        <w:rPr>
          <w:rFonts w:hint="eastAsia" w:ascii="Times New Roman" w:hAnsi="Times New Roman" w:eastAsia="宋体"/>
          <w:strike w:val="0"/>
          <w:dstrike w:val="0"/>
          <w:color w:val="auto"/>
          <w:highlight w:val="none"/>
        </w:rPr>
        <w:t>″N</w:t>
      </w:r>
      <w:r>
        <w:rPr>
          <w:rFonts w:hint="eastAsia" w:ascii="Times New Roman" w:hAnsi="Times New Roman" w:eastAsia="宋体"/>
          <w:strike w:val="0"/>
          <w:dstrike w:val="0"/>
          <w:color w:val="auto"/>
          <w:highlight w:val="none"/>
          <w:lang w:eastAsia="zh-CN"/>
        </w:rPr>
        <w:t>。</w:t>
      </w:r>
    </w:p>
    <w:p w14:paraId="28C071C2">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（5）项目投资：项目总投资</w:t>
      </w:r>
      <w:r>
        <w:rPr>
          <w:rFonts w:hint="eastAsia" w:ascii="Times New Roman" w:hAnsi="Times New Roman" w:eastAsia="宋体"/>
          <w:strike w:val="0"/>
          <w:dstrike w:val="0"/>
          <w:color w:val="auto"/>
          <w:highlight w:val="none"/>
          <w:lang w:val="en-US" w:eastAsia="zh-CN"/>
        </w:rPr>
        <w:t>1500</w:t>
      </w:r>
      <w:r>
        <w:rPr>
          <w:rFonts w:hint="eastAsia" w:ascii="Times New Roman" w:hAnsi="Times New Roman" w:eastAsia="宋体"/>
          <w:strike w:val="0"/>
          <w:dstrike w:val="0"/>
          <w:color w:val="auto"/>
          <w:highlight w:val="none"/>
          <w:lang w:eastAsia="zh-CN"/>
        </w:rPr>
        <w:t>万</w:t>
      </w:r>
      <w:r>
        <w:rPr>
          <w:rFonts w:hint="eastAsia" w:ascii="Times New Roman" w:hAnsi="Times New Roman" w:eastAsia="宋体"/>
          <w:strike w:val="0"/>
          <w:dstrike w:val="0"/>
          <w:color w:val="auto"/>
          <w:highlight w:val="none"/>
        </w:rPr>
        <w:t>元</w:t>
      </w:r>
      <w:r>
        <w:rPr>
          <w:rFonts w:hint="eastAsia" w:ascii="Times New Roman" w:hAnsi="Times New Roman" w:eastAsia="宋体"/>
          <w:strike w:val="0"/>
          <w:dstrike w:val="0"/>
          <w:color w:val="auto"/>
          <w:highlight w:val="none"/>
          <w:lang w:eastAsia="zh-CN"/>
        </w:rPr>
        <w:t>。</w:t>
      </w:r>
    </w:p>
    <w:p w14:paraId="61679FB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（6）占地面积：本项目总占地面积为</w:t>
      </w:r>
      <w:r>
        <w:rPr>
          <w:rFonts w:hint="eastAsia" w:ascii="Times New Roman" w:hAnsi="Times New Roman" w:eastAsia="宋体"/>
          <w:strike w:val="0"/>
          <w:dstrike w:val="0"/>
          <w:color w:val="auto"/>
          <w:highlight w:val="none"/>
          <w:lang w:val="en-US" w:eastAsia="zh-CN"/>
        </w:rPr>
        <w:t>134870</w:t>
      </w:r>
      <w:r>
        <w:rPr>
          <w:rFonts w:hint="eastAsia" w:ascii="Times New Roman" w:hAnsi="Times New Roman" w:eastAsia="宋体"/>
          <w:strike w:val="0"/>
          <w:dstrike w:val="0"/>
          <w:color w:val="auto"/>
          <w:highlight w:val="none"/>
        </w:rPr>
        <w:t>m</w:t>
      </w:r>
      <w:r>
        <w:rPr>
          <w:rFonts w:hint="eastAsia" w:ascii="Times New Roman" w:hAnsi="Times New Roman" w:eastAsia="宋体"/>
          <w:strike w:val="0"/>
          <w:dstrike w:val="0"/>
          <w:color w:val="auto"/>
          <w:highlight w:val="none"/>
          <w:vertAlign w:val="superscript"/>
        </w:rPr>
        <w:t>2</w:t>
      </w:r>
      <w:r>
        <w:rPr>
          <w:rFonts w:hint="eastAsia" w:ascii="Times New Roman" w:hAnsi="Times New Roman" w:eastAsia="宋体"/>
          <w:strike w:val="0"/>
          <w:dstrike w:val="0"/>
          <w:color w:val="auto"/>
          <w:highlight w:val="none"/>
          <w:lang w:eastAsia="zh-CN"/>
        </w:rPr>
        <w:t>。</w:t>
      </w:r>
    </w:p>
    <w:p w14:paraId="7C597BA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（7）生产规模：饲养规模达到</w:t>
      </w:r>
      <w:r>
        <w:rPr>
          <w:rFonts w:hint="eastAsia" w:ascii="Times New Roman" w:hAnsi="Times New Roman" w:eastAsia="宋体"/>
          <w:strike w:val="0"/>
          <w:dstrike w:val="0"/>
          <w:color w:val="auto"/>
          <w:highlight w:val="none"/>
          <w:lang w:val="en-US" w:eastAsia="zh-CN"/>
        </w:rPr>
        <w:t>1015头</w:t>
      </w:r>
      <w:r>
        <w:rPr>
          <w:rFonts w:hint="eastAsia" w:ascii="Times New Roman" w:hAnsi="Times New Roman" w:eastAsia="宋体"/>
          <w:strike w:val="0"/>
          <w:dstrike w:val="0"/>
          <w:color w:val="auto"/>
          <w:highlight w:val="none"/>
          <w:lang w:eastAsia="zh-CN"/>
        </w:rPr>
        <w:t>。</w:t>
      </w:r>
    </w:p>
    <w:p w14:paraId="551E1C0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（8）劳动定员：本项目建成投产后，劳动定员为</w:t>
      </w:r>
      <w:r>
        <w:rPr>
          <w:rFonts w:hint="eastAsia" w:ascii="Times New Roman" w:hAnsi="Times New Roman" w:eastAsia="宋体"/>
          <w:strike w:val="0"/>
          <w:dstrike w:val="0"/>
          <w:color w:val="auto"/>
          <w:highlight w:val="none"/>
          <w:lang w:val="en-US" w:eastAsia="zh-CN"/>
        </w:rPr>
        <w:t>50</w:t>
      </w:r>
      <w:r>
        <w:rPr>
          <w:rFonts w:hint="eastAsia" w:ascii="Times New Roman" w:hAnsi="Times New Roman" w:eastAsia="宋体"/>
          <w:strike w:val="0"/>
          <w:dstrike w:val="0"/>
          <w:color w:val="auto"/>
          <w:highlight w:val="none"/>
        </w:rPr>
        <w:t>人，年生产</w:t>
      </w:r>
      <w:r>
        <w:rPr>
          <w:rFonts w:hint="eastAsia" w:ascii="Times New Roman" w:hAnsi="Times New Roman" w:eastAsia="宋体"/>
          <w:strike w:val="0"/>
          <w:dstrike w:val="0"/>
          <w:color w:val="auto"/>
          <w:highlight w:val="none"/>
          <w:lang w:val="en-US" w:eastAsia="zh-CN"/>
        </w:rPr>
        <w:t>365</w:t>
      </w:r>
      <w:r>
        <w:rPr>
          <w:rFonts w:hint="eastAsia" w:ascii="Times New Roman" w:hAnsi="Times New Roman" w:eastAsia="宋体"/>
          <w:strike w:val="0"/>
          <w:dstrike w:val="0"/>
          <w:color w:val="auto"/>
          <w:highlight w:val="none"/>
        </w:rPr>
        <w:t>天</w:t>
      </w:r>
      <w:r>
        <w:rPr>
          <w:rFonts w:hint="eastAsia" w:ascii="Times New Roman" w:hAnsi="Times New Roman" w:eastAsia="宋体"/>
          <w:strike w:val="0"/>
          <w:dstrike w:val="0"/>
          <w:color w:val="auto"/>
          <w:highlight w:val="none"/>
          <w:lang w:eastAsia="zh-CN"/>
        </w:rPr>
        <w:t>。</w:t>
      </w:r>
    </w:p>
    <w:p w14:paraId="691159A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（9）项目实施规划：计划202</w:t>
      </w:r>
      <w:r>
        <w:rPr>
          <w:rFonts w:hint="eastAsia" w:ascii="Times New Roman" w:hAnsi="Times New Roman" w:eastAsia="宋体"/>
          <w:strike w:val="0"/>
          <w:dstrike w:val="0"/>
          <w:color w:val="auto"/>
          <w:highlight w:val="none"/>
          <w:lang w:val="en-US" w:eastAsia="zh-CN"/>
        </w:rPr>
        <w:t>7</w:t>
      </w:r>
      <w:r>
        <w:rPr>
          <w:rFonts w:hint="eastAsia" w:ascii="Times New Roman" w:hAnsi="Times New Roman" w:eastAsia="宋体"/>
          <w:strike w:val="0"/>
          <w:dstrike w:val="0"/>
          <w:color w:val="auto"/>
          <w:highlight w:val="none"/>
        </w:rPr>
        <w:t>年</w:t>
      </w:r>
      <w:r>
        <w:rPr>
          <w:rFonts w:hint="eastAsia" w:ascii="Times New Roman" w:hAnsi="Times New Roman" w:eastAsia="宋体"/>
          <w:strike w:val="0"/>
          <w:dstrike w:val="0"/>
          <w:color w:val="auto"/>
          <w:highlight w:val="none"/>
          <w:lang w:val="en-US" w:eastAsia="zh-CN"/>
        </w:rPr>
        <w:t>9</w:t>
      </w:r>
      <w:r>
        <w:rPr>
          <w:rFonts w:hint="eastAsia" w:ascii="Times New Roman" w:hAnsi="Times New Roman" w:eastAsia="宋体"/>
          <w:strike w:val="0"/>
          <w:dstrike w:val="0"/>
          <w:color w:val="auto"/>
          <w:highlight w:val="none"/>
        </w:rPr>
        <w:t>月建成投产</w:t>
      </w:r>
      <w:r>
        <w:rPr>
          <w:rFonts w:hint="eastAsia" w:ascii="Times New Roman" w:hAnsi="Times New Roman" w:eastAsia="宋体"/>
          <w:strike w:val="0"/>
          <w:dstrike w:val="0"/>
          <w:color w:val="auto"/>
          <w:highlight w:val="none"/>
          <w:lang w:eastAsia="zh-CN"/>
        </w:rPr>
        <w:t>。</w:t>
      </w:r>
    </w:p>
    <w:p w14:paraId="67EECD9C">
      <w:pPr>
        <w:pStyle w:val="3"/>
        <w:rPr>
          <w:rFonts w:ascii="Times New Roman" w:hAnsi="Times New Roman" w:eastAsia="宋体"/>
          <w:strike w:val="0"/>
          <w:dstrike w:val="0"/>
          <w:color w:val="auto"/>
          <w:highlight w:val="none"/>
        </w:rPr>
      </w:pPr>
      <w:bookmarkStart w:id="437" w:name="_Toc89619363"/>
      <w:bookmarkStart w:id="438" w:name="_Toc21346"/>
      <w:r>
        <w:rPr>
          <w:rFonts w:hint="eastAsia" w:ascii="Times New Roman" w:hAnsi="Times New Roman" w:eastAsia="宋体"/>
          <w:strike w:val="0"/>
          <w:dstrike w:val="0"/>
          <w:color w:val="auto"/>
          <w:highlight w:val="none"/>
        </w:rPr>
        <w:t>9.2产业政策及相关规划符合性结论</w:t>
      </w:r>
      <w:bookmarkEnd w:id="437"/>
      <w:bookmarkEnd w:id="438"/>
    </w:p>
    <w:p w14:paraId="67968DC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本项目为标准化规模</w:t>
      </w:r>
      <w:r>
        <w:rPr>
          <w:rFonts w:hint="eastAsia" w:ascii="Times New Roman" w:hAnsi="Times New Roman" w:eastAsia="宋体"/>
          <w:strike w:val="0"/>
          <w:dstrike w:val="0"/>
          <w:color w:val="auto"/>
          <w:highlight w:val="none"/>
          <w:lang w:val="en-US" w:eastAsia="zh-CN"/>
        </w:rPr>
        <w:t>骆驼养殖</w:t>
      </w:r>
      <w:r>
        <w:rPr>
          <w:rFonts w:hint="eastAsia" w:ascii="Times New Roman" w:hAnsi="Times New Roman" w:eastAsia="宋体"/>
          <w:strike w:val="0"/>
          <w:dstrike w:val="0"/>
          <w:color w:val="auto"/>
          <w:highlight w:val="none"/>
        </w:rPr>
        <w:t>项目，属于《</w:t>
      </w:r>
      <w:r>
        <w:rPr>
          <w:rFonts w:hint="eastAsia" w:ascii="Times New Roman" w:hAnsi="Times New Roman" w:eastAsia="宋体"/>
          <w:strike w:val="0"/>
          <w:dstrike w:val="0"/>
          <w:color w:val="auto"/>
          <w:highlight w:val="none"/>
          <w:lang w:eastAsia="zh-CN"/>
        </w:rPr>
        <w:t>产业结构调整指导目录（2024年本）</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第一类鼓励类</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一、农林业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中的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4、畜禽标准化规模养殖技术开发与应用</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，符合国家产业政策</w:t>
      </w:r>
      <w:r>
        <w:rPr>
          <w:rFonts w:hint="eastAsia" w:ascii="Times New Roman" w:hAnsi="Times New Roman" w:eastAsia="宋体"/>
          <w:strike w:val="0"/>
          <w:dstrike w:val="0"/>
          <w:color w:val="auto"/>
          <w:highlight w:val="none"/>
          <w:lang w:eastAsia="zh-CN"/>
        </w:rPr>
        <w:t>。</w:t>
      </w:r>
    </w:p>
    <w:p w14:paraId="17B2DB8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项目的建设符合《新疆维吾尔自治区国民经济和社会发展第十五个五年规划纲要》、《新疆维吾尔自治区畜牧业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十四五</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发展规划》等相关要求，选址符合《畜禽规模养殖污染防治条例》（国务院令第643号）、《畜禽养殖业污染防治技术规范》（HJ/T81-2001）、《畜禽养殖业污染防治技术政策》（环发</w:t>
      </w:r>
      <w:r>
        <w:rPr>
          <w:rFonts w:hint="eastAsia" w:ascii="Times New Roman" w:hAnsi="Times New Roman" w:eastAsia="宋体"/>
          <w:strike w:val="0"/>
          <w:dstrike w:val="0"/>
          <w:color w:val="auto"/>
          <w:highlight w:val="none"/>
          <w:lang w:eastAsia="zh-CN"/>
        </w:rPr>
        <w:t>〔2010〕151号</w:t>
      </w:r>
      <w:r>
        <w:rPr>
          <w:rFonts w:hint="eastAsia" w:ascii="Times New Roman" w:hAnsi="Times New Roman" w:eastAsia="宋体"/>
          <w:strike w:val="0"/>
          <w:dstrike w:val="0"/>
          <w:color w:val="auto"/>
          <w:highlight w:val="none"/>
        </w:rPr>
        <w:t>）等相关要求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项目的建设地点不涉及国家法规、标准规范限定的禁建区，不在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划定的禁养区内</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因此，本项目建设可行</w:t>
      </w:r>
      <w:r>
        <w:rPr>
          <w:rFonts w:hint="eastAsia" w:ascii="Times New Roman" w:hAnsi="Times New Roman" w:eastAsia="宋体"/>
          <w:strike w:val="0"/>
          <w:dstrike w:val="0"/>
          <w:color w:val="auto"/>
          <w:highlight w:val="none"/>
          <w:lang w:eastAsia="zh-CN"/>
        </w:rPr>
        <w:t>。</w:t>
      </w:r>
    </w:p>
    <w:p w14:paraId="7572039E">
      <w:pPr>
        <w:ind w:firstLine="480"/>
        <w:rPr>
          <w:rFonts w:ascii="Times New Roman" w:hAnsi="Times New Roman" w:eastAsia="宋体"/>
          <w:strike w:val="0"/>
          <w:dstrike w:val="0"/>
          <w:color w:val="auto"/>
          <w:highlight w:val="none"/>
        </w:rPr>
      </w:pPr>
    </w:p>
    <w:p w14:paraId="5E45F32B">
      <w:pPr>
        <w:pStyle w:val="3"/>
        <w:rPr>
          <w:rFonts w:ascii="Times New Roman" w:hAnsi="Times New Roman" w:eastAsia="宋体"/>
          <w:strike w:val="0"/>
          <w:dstrike w:val="0"/>
          <w:color w:val="auto"/>
          <w:highlight w:val="none"/>
        </w:rPr>
      </w:pPr>
      <w:bookmarkStart w:id="439" w:name="_Toc29881"/>
      <w:bookmarkStart w:id="440" w:name="_Toc89619364"/>
      <w:r>
        <w:rPr>
          <w:rFonts w:hint="eastAsia" w:ascii="Times New Roman" w:hAnsi="Times New Roman" w:eastAsia="宋体"/>
          <w:strike w:val="0"/>
          <w:dstrike w:val="0"/>
          <w:color w:val="auto"/>
          <w:highlight w:val="none"/>
        </w:rPr>
        <w:t>9.3环境质量现状评价结论</w:t>
      </w:r>
      <w:bookmarkEnd w:id="439"/>
      <w:bookmarkEnd w:id="440"/>
    </w:p>
    <w:p w14:paraId="13C5DE5F">
      <w:pPr>
        <w:pStyle w:val="4"/>
        <w:rPr>
          <w:rFonts w:ascii="Times New Roman" w:hAnsi="Times New Roman" w:eastAsia="宋体"/>
          <w:strike w:val="0"/>
          <w:dstrike w:val="0"/>
          <w:color w:val="auto"/>
          <w:highlight w:val="none"/>
        </w:rPr>
      </w:pPr>
      <w:bookmarkStart w:id="441" w:name="_Toc17587"/>
      <w:bookmarkStart w:id="442" w:name="_Toc106663562"/>
      <w:r>
        <w:rPr>
          <w:rFonts w:hint="eastAsia" w:ascii="Times New Roman" w:hAnsi="Times New Roman" w:eastAsia="宋体"/>
          <w:strike w:val="0"/>
          <w:dstrike w:val="0"/>
          <w:color w:val="auto"/>
          <w:highlight w:val="none"/>
        </w:rPr>
        <w:t>9.3.1大气环境质量现状评价结论</w:t>
      </w:r>
      <w:bookmarkEnd w:id="441"/>
      <w:bookmarkEnd w:id="442"/>
    </w:p>
    <w:p w14:paraId="517EBF5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根据项目所在区域环境空气统计数据，项目所在区域PM</w:t>
      </w:r>
      <w:r>
        <w:rPr>
          <w:rFonts w:hint="eastAsia" w:ascii="Times New Roman" w:hAnsi="Times New Roman" w:eastAsia="宋体"/>
          <w:strike w:val="0"/>
          <w:dstrike w:val="0"/>
          <w:color w:val="auto"/>
          <w:highlight w:val="none"/>
          <w:vertAlign w:val="subscript"/>
          <w:lang w:val="en-US" w:eastAsia="zh-CN"/>
        </w:rPr>
        <w:t>10</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PM</w:t>
      </w:r>
      <w:r>
        <w:rPr>
          <w:rFonts w:ascii="Times New Roman" w:hAnsi="Times New Roman" w:eastAsia="宋体"/>
          <w:strike w:val="0"/>
          <w:dstrike w:val="0"/>
          <w:color w:val="auto"/>
          <w:highlight w:val="none"/>
          <w:vertAlign w:val="subscript"/>
        </w:rPr>
        <w:t>2.5</w:t>
      </w:r>
      <w:r>
        <w:rPr>
          <w:rFonts w:ascii="Times New Roman" w:hAnsi="Times New Roman" w:eastAsia="宋体"/>
          <w:strike w:val="0"/>
          <w:dstrike w:val="0"/>
          <w:color w:val="auto"/>
          <w:highlight w:val="none"/>
        </w:rPr>
        <w:t>年平均浓度均超过《环境空气质量标准》（GB3095-20</w:t>
      </w:r>
      <w:r>
        <w:rPr>
          <w:rFonts w:hint="eastAsia" w:ascii="Times New Roman" w:hAnsi="Times New Roman" w:eastAsia="宋体"/>
          <w:strike w:val="0"/>
          <w:dstrike w:val="0"/>
          <w:color w:val="auto"/>
          <w:highlight w:val="none"/>
          <w:lang w:val="en-US" w:eastAsia="zh-CN"/>
        </w:rPr>
        <w:t>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二级标准要求；O</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最大8小时平均浓度及NO</w:t>
      </w:r>
      <w:r>
        <w:rPr>
          <w:rFonts w:ascii="Times New Roman" w:hAnsi="Times New Roman" w:eastAsia="宋体"/>
          <w:strike w:val="0"/>
          <w:dstrike w:val="0"/>
          <w:color w:val="auto"/>
          <w:highlight w:val="none"/>
          <w:vertAlign w:val="subscript"/>
        </w:rPr>
        <w:t>2</w:t>
      </w:r>
      <w:r>
        <w:rPr>
          <w:rFonts w:hint="eastAsia" w:ascii="Times New Roman" w:hAnsi="Times New Roman" w:eastAsia="宋体"/>
          <w:strike w:val="0"/>
          <w:dstrike w:val="0"/>
          <w:color w:val="auto"/>
          <w:highlight w:val="none"/>
          <w:vertAlign w:val="baseline"/>
          <w:lang w:val="en-US" w:eastAsia="zh-CN"/>
        </w:rPr>
        <w:t>、</w:t>
      </w:r>
      <w:r>
        <w:rPr>
          <w:rFonts w:ascii="Times New Roman" w:hAnsi="Times New Roman" w:eastAsia="宋体"/>
          <w:strike w:val="0"/>
          <w:dstrike w:val="0"/>
          <w:color w:val="auto"/>
          <w:highlight w:val="none"/>
        </w:rPr>
        <w:t>CO、SO</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的日、年均浓度均满足</w:t>
      </w:r>
      <w:r>
        <w:rPr>
          <w:rFonts w:hint="eastAsia" w:ascii="Times New Roman" w:hAnsi="Times New Roman" w:eastAsia="宋体"/>
          <w:strike w:val="0"/>
          <w:dstrike w:val="0"/>
          <w:color w:val="auto"/>
          <w:highlight w:val="none"/>
          <w:lang w:eastAsia="zh-CN"/>
        </w:rPr>
        <w:t>《环境空气质量标准》（GB3095-2026）</w:t>
      </w:r>
      <w:r>
        <w:rPr>
          <w:rFonts w:ascii="Times New Roman" w:hAnsi="Times New Roman" w:eastAsia="宋体"/>
          <w:strike w:val="0"/>
          <w:dstrike w:val="0"/>
          <w:color w:val="auto"/>
          <w:highlight w:val="none"/>
        </w:rPr>
        <w:t>的</w:t>
      </w:r>
      <w:r>
        <w:rPr>
          <w:rFonts w:hint="eastAsia" w:ascii="Times New Roman" w:hAnsi="Times New Roman" w:eastAsia="宋体"/>
          <w:strike w:val="0"/>
          <w:dstrike w:val="0"/>
          <w:color w:val="auto"/>
          <w:highlight w:val="none"/>
          <w:lang w:val="en-US" w:eastAsia="zh-CN"/>
        </w:rPr>
        <w:t>过渡阶段浓度限值</w:t>
      </w:r>
      <w:r>
        <w:rPr>
          <w:rFonts w:ascii="Times New Roman" w:hAnsi="Times New Roman" w:eastAsia="宋体"/>
          <w:strike w:val="0"/>
          <w:dstrike w:val="0"/>
          <w:color w:val="auto"/>
          <w:highlight w:val="none"/>
        </w:rPr>
        <w:t>二级标准要求，本项目所在区域为</w:t>
      </w:r>
      <w:r>
        <w:rPr>
          <w:rFonts w:hint="eastAsia" w:ascii="Times New Roman" w:hAnsi="Times New Roman" w:eastAsia="宋体"/>
          <w:strike w:val="0"/>
          <w:dstrike w:val="0"/>
          <w:color w:val="auto"/>
          <w:highlight w:val="none"/>
        </w:rPr>
        <w:t>不</w:t>
      </w:r>
      <w:r>
        <w:rPr>
          <w:rFonts w:ascii="Times New Roman" w:hAnsi="Times New Roman" w:eastAsia="宋体"/>
          <w:strike w:val="0"/>
          <w:dstrike w:val="0"/>
          <w:color w:val="auto"/>
          <w:highlight w:val="none"/>
        </w:rPr>
        <w:t>达标区域</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特征污染物</w:t>
      </w:r>
      <w:r>
        <w:rPr>
          <w:rFonts w:hint="eastAsia" w:ascii="Times New Roman" w:hAnsi="Times New Roman" w:eastAsia="宋体"/>
          <w:strike w:val="0"/>
          <w:dstrike w:val="0"/>
          <w:color w:val="auto"/>
          <w:highlight w:val="none"/>
          <w:lang w:val="en-US" w:eastAsia="zh-CN"/>
        </w:rPr>
        <w:t>TSP</w:t>
      </w:r>
      <w:r>
        <w:rPr>
          <w:rFonts w:hint="eastAsia" w:ascii="Times New Roman" w:hAnsi="Times New Roman" w:eastAsia="宋体"/>
          <w:strike w:val="0"/>
          <w:dstrike w:val="0"/>
          <w:color w:val="auto"/>
          <w:highlight w:val="none"/>
          <w:lang w:val="en-US" w:eastAsia="zh-CN"/>
        </w:rPr>
        <w:t>满足</w:t>
      </w:r>
      <w:r>
        <w:rPr>
          <w:rFonts w:hint="eastAsia" w:ascii="Times New Roman" w:hAnsi="Times New Roman" w:eastAsia="宋体"/>
          <w:strike w:val="0"/>
          <w:dstrike w:val="0"/>
          <w:color w:val="auto"/>
          <w:highlight w:val="none"/>
        </w:rPr>
        <w:t>《环境空气质量标准》（GB3095-20</w:t>
      </w:r>
      <w:r>
        <w:rPr>
          <w:rFonts w:hint="eastAsia" w:ascii="Times New Roman" w:hAnsi="Times New Roman" w:eastAsia="宋体"/>
          <w:strike w:val="0"/>
          <w:dstrike w:val="0"/>
          <w:color w:val="auto"/>
          <w:highlight w:val="none"/>
          <w:lang w:val="en-US" w:eastAsia="zh-CN"/>
        </w:rPr>
        <w:t>26</w:t>
      </w:r>
      <w:r>
        <w:rPr>
          <w:rFonts w:hint="eastAsia" w:ascii="Times New Roman" w:hAnsi="Times New Roman" w:eastAsia="宋体"/>
          <w:strike w:val="0"/>
          <w:dstrike w:val="0"/>
          <w:color w:val="auto"/>
          <w:highlight w:val="none"/>
        </w:rPr>
        <w:t>）中</w:t>
      </w:r>
      <w:r>
        <w:rPr>
          <w:rFonts w:hint="eastAsia" w:ascii="Times New Roman" w:hAnsi="Times New Roman" w:eastAsia="宋体"/>
          <w:strike w:val="0"/>
          <w:dstrike w:val="0"/>
          <w:color w:val="auto"/>
          <w:highlight w:val="none"/>
          <w:lang w:val="en-US" w:eastAsia="zh-CN"/>
        </w:rPr>
        <w:t>表2环境空气污染物其他项目浓度限值二级标准</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在监测时段内浓度值满足《环境影响评价技术导则大气环境》（HJ2.2-2018）附录D中的标准值，</w:t>
      </w:r>
      <w:r>
        <w:rPr>
          <w:rFonts w:hint="eastAsia" w:ascii="Times New Roman" w:hAnsi="Times New Roman" w:eastAsia="宋体"/>
          <w:strike w:val="0"/>
          <w:dstrike w:val="0"/>
          <w:color w:val="auto"/>
          <w:highlight w:val="none"/>
          <w:lang w:val="en-US" w:eastAsia="zh-CN"/>
        </w:rPr>
        <w:t>NH</w:t>
      </w:r>
      <w:r>
        <w:rPr>
          <w:rFonts w:hint="eastAsia" w:ascii="Times New Roman" w:hAnsi="Times New Roman" w:eastAsia="宋体"/>
          <w:strike w:val="0"/>
          <w:dstrike w:val="0"/>
          <w:color w:val="auto"/>
          <w:highlight w:val="none"/>
          <w:vertAlign w:val="subscript"/>
          <w:lang w:val="en-US" w:eastAsia="zh-CN"/>
        </w:rPr>
        <w:t>3</w:t>
      </w:r>
      <w:r>
        <w:rPr>
          <w:rFonts w:hint="eastAsia" w:ascii="Times New Roman" w:hAnsi="Times New Roman" w:eastAsia="宋体"/>
          <w:strike w:val="0"/>
          <w:dstrike w:val="0"/>
          <w:color w:val="auto"/>
          <w:highlight w:val="none"/>
          <w:vertAlign w:val="baseline"/>
          <w:lang w:val="en-US" w:eastAsia="zh-CN"/>
        </w:rPr>
        <w:t>和硫化氢</w:t>
      </w:r>
      <w:r>
        <w:rPr>
          <w:rFonts w:hint="eastAsia" w:ascii="Times New Roman" w:hAnsi="Times New Roman" w:eastAsia="宋体"/>
          <w:strike w:val="0"/>
          <w:dstrike w:val="0"/>
          <w:color w:val="auto"/>
          <w:highlight w:val="none"/>
        </w:rPr>
        <w:t>在监测时段内达标，区域内硫化氢和氨空气质量现状良好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lang w:val="en-US" w:eastAsia="zh-CN"/>
        </w:rPr>
        <w:t>臭气浓度满足《恶臭污染物排放标准》（GB 14554-93）二级标准限值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项目所在区域</w:t>
      </w:r>
      <w:r>
        <w:rPr>
          <w:rFonts w:hint="eastAsia" w:ascii="Times New Roman" w:hAnsi="Times New Roman" w:eastAsia="宋体"/>
          <w:strike w:val="0"/>
          <w:dstrike w:val="0"/>
          <w:color w:val="auto"/>
          <w:highlight w:val="none"/>
          <w:lang w:val="en-US" w:eastAsia="zh-CN"/>
        </w:rPr>
        <w:t>大气环境</w:t>
      </w:r>
      <w:r>
        <w:rPr>
          <w:rFonts w:hint="eastAsia" w:ascii="Times New Roman" w:hAnsi="Times New Roman" w:eastAsia="宋体"/>
          <w:strike w:val="0"/>
          <w:dstrike w:val="0"/>
          <w:color w:val="auto"/>
          <w:highlight w:val="none"/>
        </w:rPr>
        <w:t>质量现状</w:t>
      </w:r>
      <w:r>
        <w:rPr>
          <w:rFonts w:hint="eastAsia" w:ascii="Times New Roman" w:hAnsi="Times New Roman" w:eastAsia="宋体"/>
          <w:strike w:val="0"/>
          <w:dstrike w:val="0"/>
          <w:color w:val="auto"/>
          <w:highlight w:val="none"/>
          <w:lang w:val="en-US" w:eastAsia="zh-CN"/>
        </w:rPr>
        <w:t>一般</w:t>
      </w:r>
      <w:r>
        <w:rPr>
          <w:rFonts w:hint="eastAsia" w:ascii="Times New Roman" w:hAnsi="Times New Roman" w:eastAsia="宋体"/>
          <w:strike w:val="0"/>
          <w:dstrike w:val="0"/>
          <w:color w:val="auto"/>
          <w:highlight w:val="none"/>
          <w:lang w:eastAsia="zh-CN"/>
        </w:rPr>
        <w:t>。</w:t>
      </w:r>
    </w:p>
    <w:p w14:paraId="0F29F419">
      <w:pPr>
        <w:pStyle w:val="4"/>
        <w:rPr>
          <w:rFonts w:ascii="Times New Roman" w:hAnsi="Times New Roman" w:eastAsia="宋体"/>
          <w:strike w:val="0"/>
          <w:dstrike w:val="0"/>
          <w:color w:val="auto"/>
          <w:highlight w:val="none"/>
        </w:rPr>
      </w:pPr>
      <w:bookmarkStart w:id="443" w:name="_Toc8501"/>
      <w:bookmarkStart w:id="444" w:name="_Toc106663563"/>
      <w:r>
        <w:rPr>
          <w:rFonts w:hint="eastAsia" w:ascii="Times New Roman" w:hAnsi="Times New Roman" w:eastAsia="宋体"/>
          <w:strike w:val="0"/>
          <w:dstrike w:val="0"/>
          <w:color w:val="auto"/>
          <w:highlight w:val="none"/>
        </w:rPr>
        <w:t>9.3.2地下水环境质量现状评价结论</w:t>
      </w:r>
      <w:bookmarkEnd w:id="443"/>
      <w:bookmarkEnd w:id="444"/>
    </w:p>
    <w:p w14:paraId="375BBA47">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由监测结果可知，地下水监测点中水质指标均符合《地下水质量标准》（GB/T14848-2017）Ⅲ类标准，项目所在区域周边地下水质量现状</w:t>
      </w:r>
      <w:r>
        <w:rPr>
          <w:rFonts w:hint="eastAsia" w:ascii="Times New Roman" w:hAnsi="Times New Roman" w:eastAsia="宋体"/>
          <w:strike w:val="0"/>
          <w:dstrike w:val="0"/>
          <w:color w:val="auto"/>
          <w:highlight w:val="none"/>
          <w:lang w:val="en-US" w:eastAsia="zh-CN"/>
        </w:rPr>
        <w:t>良好</w:t>
      </w:r>
      <w:r>
        <w:rPr>
          <w:rFonts w:hint="eastAsia" w:ascii="Times New Roman" w:hAnsi="Times New Roman" w:eastAsia="宋体"/>
          <w:strike w:val="0"/>
          <w:dstrike w:val="0"/>
          <w:color w:val="auto"/>
          <w:highlight w:val="none"/>
          <w:lang w:eastAsia="zh-CN"/>
        </w:rPr>
        <w:t>。</w:t>
      </w:r>
    </w:p>
    <w:p w14:paraId="11C59F55">
      <w:pPr>
        <w:pStyle w:val="4"/>
        <w:rPr>
          <w:rFonts w:ascii="Times New Roman" w:hAnsi="Times New Roman" w:eastAsia="宋体"/>
          <w:strike w:val="0"/>
          <w:dstrike w:val="0"/>
          <w:color w:val="auto"/>
          <w:highlight w:val="none"/>
        </w:rPr>
      </w:pPr>
      <w:bookmarkStart w:id="445" w:name="_Toc106663564"/>
      <w:bookmarkStart w:id="446" w:name="_Toc11530"/>
      <w:r>
        <w:rPr>
          <w:rFonts w:hint="eastAsia" w:ascii="Times New Roman" w:hAnsi="Times New Roman" w:eastAsia="宋体"/>
          <w:strike w:val="0"/>
          <w:dstrike w:val="0"/>
          <w:color w:val="auto"/>
          <w:highlight w:val="none"/>
        </w:rPr>
        <w:t>9.3.3声环境质量现状评价结论</w:t>
      </w:r>
      <w:bookmarkEnd w:id="445"/>
      <w:bookmarkEnd w:id="446"/>
    </w:p>
    <w:p w14:paraId="20BC334F">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项目建设地点声环境质量良好，各监测点昼夜间噪声均符合《声环境质量标准》（GB3096-2008）</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2类声环境功能区噪声限值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要求</w:t>
      </w:r>
      <w:r>
        <w:rPr>
          <w:rFonts w:hint="eastAsia" w:ascii="Times New Roman" w:hAnsi="Times New Roman" w:eastAsia="宋体"/>
          <w:strike w:val="0"/>
          <w:dstrike w:val="0"/>
          <w:color w:val="auto"/>
          <w:highlight w:val="none"/>
          <w:lang w:eastAsia="zh-CN"/>
        </w:rPr>
        <w:t>。</w:t>
      </w:r>
    </w:p>
    <w:p w14:paraId="6C8226E1">
      <w:pPr>
        <w:pStyle w:val="4"/>
        <w:rPr>
          <w:rFonts w:ascii="Times New Roman" w:hAnsi="Times New Roman" w:eastAsia="宋体"/>
          <w:strike w:val="0"/>
          <w:dstrike w:val="0"/>
          <w:color w:val="auto"/>
          <w:highlight w:val="none"/>
        </w:rPr>
      </w:pPr>
      <w:bookmarkStart w:id="447" w:name="_Toc106663565"/>
      <w:bookmarkStart w:id="448" w:name="_Toc20844"/>
      <w:r>
        <w:rPr>
          <w:rFonts w:hint="eastAsia" w:ascii="Times New Roman" w:hAnsi="Times New Roman" w:eastAsia="宋体"/>
          <w:strike w:val="0"/>
          <w:dstrike w:val="0"/>
          <w:color w:val="auto"/>
          <w:highlight w:val="none"/>
        </w:rPr>
        <w:t>9.3.4土壤环境质量现状评价结论</w:t>
      </w:r>
      <w:bookmarkEnd w:id="447"/>
      <w:bookmarkEnd w:id="448"/>
    </w:p>
    <w:p w14:paraId="05AB8B44">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监测结果显示，本项目监测区内土壤环境质量满足</w:t>
      </w:r>
      <w:r>
        <w:rPr>
          <w:rFonts w:hint="eastAsia" w:ascii="Times New Roman" w:hAnsi="Times New Roman" w:eastAsia="宋体"/>
          <w:strike w:val="0"/>
          <w:dstrike w:val="0"/>
          <w:color w:val="auto"/>
          <w:highlight w:val="none"/>
          <w:lang w:eastAsia="zh-CN"/>
        </w:rPr>
        <w:t>《土壤环境质量农用地土壤污染风险管控标准（试行）》</w:t>
      </w:r>
      <w:r>
        <w:rPr>
          <w:rFonts w:hint="eastAsia" w:ascii="Times New Roman" w:hAnsi="Times New Roman" w:eastAsia="宋体"/>
          <w:strike w:val="0"/>
          <w:dstrike w:val="0"/>
          <w:color w:val="auto"/>
          <w:highlight w:val="none"/>
        </w:rPr>
        <w:t>（GB15618-2018）中农用地风险筛选值</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项目建设地点</w:t>
      </w:r>
      <w:r>
        <w:rPr>
          <w:rFonts w:hint="eastAsia" w:ascii="Times New Roman" w:hAnsi="Times New Roman" w:eastAsia="宋体"/>
          <w:strike w:val="0"/>
          <w:dstrike w:val="0"/>
          <w:color w:val="auto"/>
          <w:highlight w:val="none"/>
          <w:lang w:val="en-US" w:eastAsia="zh-CN"/>
        </w:rPr>
        <w:t>土壤</w:t>
      </w:r>
      <w:r>
        <w:rPr>
          <w:rFonts w:hint="eastAsia" w:ascii="Times New Roman" w:hAnsi="Times New Roman" w:eastAsia="宋体"/>
          <w:strike w:val="0"/>
          <w:dstrike w:val="0"/>
          <w:color w:val="auto"/>
          <w:highlight w:val="none"/>
        </w:rPr>
        <w:t>环境质量良好</w:t>
      </w:r>
      <w:r>
        <w:rPr>
          <w:rFonts w:hint="eastAsia" w:ascii="Times New Roman" w:hAnsi="Times New Roman" w:eastAsia="宋体"/>
          <w:strike w:val="0"/>
          <w:dstrike w:val="0"/>
          <w:color w:val="auto"/>
          <w:highlight w:val="none"/>
          <w:lang w:eastAsia="zh-CN"/>
        </w:rPr>
        <w:t>。</w:t>
      </w:r>
    </w:p>
    <w:p w14:paraId="7078E4AD">
      <w:pPr>
        <w:pStyle w:val="3"/>
        <w:rPr>
          <w:rFonts w:ascii="Times New Roman" w:hAnsi="Times New Roman" w:eastAsia="宋体"/>
          <w:strike w:val="0"/>
          <w:dstrike w:val="0"/>
          <w:color w:val="auto"/>
          <w:highlight w:val="none"/>
        </w:rPr>
      </w:pPr>
      <w:bookmarkStart w:id="449" w:name="_Toc89619365"/>
      <w:bookmarkStart w:id="450" w:name="_Toc18642"/>
      <w:r>
        <w:rPr>
          <w:rFonts w:hint="eastAsia" w:ascii="Times New Roman" w:hAnsi="Times New Roman" w:eastAsia="宋体"/>
          <w:strike w:val="0"/>
          <w:dstrike w:val="0"/>
          <w:color w:val="auto"/>
          <w:highlight w:val="none"/>
        </w:rPr>
        <w:t>9.4环境影响评价结论</w:t>
      </w:r>
      <w:bookmarkEnd w:id="449"/>
      <w:bookmarkEnd w:id="450"/>
    </w:p>
    <w:p w14:paraId="6266AC26">
      <w:pPr>
        <w:pStyle w:val="4"/>
        <w:rPr>
          <w:rFonts w:ascii="Times New Roman" w:hAnsi="Times New Roman" w:eastAsia="宋体"/>
          <w:strike w:val="0"/>
          <w:dstrike w:val="0"/>
          <w:color w:val="auto"/>
          <w:highlight w:val="none"/>
        </w:rPr>
      </w:pPr>
      <w:bookmarkStart w:id="451" w:name="_Toc106663567"/>
      <w:bookmarkStart w:id="452" w:name="_Toc16492"/>
      <w:r>
        <w:rPr>
          <w:rFonts w:hint="eastAsia" w:ascii="Times New Roman" w:hAnsi="Times New Roman" w:eastAsia="宋体"/>
          <w:strike w:val="0"/>
          <w:dstrike w:val="0"/>
          <w:color w:val="auto"/>
          <w:highlight w:val="none"/>
        </w:rPr>
        <w:t>9.4.1大气环境影响评价结论</w:t>
      </w:r>
      <w:bookmarkEnd w:id="451"/>
      <w:bookmarkEnd w:id="452"/>
    </w:p>
    <w:p w14:paraId="4D9AAA0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本项目运行期采取了积极有效的污染治理措施，各大气污染物对环境空气的贡献值均不大，并且可以达标排放</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本项目防护距离为500m，周边500m范围内无敏感目标，所以项目运营过程中对周围环境空气影响不大</w:t>
      </w:r>
      <w:r>
        <w:rPr>
          <w:rFonts w:hint="eastAsia" w:ascii="Times New Roman" w:hAnsi="Times New Roman" w:eastAsia="宋体"/>
          <w:strike w:val="0"/>
          <w:dstrike w:val="0"/>
          <w:color w:val="auto"/>
          <w:highlight w:val="none"/>
          <w:lang w:eastAsia="zh-CN"/>
        </w:rPr>
        <w:t>。</w:t>
      </w:r>
    </w:p>
    <w:p w14:paraId="320CFE4E">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因此，从环境空气的角度来看，本项目是可行的</w:t>
      </w:r>
      <w:r>
        <w:rPr>
          <w:rFonts w:hint="eastAsia" w:ascii="Times New Roman" w:hAnsi="Times New Roman" w:eastAsia="宋体"/>
          <w:strike w:val="0"/>
          <w:dstrike w:val="0"/>
          <w:color w:val="auto"/>
          <w:highlight w:val="none"/>
          <w:lang w:eastAsia="zh-CN"/>
        </w:rPr>
        <w:t>。</w:t>
      </w:r>
    </w:p>
    <w:p w14:paraId="1955468D">
      <w:pPr>
        <w:pStyle w:val="4"/>
        <w:rPr>
          <w:rFonts w:ascii="Times New Roman" w:hAnsi="Times New Roman" w:eastAsia="宋体"/>
          <w:strike w:val="0"/>
          <w:dstrike w:val="0"/>
          <w:color w:val="auto"/>
          <w:highlight w:val="none"/>
        </w:rPr>
      </w:pPr>
      <w:bookmarkStart w:id="453" w:name="_Toc24042"/>
      <w:bookmarkStart w:id="454" w:name="_Toc106663568"/>
      <w:r>
        <w:rPr>
          <w:rFonts w:hint="eastAsia" w:ascii="Times New Roman" w:hAnsi="Times New Roman" w:eastAsia="宋体"/>
          <w:strike w:val="0"/>
          <w:dstrike w:val="0"/>
          <w:color w:val="auto"/>
          <w:highlight w:val="none"/>
        </w:rPr>
        <w:t>9.4.2水环境影响评价结论</w:t>
      </w:r>
      <w:bookmarkEnd w:id="453"/>
      <w:bookmarkEnd w:id="454"/>
    </w:p>
    <w:p w14:paraId="7F9BE8B5">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本项目养殖产生的废水</w:t>
      </w:r>
      <w:r>
        <w:rPr>
          <w:rFonts w:hint="eastAsia" w:ascii="Times New Roman" w:hAnsi="Times New Roman" w:eastAsia="宋体"/>
          <w:strike w:val="0"/>
          <w:dstrike w:val="0"/>
          <w:color w:val="auto"/>
          <w:highlight w:val="none"/>
          <w:lang w:val="en-US" w:eastAsia="zh-CN"/>
        </w:rPr>
        <w:t>主要为生活污水和挤奶大厅清洗废水</w:t>
      </w:r>
      <w:r>
        <w:rPr>
          <w:rFonts w:ascii="Times New Roman" w:hAnsi="Times New Roman" w:eastAsia="宋体"/>
          <w:strike w:val="0"/>
          <w:dstrike w:val="0"/>
          <w:color w:val="auto"/>
          <w:highlight w:val="none"/>
        </w:rPr>
        <w:t>，主要污染物是CODcr、BOD</w:t>
      </w:r>
      <w:r>
        <w:rPr>
          <w:rFonts w:ascii="Times New Roman" w:hAnsi="Times New Roman" w:eastAsia="宋体"/>
          <w:strike w:val="0"/>
          <w:dstrike w:val="0"/>
          <w:color w:val="auto"/>
          <w:highlight w:val="none"/>
          <w:vertAlign w:val="subscript"/>
        </w:rPr>
        <w:t>5</w:t>
      </w:r>
      <w:r>
        <w:rPr>
          <w:rFonts w:ascii="Times New Roman" w:hAnsi="Times New Roman" w:eastAsia="宋体"/>
          <w:strike w:val="0"/>
          <w:dstrike w:val="0"/>
          <w:color w:val="auto"/>
          <w:highlight w:val="none"/>
        </w:rPr>
        <w:t>和SS，不含其它有毒有害物质</w:t>
      </w:r>
      <w:r>
        <w:rPr>
          <w:rFonts w:hint="eastAsia" w:ascii="Times New Roman" w:hAnsi="Times New Roman" w:eastAsia="宋体"/>
          <w:strike w:val="0"/>
          <w:dstrike w:val="0"/>
          <w:color w:val="auto"/>
          <w:highlight w:val="none"/>
          <w:lang w:eastAsia="zh-CN"/>
        </w:rPr>
        <w:t>。本项目生活污水和生产废水经黑膜池发酵处理后用于项目区周边林带施肥。</w:t>
      </w:r>
      <w:r>
        <w:rPr>
          <w:rFonts w:ascii="Times New Roman" w:hAnsi="Times New Roman" w:eastAsia="宋体"/>
          <w:strike w:val="0"/>
          <w:dstrike w:val="0"/>
          <w:color w:val="auto"/>
          <w:highlight w:val="none"/>
        </w:rPr>
        <w:t>本项目废水不会进入地表水体，与地表水也不发生水力联系，对地表水环境影响不大</w:t>
      </w:r>
      <w:r>
        <w:rPr>
          <w:rFonts w:hint="eastAsia" w:ascii="Times New Roman" w:hAnsi="Times New Roman" w:eastAsia="宋体"/>
          <w:strike w:val="0"/>
          <w:dstrike w:val="0"/>
          <w:color w:val="auto"/>
          <w:highlight w:val="none"/>
          <w:lang w:eastAsia="zh-CN"/>
        </w:rPr>
        <w:t>。</w:t>
      </w:r>
    </w:p>
    <w:p w14:paraId="72BD68B4">
      <w:pPr>
        <w:pStyle w:val="4"/>
        <w:rPr>
          <w:rFonts w:ascii="Times New Roman" w:hAnsi="Times New Roman" w:eastAsia="宋体"/>
          <w:strike w:val="0"/>
          <w:dstrike w:val="0"/>
          <w:color w:val="auto"/>
          <w:highlight w:val="none"/>
        </w:rPr>
      </w:pPr>
      <w:bookmarkStart w:id="455" w:name="_Toc106663569"/>
      <w:bookmarkStart w:id="456" w:name="_Toc24442"/>
      <w:r>
        <w:rPr>
          <w:rFonts w:hint="eastAsia" w:ascii="Times New Roman" w:hAnsi="Times New Roman" w:eastAsia="宋体"/>
          <w:strike w:val="0"/>
          <w:dstrike w:val="0"/>
          <w:color w:val="auto"/>
          <w:highlight w:val="none"/>
        </w:rPr>
        <w:t>9.4.3声环境影响评价结论</w:t>
      </w:r>
      <w:bookmarkEnd w:id="455"/>
      <w:bookmarkEnd w:id="456"/>
    </w:p>
    <w:p w14:paraId="171938B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在落实本报告提出的各项噪声污染控制措施后，本项目运行期可满足《工业企业厂界环境噪声排放标准》（GB12348-2008）中的声环境2类功能区标准，对区域声环境的影响较小</w:t>
      </w:r>
      <w:r>
        <w:rPr>
          <w:rFonts w:hint="eastAsia" w:ascii="Times New Roman" w:hAnsi="Times New Roman" w:eastAsia="宋体"/>
          <w:strike w:val="0"/>
          <w:dstrike w:val="0"/>
          <w:color w:val="auto"/>
          <w:highlight w:val="none"/>
          <w:lang w:eastAsia="zh-CN"/>
        </w:rPr>
        <w:t>。</w:t>
      </w:r>
    </w:p>
    <w:p w14:paraId="07492468">
      <w:pPr>
        <w:pStyle w:val="4"/>
        <w:rPr>
          <w:rFonts w:ascii="Times New Roman" w:hAnsi="Times New Roman" w:eastAsia="宋体"/>
          <w:strike w:val="0"/>
          <w:dstrike w:val="0"/>
          <w:color w:val="auto"/>
          <w:highlight w:val="none"/>
        </w:rPr>
      </w:pPr>
      <w:bookmarkStart w:id="457" w:name="_Toc106663570"/>
      <w:bookmarkStart w:id="458" w:name="_Toc22497"/>
      <w:r>
        <w:rPr>
          <w:rFonts w:hint="eastAsia" w:ascii="Times New Roman" w:hAnsi="Times New Roman" w:eastAsia="宋体"/>
          <w:strike w:val="0"/>
          <w:dstrike w:val="0"/>
          <w:color w:val="auto"/>
          <w:highlight w:val="none"/>
        </w:rPr>
        <w:t>9.4.4固体废物环境影响分析结论</w:t>
      </w:r>
      <w:bookmarkEnd w:id="457"/>
      <w:bookmarkEnd w:id="458"/>
    </w:p>
    <w:p w14:paraId="735D7FC5">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建设项目产生的固体废物均得到了妥善处置和利用，符合《畜禽养殖业污染防治技术规范》，所以本工程固体废物对环境的影响可以接受</w:t>
      </w:r>
      <w:r>
        <w:rPr>
          <w:rFonts w:hint="eastAsia" w:ascii="Times New Roman" w:hAnsi="Times New Roman" w:eastAsia="宋体"/>
          <w:strike w:val="0"/>
          <w:dstrike w:val="0"/>
          <w:color w:val="auto"/>
          <w:highlight w:val="none"/>
          <w:lang w:eastAsia="zh-CN"/>
        </w:rPr>
        <w:t>。</w:t>
      </w:r>
    </w:p>
    <w:p w14:paraId="52BD426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综上所述，项目在建设过程中加强管理，定期监测，无事故发生的前提下，从环境角度分析是可行的</w:t>
      </w:r>
      <w:r>
        <w:rPr>
          <w:rFonts w:hint="eastAsia" w:ascii="Times New Roman" w:hAnsi="Times New Roman" w:eastAsia="宋体"/>
          <w:strike w:val="0"/>
          <w:dstrike w:val="0"/>
          <w:color w:val="auto"/>
          <w:highlight w:val="none"/>
          <w:lang w:eastAsia="zh-CN"/>
        </w:rPr>
        <w:t>。</w:t>
      </w:r>
    </w:p>
    <w:p w14:paraId="405CDFFA">
      <w:pPr>
        <w:pStyle w:val="3"/>
        <w:rPr>
          <w:rFonts w:ascii="Times New Roman" w:hAnsi="Times New Roman" w:eastAsia="宋体"/>
          <w:strike w:val="0"/>
          <w:dstrike w:val="0"/>
          <w:color w:val="auto"/>
          <w:highlight w:val="none"/>
        </w:rPr>
      </w:pPr>
      <w:bookmarkStart w:id="459" w:name="_Toc5596"/>
      <w:bookmarkStart w:id="460" w:name="_Toc89619366"/>
      <w:r>
        <w:rPr>
          <w:rFonts w:hint="eastAsia" w:ascii="Times New Roman" w:hAnsi="Times New Roman" w:eastAsia="宋体"/>
          <w:strike w:val="0"/>
          <w:dstrike w:val="0"/>
          <w:color w:val="auto"/>
          <w:highlight w:val="none"/>
        </w:rPr>
        <w:t>9.5污染防治措施</w:t>
      </w:r>
      <w:bookmarkEnd w:id="459"/>
      <w:bookmarkEnd w:id="460"/>
    </w:p>
    <w:p w14:paraId="6DD1449A">
      <w:pPr>
        <w:pStyle w:val="4"/>
        <w:rPr>
          <w:rFonts w:ascii="Times New Roman" w:hAnsi="Times New Roman" w:eastAsia="宋体"/>
          <w:strike w:val="0"/>
          <w:dstrike w:val="0"/>
          <w:color w:val="auto"/>
          <w:highlight w:val="none"/>
        </w:rPr>
      </w:pPr>
      <w:bookmarkStart w:id="461" w:name="_Toc19206"/>
      <w:bookmarkStart w:id="462" w:name="_Toc106663572"/>
      <w:r>
        <w:rPr>
          <w:rFonts w:hint="eastAsia" w:ascii="Times New Roman" w:hAnsi="Times New Roman" w:eastAsia="宋体"/>
          <w:strike w:val="0"/>
          <w:dstrike w:val="0"/>
          <w:color w:val="auto"/>
          <w:highlight w:val="none"/>
        </w:rPr>
        <w:t>9.5.1大气环境保护措施</w:t>
      </w:r>
      <w:bookmarkEnd w:id="461"/>
      <w:bookmarkEnd w:id="462"/>
    </w:p>
    <w:p w14:paraId="4AFD7378">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1</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施工期环境影响评价</w:t>
      </w:r>
    </w:p>
    <w:p w14:paraId="7185FEE3">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施工期间主要是噪声和扬尘对环境的影响，而这样的影响是短暂和间歇的，且周围环境简单，在采取一定的措施后，其对环境的影响会降至最小程度</w:t>
      </w:r>
      <w:r>
        <w:rPr>
          <w:rFonts w:hint="eastAsia" w:ascii="Times New Roman" w:hAnsi="Times New Roman" w:eastAsia="宋体"/>
          <w:strike w:val="0"/>
          <w:dstrike w:val="0"/>
          <w:color w:val="auto"/>
          <w:highlight w:val="none"/>
          <w:lang w:eastAsia="zh-CN"/>
        </w:rPr>
        <w:t>。</w:t>
      </w:r>
    </w:p>
    <w:p w14:paraId="748D1DBD">
      <w:pPr>
        <w:ind w:firstLine="480"/>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2</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运营期环境影响评价</w:t>
      </w:r>
    </w:p>
    <w:p w14:paraId="4EC7FAB3">
      <w:pPr>
        <w:ind w:firstLine="480"/>
        <w:rPr>
          <w:rFonts w:ascii="Times New Roman" w:hAnsi="Times New Roman" w:eastAsia="宋体"/>
          <w:strike w:val="0"/>
          <w:dstrike w:val="0"/>
          <w:color w:val="auto"/>
          <w:highlight w:val="none"/>
        </w:rPr>
      </w:pPr>
      <w:r>
        <w:rPr>
          <w:rFonts w:ascii="Times New Roman" w:hAnsi="Times New Roman" w:eastAsia="宋体"/>
          <w:strike w:val="0"/>
          <w:dstrike w:val="0"/>
          <w:color w:val="auto"/>
          <w:highlight w:val="none"/>
        </w:rPr>
        <w:t>①大气环境影响评价</w:t>
      </w:r>
    </w:p>
    <w:p w14:paraId="42D41A72">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根据预测结果，NH</w:t>
      </w:r>
      <w:r>
        <w:rPr>
          <w:rFonts w:ascii="Times New Roman" w:hAnsi="Times New Roman" w:eastAsia="宋体"/>
          <w:strike w:val="0"/>
          <w:dstrike w:val="0"/>
          <w:color w:val="auto"/>
          <w:highlight w:val="none"/>
          <w:vertAlign w:val="subscript"/>
        </w:rPr>
        <w:t>3</w:t>
      </w:r>
      <w:r>
        <w:rPr>
          <w:rFonts w:ascii="Times New Roman" w:hAnsi="Times New Roman" w:eastAsia="宋体"/>
          <w:strike w:val="0"/>
          <w:dstrike w:val="0"/>
          <w:color w:val="auto"/>
          <w:highlight w:val="none"/>
        </w:rPr>
        <w:t>和H</w:t>
      </w:r>
      <w:r>
        <w:rPr>
          <w:rFonts w:ascii="Times New Roman" w:hAnsi="Times New Roman" w:eastAsia="宋体"/>
          <w:strike w:val="0"/>
          <w:dstrike w:val="0"/>
          <w:color w:val="auto"/>
          <w:highlight w:val="none"/>
          <w:vertAlign w:val="subscript"/>
        </w:rPr>
        <w:t>2</w:t>
      </w:r>
      <w:r>
        <w:rPr>
          <w:rFonts w:ascii="Times New Roman" w:hAnsi="Times New Roman" w:eastAsia="宋体"/>
          <w:strike w:val="0"/>
          <w:dstrike w:val="0"/>
          <w:color w:val="auto"/>
          <w:highlight w:val="none"/>
        </w:rPr>
        <w:t>S最大地面空气质量浓度不大，占标率不高，为降低臭气对周围环境的影响，可采取以下措施：</w:t>
      </w:r>
      <w:r>
        <w:rPr>
          <w:rFonts w:hint="eastAsia" w:ascii="Times New Roman" w:hAnsi="Times New Roman" w:eastAsia="宋体"/>
          <w:strike w:val="0"/>
          <w:dstrike w:val="0"/>
          <w:color w:val="auto"/>
          <w:highlight w:val="none"/>
          <w:lang w:eastAsia="zh-CN"/>
        </w:rPr>
        <w:t>骆驼粪便</w:t>
      </w:r>
      <w:r>
        <w:rPr>
          <w:rFonts w:hint="eastAsia" w:ascii="Times New Roman" w:hAnsi="Times New Roman" w:eastAsia="宋体"/>
          <w:strike w:val="0"/>
          <w:dstrike w:val="0"/>
          <w:color w:val="auto"/>
          <w:highlight w:val="none"/>
          <w:lang w:val="en-US" w:eastAsia="zh-CN"/>
        </w:rPr>
        <w:t>定期清理</w:t>
      </w:r>
      <w:r>
        <w:rPr>
          <w:rFonts w:ascii="Times New Roman" w:hAnsi="Times New Roman" w:eastAsia="宋体"/>
          <w:strike w:val="0"/>
          <w:dstrike w:val="0"/>
          <w:color w:val="auto"/>
          <w:highlight w:val="none"/>
        </w:rPr>
        <w:t>、定期对易产生恶臭区域进行除臭液喷洒；在厂区周围设置绿化，吸收阻隔气味</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通过采取以上措施，本项目恶臭污染物最大地面空气质量浓度均满足《环境影响评价技术导则大气环境》</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HJ2.2-2018</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附录D其他污染物空气质量浓度参考限值</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因此，本项目运行期间恶臭气体对环境空气影响不大</w:t>
      </w:r>
      <w:r>
        <w:rPr>
          <w:rFonts w:hint="eastAsia" w:ascii="Times New Roman" w:hAnsi="Times New Roman" w:eastAsia="宋体"/>
          <w:strike w:val="0"/>
          <w:dstrike w:val="0"/>
          <w:color w:val="auto"/>
          <w:highlight w:val="none"/>
          <w:lang w:eastAsia="zh-CN"/>
        </w:rPr>
        <w:t>。</w:t>
      </w:r>
    </w:p>
    <w:p w14:paraId="1FFC175F">
      <w:pPr>
        <w:pStyle w:val="4"/>
        <w:rPr>
          <w:rFonts w:ascii="Times New Roman" w:hAnsi="Times New Roman" w:eastAsia="宋体"/>
          <w:strike w:val="0"/>
          <w:dstrike w:val="0"/>
          <w:color w:val="auto"/>
          <w:highlight w:val="none"/>
        </w:rPr>
      </w:pPr>
      <w:bookmarkStart w:id="463" w:name="_Toc28709"/>
      <w:bookmarkStart w:id="464" w:name="_Toc106663573"/>
      <w:r>
        <w:rPr>
          <w:rFonts w:hint="eastAsia" w:ascii="Times New Roman" w:hAnsi="Times New Roman" w:eastAsia="宋体"/>
          <w:strike w:val="0"/>
          <w:dstrike w:val="0"/>
          <w:color w:val="auto"/>
          <w:highlight w:val="none"/>
        </w:rPr>
        <w:t>9.5.2水环境保护措施</w:t>
      </w:r>
      <w:bookmarkEnd w:id="463"/>
      <w:bookmarkEnd w:id="464"/>
    </w:p>
    <w:p w14:paraId="12225C06">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9.5.2.1污水防治措施</w:t>
      </w:r>
    </w:p>
    <w:p w14:paraId="648411E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本项目养殖产生的废水</w:t>
      </w:r>
      <w:r>
        <w:rPr>
          <w:rFonts w:hint="eastAsia" w:ascii="Times New Roman" w:hAnsi="Times New Roman" w:eastAsia="宋体"/>
          <w:strike w:val="0"/>
          <w:dstrike w:val="0"/>
          <w:color w:val="auto"/>
          <w:highlight w:val="none"/>
          <w:lang w:val="en-US" w:eastAsia="zh-CN"/>
        </w:rPr>
        <w:t>主要为生活污水和生产废水</w:t>
      </w:r>
      <w:r>
        <w:rPr>
          <w:rFonts w:ascii="Times New Roman" w:hAnsi="Times New Roman" w:eastAsia="宋体"/>
          <w:strike w:val="0"/>
          <w:dstrike w:val="0"/>
          <w:color w:val="auto"/>
          <w:highlight w:val="none"/>
        </w:rPr>
        <w:t>，主要污染物是CODcr、BOD</w:t>
      </w:r>
      <w:r>
        <w:rPr>
          <w:rFonts w:ascii="Times New Roman" w:hAnsi="Times New Roman" w:eastAsia="宋体"/>
          <w:strike w:val="0"/>
          <w:dstrike w:val="0"/>
          <w:color w:val="auto"/>
          <w:highlight w:val="none"/>
          <w:vertAlign w:val="subscript"/>
        </w:rPr>
        <w:t>5</w:t>
      </w:r>
      <w:r>
        <w:rPr>
          <w:rFonts w:ascii="Times New Roman" w:hAnsi="Times New Roman" w:eastAsia="宋体"/>
          <w:strike w:val="0"/>
          <w:dstrike w:val="0"/>
          <w:color w:val="auto"/>
          <w:highlight w:val="none"/>
        </w:rPr>
        <w:t>和SS，不含其它有毒有害物质</w:t>
      </w:r>
      <w:r>
        <w:rPr>
          <w:rFonts w:hint="eastAsia" w:ascii="Times New Roman" w:hAnsi="Times New Roman" w:eastAsia="宋体"/>
          <w:strike w:val="0"/>
          <w:dstrike w:val="0"/>
          <w:color w:val="auto"/>
          <w:highlight w:val="none"/>
          <w:lang w:eastAsia="zh-CN"/>
        </w:rPr>
        <w:t>。本项目生活污水和生产废水经黑膜池发酵处理后用于项目区周边林带施肥。</w:t>
      </w:r>
      <w:r>
        <w:rPr>
          <w:rFonts w:ascii="Times New Roman" w:hAnsi="Times New Roman" w:eastAsia="宋体"/>
          <w:strike w:val="0"/>
          <w:dstrike w:val="0"/>
          <w:color w:val="auto"/>
          <w:highlight w:val="none"/>
        </w:rPr>
        <w:t>本项目废水不会进入地表水体，与地表水也不发生水力联系，对地表水环境影响不大</w:t>
      </w:r>
      <w:r>
        <w:rPr>
          <w:rFonts w:hint="eastAsia" w:ascii="Times New Roman" w:hAnsi="Times New Roman" w:eastAsia="宋体"/>
          <w:strike w:val="0"/>
          <w:dstrike w:val="0"/>
          <w:color w:val="auto"/>
          <w:highlight w:val="none"/>
          <w:lang w:eastAsia="zh-CN"/>
        </w:rPr>
        <w:t>。</w:t>
      </w:r>
    </w:p>
    <w:p w14:paraId="4A69B53B">
      <w:pPr>
        <w:pStyle w:val="5"/>
        <w:ind w:firstLine="482"/>
        <w:rPr>
          <w:rFonts w:ascii="Times New Roman" w:hAnsi="Times New Roman" w:eastAsia="宋体"/>
          <w:strike w:val="0"/>
          <w:dstrike w:val="0"/>
          <w:color w:val="auto"/>
          <w:highlight w:val="none"/>
        </w:rPr>
      </w:pPr>
      <w:r>
        <w:rPr>
          <w:rFonts w:hint="eastAsia" w:ascii="Times New Roman" w:hAnsi="Times New Roman" w:eastAsia="宋体"/>
          <w:strike w:val="0"/>
          <w:dstrike w:val="0"/>
          <w:color w:val="auto"/>
          <w:highlight w:val="none"/>
        </w:rPr>
        <w:t>9.5.2.2地下水污染防治措施</w:t>
      </w:r>
    </w:p>
    <w:p w14:paraId="6C655A8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为防止对地下水造成污染，对厂区各区域分别采用不同的防渗措施</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项目场地分为重点防渗区、一般防渗区和简单防渗区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一般工业固废临时贮存场所防渗效果应满足《一般工业固体废物贮存和填埋污染控制标准》（GB18599-2020）中的相关要求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危险废物储存场所防渗效果应满足《危险废物贮存污染控制标准》（</w:t>
      </w:r>
      <w:r>
        <w:rPr>
          <w:rFonts w:hint="eastAsia" w:ascii="Times New Roman" w:hAnsi="Times New Roman" w:eastAsia="宋体"/>
          <w:strike w:val="0"/>
          <w:dstrike w:val="0"/>
          <w:color w:val="auto"/>
          <w:highlight w:val="none"/>
          <w:lang w:eastAsia="zh-CN"/>
        </w:rPr>
        <w:t>GB18597-2023</w:t>
      </w:r>
      <w:r>
        <w:rPr>
          <w:rFonts w:hint="eastAsia" w:ascii="Times New Roman" w:hAnsi="Times New Roman" w:eastAsia="宋体"/>
          <w:strike w:val="0"/>
          <w:dstrike w:val="0"/>
          <w:color w:val="auto"/>
          <w:highlight w:val="none"/>
        </w:rPr>
        <w:t>）中的有关要求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运营期厂区安排专人定期进行巡查，杜绝</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跑、冒、滴、漏</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等事故的发生，进行严格的防渗处理，从源头上防止污水进入地下水含水层之间</w:t>
      </w:r>
      <w:r>
        <w:rPr>
          <w:rFonts w:hint="eastAsia" w:ascii="Times New Roman" w:hAnsi="Times New Roman" w:eastAsia="宋体"/>
          <w:strike w:val="0"/>
          <w:dstrike w:val="0"/>
          <w:color w:val="auto"/>
          <w:highlight w:val="none"/>
          <w:lang w:eastAsia="zh-CN"/>
        </w:rPr>
        <w:t>。</w:t>
      </w:r>
    </w:p>
    <w:p w14:paraId="02C16B30">
      <w:pPr>
        <w:pStyle w:val="4"/>
        <w:rPr>
          <w:rFonts w:ascii="Times New Roman" w:hAnsi="Times New Roman" w:eastAsia="宋体"/>
          <w:strike w:val="0"/>
          <w:dstrike w:val="0"/>
          <w:color w:val="auto"/>
          <w:highlight w:val="none"/>
        </w:rPr>
      </w:pPr>
      <w:bookmarkStart w:id="465" w:name="_Toc106663574"/>
      <w:bookmarkStart w:id="466" w:name="_Toc15650"/>
      <w:r>
        <w:rPr>
          <w:rFonts w:hint="eastAsia" w:ascii="Times New Roman" w:hAnsi="Times New Roman" w:eastAsia="宋体"/>
          <w:strike w:val="0"/>
          <w:dstrike w:val="0"/>
          <w:color w:val="auto"/>
          <w:highlight w:val="none"/>
        </w:rPr>
        <w:t>9.5.3噪声</w:t>
      </w:r>
      <w:bookmarkEnd w:id="465"/>
      <w:bookmarkEnd w:id="466"/>
    </w:p>
    <w:p w14:paraId="125F103A">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本项目在建筑上采取隔声、吸声措施，在场区内外种植树木，以降低噪声向外辐射；通过合理布局生产车间，达到阻隔、衰减噪声的目的</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降噪后厂界噪声值可达到《工业企业厂界环境噪声排放标准》（GB12348-2008）中的</w:t>
      </w:r>
      <w:r>
        <w:rPr>
          <w:rFonts w:hint="eastAsia" w:ascii="Times New Roman" w:hAnsi="Times New Roman" w:eastAsia="宋体"/>
          <w:strike w:val="0"/>
          <w:dstrike w:val="0"/>
          <w:color w:val="auto"/>
          <w:highlight w:val="none"/>
          <w:lang w:val="en-US" w:eastAsia="zh-CN"/>
        </w:rPr>
        <w:t>2</w:t>
      </w:r>
      <w:r>
        <w:rPr>
          <w:rFonts w:hint="eastAsia" w:ascii="Times New Roman" w:hAnsi="Times New Roman" w:eastAsia="宋体"/>
          <w:strike w:val="0"/>
          <w:dstrike w:val="0"/>
          <w:color w:val="auto"/>
          <w:highlight w:val="none"/>
        </w:rPr>
        <w:t>类标准</w:t>
      </w:r>
      <w:r>
        <w:rPr>
          <w:rFonts w:hint="eastAsia" w:ascii="Times New Roman" w:hAnsi="Times New Roman" w:eastAsia="宋体"/>
          <w:strike w:val="0"/>
          <w:dstrike w:val="0"/>
          <w:color w:val="auto"/>
          <w:highlight w:val="none"/>
          <w:lang w:eastAsia="zh-CN"/>
        </w:rPr>
        <w:t>。</w:t>
      </w:r>
    </w:p>
    <w:p w14:paraId="49855049">
      <w:pPr>
        <w:pStyle w:val="4"/>
        <w:rPr>
          <w:rFonts w:ascii="Times New Roman" w:hAnsi="Times New Roman" w:eastAsia="宋体"/>
          <w:strike w:val="0"/>
          <w:dstrike w:val="0"/>
          <w:color w:val="auto"/>
          <w:highlight w:val="none"/>
        </w:rPr>
      </w:pPr>
      <w:bookmarkStart w:id="467" w:name="_Toc17037"/>
      <w:bookmarkStart w:id="468" w:name="_Toc106663575"/>
      <w:r>
        <w:rPr>
          <w:rFonts w:hint="eastAsia" w:ascii="Times New Roman" w:hAnsi="Times New Roman" w:eastAsia="宋体"/>
          <w:strike w:val="0"/>
          <w:dstrike w:val="0"/>
          <w:color w:val="auto"/>
          <w:highlight w:val="none"/>
        </w:rPr>
        <w:t>9.5.4固体废弃物</w:t>
      </w:r>
      <w:bookmarkEnd w:id="467"/>
      <w:bookmarkEnd w:id="468"/>
    </w:p>
    <w:p w14:paraId="25206B9F">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本项目产生的固体废物主要为</w:t>
      </w:r>
      <w:r>
        <w:rPr>
          <w:rFonts w:hint="eastAsia" w:ascii="Times New Roman" w:hAnsi="Times New Roman" w:eastAsia="宋体"/>
          <w:strike w:val="0"/>
          <w:dstrike w:val="0"/>
          <w:color w:val="auto"/>
          <w:highlight w:val="none"/>
          <w:lang w:eastAsia="zh-CN"/>
        </w:rPr>
        <w:t>骆</w:t>
      </w:r>
      <w:r>
        <w:rPr>
          <w:rFonts w:hint="eastAsia" w:ascii="Times New Roman" w:hAnsi="Times New Roman" w:eastAsia="宋体" w:cs="宋体"/>
          <w:strike w:val="0"/>
          <w:dstrike w:val="0"/>
          <w:color w:val="auto"/>
          <w:spacing w:val="0"/>
          <w:sz w:val="24"/>
          <w:szCs w:val="24"/>
          <w:highlight w:val="none"/>
          <w:lang w:eastAsia="zh-CN"/>
        </w:rPr>
        <w:t>骆驼粪便、病死骆驼、分娩废弃物（胎衣、死胎、胎盘附属物）、挤奶大厅废弃的一次性挤奶耗材、塑料奶管、废弃包装物、生活垃圾、医疗废物、黑膜池污泥</w:t>
      </w:r>
      <w:r>
        <w:rPr>
          <w:rFonts w:hint="eastAsia" w:ascii="Times New Roman" w:hAnsi="Times New Roman" w:eastAsia="宋体"/>
          <w:strike w:val="0"/>
          <w:dstrike w:val="0"/>
          <w:color w:val="auto"/>
          <w:highlight w:val="none"/>
          <w:lang w:eastAsia="zh-CN"/>
        </w:rPr>
        <w:t>。</w:t>
      </w:r>
      <w:r>
        <w:rPr>
          <w:rFonts w:ascii="Times New Roman" w:hAnsi="Times New Roman" w:eastAsia="宋体"/>
          <w:strike w:val="0"/>
          <w:dstrike w:val="0"/>
          <w:color w:val="auto"/>
          <w:highlight w:val="none"/>
        </w:rPr>
        <w:t>本项目区产生的</w:t>
      </w:r>
      <w:r>
        <w:rPr>
          <w:rFonts w:hint="eastAsia" w:ascii="Times New Roman" w:hAnsi="Times New Roman" w:eastAsia="宋体" w:cs="宋体"/>
          <w:strike w:val="0"/>
          <w:dstrike w:val="0"/>
          <w:color w:val="auto"/>
          <w:spacing w:val="0"/>
          <w:position w:val="0"/>
          <w:sz w:val="24"/>
          <w:szCs w:val="24"/>
          <w:highlight w:val="none"/>
          <w:lang w:eastAsia="zh-CN"/>
        </w:rPr>
        <w:t>骆驼粪便</w:t>
      </w:r>
      <w:r>
        <w:rPr>
          <w:rFonts w:hint="eastAsia" w:ascii="Times New Roman" w:hAnsi="Times New Roman" w:eastAsia="宋体" w:cs="宋体"/>
          <w:strike w:val="0"/>
          <w:dstrike w:val="0"/>
          <w:color w:val="auto"/>
          <w:spacing w:val="0"/>
          <w:position w:val="0"/>
          <w:sz w:val="24"/>
          <w:szCs w:val="24"/>
          <w:highlight w:val="none"/>
          <w:lang w:val="en-US" w:eastAsia="zh-CN"/>
        </w:rPr>
        <w:t>清运至堆肥场，经发酵处理后作为有机肥外售</w:t>
      </w:r>
      <w:r>
        <w:rPr>
          <w:rFonts w:ascii="Times New Roman" w:hAnsi="Times New Roman" w:eastAsia="宋体" w:cs="宋体"/>
          <w:strike w:val="0"/>
          <w:dstrike w:val="0"/>
          <w:color w:val="auto"/>
          <w:spacing w:val="0"/>
          <w:position w:val="0"/>
          <w:sz w:val="24"/>
          <w:szCs w:val="24"/>
          <w:highlight w:val="none"/>
        </w:rPr>
        <w:t>；</w:t>
      </w:r>
      <w:r>
        <w:rPr>
          <w:rFonts w:hint="eastAsia" w:ascii="Times New Roman" w:hAnsi="Times New Roman" w:eastAsia="宋体" w:cs="宋体"/>
          <w:strike w:val="0"/>
          <w:dstrike w:val="0"/>
          <w:color w:val="auto"/>
          <w:spacing w:val="0"/>
          <w:position w:val="0"/>
          <w:sz w:val="24"/>
          <w:szCs w:val="24"/>
          <w:highlight w:val="none"/>
          <w:lang w:val="en-US" w:eastAsia="zh-CN"/>
        </w:rPr>
        <w:t>病死骆驼、分娩废弃物（胎衣、死胎、胎盘附属物）委托具有合法资质的无害化处理单位进行无害化处理</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挤奶大厅废弃的一次性挤奶耗材、塑料奶管、废弃包装物</w:t>
      </w:r>
      <w:r>
        <w:rPr>
          <w:rFonts w:ascii="Times New Roman" w:hAnsi="Times New Roman" w:eastAsia="宋体" w:cs="宋体"/>
          <w:strike w:val="0"/>
          <w:dstrike w:val="0"/>
          <w:color w:val="auto"/>
          <w:spacing w:val="0"/>
          <w:position w:val="0"/>
          <w:sz w:val="24"/>
          <w:szCs w:val="24"/>
          <w:highlight w:val="none"/>
        </w:rPr>
        <w:t>进行外售，生活垃圾集中收集由当地环卫部门处置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ascii="Times New Roman" w:hAnsi="Times New Roman" w:eastAsia="宋体" w:cs="宋体"/>
          <w:strike w:val="0"/>
          <w:dstrike w:val="0"/>
          <w:color w:val="auto"/>
          <w:spacing w:val="0"/>
          <w:position w:val="0"/>
          <w:sz w:val="24"/>
          <w:szCs w:val="24"/>
          <w:highlight w:val="none"/>
        </w:rPr>
        <w:t>医疗废物储存于</w:t>
      </w:r>
      <w:r>
        <w:rPr>
          <w:rFonts w:hint="eastAsia" w:ascii="Times New Roman" w:hAnsi="Times New Roman" w:eastAsia="宋体" w:cs="宋体"/>
          <w:strike w:val="0"/>
          <w:dstrike w:val="0"/>
          <w:color w:val="auto"/>
          <w:spacing w:val="0"/>
          <w:position w:val="0"/>
          <w:sz w:val="24"/>
          <w:szCs w:val="24"/>
          <w:highlight w:val="none"/>
          <w:lang w:eastAsia="zh-CN"/>
        </w:rPr>
        <w:t>医疗废物暂存间</w:t>
      </w:r>
      <w:r>
        <w:rPr>
          <w:rFonts w:ascii="Times New Roman" w:hAnsi="Times New Roman" w:eastAsia="宋体" w:cs="宋体"/>
          <w:strike w:val="0"/>
          <w:dstrike w:val="0"/>
          <w:color w:val="auto"/>
          <w:spacing w:val="0"/>
          <w:position w:val="0"/>
          <w:sz w:val="24"/>
          <w:szCs w:val="24"/>
          <w:highlight w:val="none"/>
        </w:rPr>
        <w:t>，交由有资质的单位进行处置</w:t>
      </w:r>
      <w:r>
        <w:rPr>
          <w:rFonts w:hint="eastAsia" w:ascii="Times New Roman" w:hAnsi="Times New Roman" w:eastAsia="宋体" w:cs="宋体"/>
          <w:strike w:val="0"/>
          <w:dstrike w:val="0"/>
          <w:color w:val="auto"/>
          <w:spacing w:val="0"/>
          <w:position w:val="0"/>
          <w:sz w:val="24"/>
          <w:szCs w:val="24"/>
          <w:highlight w:val="none"/>
          <w:lang w:eastAsia="zh-CN"/>
        </w:rPr>
        <w:t>；</w:t>
      </w:r>
      <w:r>
        <w:rPr>
          <w:rFonts w:hint="eastAsia" w:ascii="Times New Roman" w:hAnsi="Times New Roman" w:eastAsia="宋体" w:cs="宋体"/>
          <w:strike w:val="0"/>
          <w:dstrike w:val="0"/>
          <w:color w:val="auto"/>
          <w:spacing w:val="0"/>
          <w:position w:val="0"/>
          <w:sz w:val="24"/>
          <w:szCs w:val="24"/>
          <w:highlight w:val="none"/>
        </w:rPr>
        <w:t>黑膜池污泥定期运至堆肥场，经过处理后作为同骆驼粪便一同作为有机肥外售</w:t>
      </w:r>
      <w:r>
        <w:rPr>
          <w:rFonts w:hint="eastAsia" w:ascii="Times New Roman" w:hAnsi="Times New Roman" w:eastAsia="宋体"/>
          <w:strike w:val="0"/>
          <w:dstrike w:val="0"/>
          <w:color w:val="auto"/>
          <w:highlight w:val="none"/>
          <w:lang w:eastAsia="zh-CN"/>
        </w:rPr>
        <w:t>。</w:t>
      </w:r>
    </w:p>
    <w:p w14:paraId="69F23450">
      <w:pPr>
        <w:ind w:firstLine="480"/>
        <w:rPr>
          <w:rFonts w:hint="eastAsia" w:ascii="Times New Roman" w:hAnsi="Times New Roman" w:eastAsia="宋体"/>
          <w:strike w:val="0"/>
          <w:dstrike w:val="0"/>
          <w:color w:val="auto"/>
          <w:highlight w:val="none"/>
          <w:lang w:eastAsia="zh-CN"/>
        </w:rPr>
      </w:pPr>
      <w:r>
        <w:rPr>
          <w:rFonts w:ascii="Times New Roman" w:hAnsi="Times New Roman" w:eastAsia="宋体"/>
          <w:strike w:val="0"/>
          <w:dstrike w:val="0"/>
          <w:color w:val="auto"/>
          <w:highlight w:val="none"/>
        </w:rPr>
        <w:t>综上分析，对固体废物采取相应治理措施后，固废可以得到合理处置，产生的固体废物对周围环境影响不大</w:t>
      </w:r>
      <w:r>
        <w:rPr>
          <w:rFonts w:hint="eastAsia" w:ascii="Times New Roman" w:hAnsi="Times New Roman" w:eastAsia="宋体"/>
          <w:strike w:val="0"/>
          <w:dstrike w:val="0"/>
          <w:color w:val="auto"/>
          <w:highlight w:val="none"/>
          <w:lang w:eastAsia="zh-CN"/>
        </w:rPr>
        <w:t>。</w:t>
      </w:r>
    </w:p>
    <w:p w14:paraId="3473DD65">
      <w:pPr>
        <w:pStyle w:val="3"/>
        <w:rPr>
          <w:rFonts w:ascii="Times New Roman" w:hAnsi="Times New Roman" w:eastAsia="宋体"/>
          <w:strike w:val="0"/>
          <w:dstrike w:val="0"/>
          <w:color w:val="auto"/>
          <w:highlight w:val="none"/>
        </w:rPr>
      </w:pPr>
      <w:bookmarkStart w:id="469" w:name="_Toc18644"/>
      <w:bookmarkStart w:id="470" w:name="_Toc89619367"/>
      <w:r>
        <w:rPr>
          <w:rFonts w:hint="eastAsia" w:ascii="Times New Roman" w:hAnsi="Times New Roman" w:eastAsia="宋体"/>
          <w:strike w:val="0"/>
          <w:dstrike w:val="0"/>
          <w:color w:val="auto"/>
          <w:highlight w:val="none"/>
        </w:rPr>
        <w:t>9.6公众意见采纳情况</w:t>
      </w:r>
      <w:bookmarkEnd w:id="469"/>
      <w:bookmarkEnd w:id="470"/>
    </w:p>
    <w:p w14:paraId="172D70A8">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本项目建设单位严格按照《环境影响评价公众参与办法》（部令第4号）的规定，进行了的公众参与工作</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首先在确定环评单位后，在环评互联网网站进行了第一次网上公示，并给出了公众意见表链接</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报告初稿完成后在环评互联网进行了第二次网上公示，第二次网上公示给出了环评报告链接，并在项目所在</w:t>
      </w:r>
      <w:r>
        <w:rPr>
          <w:rFonts w:hint="eastAsia" w:ascii="Times New Roman" w:hAnsi="Times New Roman" w:eastAsia="宋体"/>
          <w:strike w:val="0"/>
          <w:dstrike w:val="0"/>
          <w:color w:val="auto"/>
          <w:highlight w:val="none"/>
          <w:lang w:eastAsia="zh-CN"/>
        </w:rPr>
        <w:t>木垒县</w:t>
      </w:r>
      <w:r>
        <w:rPr>
          <w:rFonts w:hint="eastAsia" w:ascii="Times New Roman" w:hAnsi="Times New Roman" w:eastAsia="宋体"/>
          <w:strike w:val="0"/>
          <w:dstrike w:val="0"/>
          <w:color w:val="auto"/>
          <w:highlight w:val="none"/>
        </w:rPr>
        <w:t>园户村镇公示栏内进行了公示张贴，同时在当地报纸上进行了两次公示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建设方拟报批前，在环评互联网进行了第三次信息公示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本项目在公示期间未收到公众通过网络、电话及书信等方式提出的意见</w:t>
      </w:r>
      <w:r>
        <w:rPr>
          <w:rFonts w:hint="eastAsia" w:ascii="Times New Roman" w:hAnsi="Times New Roman" w:eastAsia="宋体"/>
          <w:strike w:val="0"/>
          <w:dstrike w:val="0"/>
          <w:color w:val="auto"/>
          <w:highlight w:val="none"/>
          <w:lang w:eastAsia="zh-CN"/>
        </w:rPr>
        <w:t>。</w:t>
      </w:r>
    </w:p>
    <w:p w14:paraId="10BD0017">
      <w:pPr>
        <w:pStyle w:val="3"/>
        <w:rPr>
          <w:rFonts w:ascii="Times New Roman" w:hAnsi="Times New Roman" w:eastAsia="宋体"/>
          <w:strike w:val="0"/>
          <w:dstrike w:val="0"/>
          <w:color w:val="auto"/>
          <w:highlight w:val="none"/>
        </w:rPr>
      </w:pPr>
      <w:bookmarkStart w:id="471" w:name="_Toc8028"/>
      <w:bookmarkStart w:id="472" w:name="_Toc89619368"/>
      <w:r>
        <w:rPr>
          <w:rFonts w:hint="eastAsia" w:ascii="Times New Roman" w:hAnsi="Times New Roman" w:eastAsia="宋体"/>
          <w:strike w:val="0"/>
          <w:dstrike w:val="0"/>
          <w:color w:val="auto"/>
          <w:highlight w:val="none"/>
        </w:rPr>
        <w:t>9.7环境经济损益分析结论</w:t>
      </w:r>
      <w:bookmarkEnd w:id="471"/>
      <w:bookmarkEnd w:id="472"/>
    </w:p>
    <w:p w14:paraId="5C1B0F5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本项目的建设可提高养殖生产水平，提高经济效益，同时增加了就业机会，促进农村社会稳定</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本项目建设达产后，经济效益较显著，环保投资合理，获得的环境效益显著</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因此本项目的建设从环境经济损益的角度分析是可行的</w:t>
      </w:r>
      <w:r>
        <w:rPr>
          <w:rFonts w:hint="eastAsia" w:ascii="Times New Roman" w:hAnsi="Times New Roman" w:eastAsia="宋体"/>
          <w:strike w:val="0"/>
          <w:dstrike w:val="0"/>
          <w:color w:val="auto"/>
          <w:highlight w:val="none"/>
          <w:lang w:eastAsia="zh-CN"/>
        </w:rPr>
        <w:t>。</w:t>
      </w:r>
    </w:p>
    <w:p w14:paraId="02C33C3A">
      <w:pPr>
        <w:pStyle w:val="3"/>
        <w:rPr>
          <w:rFonts w:ascii="Times New Roman" w:hAnsi="Times New Roman" w:eastAsia="宋体"/>
          <w:strike w:val="0"/>
          <w:dstrike w:val="0"/>
          <w:color w:val="auto"/>
          <w:highlight w:val="none"/>
        </w:rPr>
      </w:pPr>
      <w:bookmarkStart w:id="473" w:name="_Toc89619369"/>
      <w:bookmarkStart w:id="474" w:name="_Toc6365"/>
      <w:r>
        <w:rPr>
          <w:rFonts w:hint="eastAsia" w:ascii="Times New Roman" w:hAnsi="Times New Roman" w:eastAsia="宋体"/>
          <w:strike w:val="0"/>
          <w:dstrike w:val="0"/>
          <w:color w:val="auto"/>
          <w:highlight w:val="none"/>
        </w:rPr>
        <w:t>9.8环境管理与监测结论</w:t>
      </w:r>
      <w:bookmarkEnd w:id="473"/>
      <w:bookmarkEnd w:id="474"/>
    </w:p>
    <w:p w14:paraId="01F867E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本项目运行期通过加强建设和试运行期间的环境管理与监控，建立健全安全生产管理制度，制订科学严谨的操作规程，通过职工操作技能培训，提高危险识辨、防护和保护能力，落实责任到人</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同时加强厂内各类设备包括污染治理设施的日常运行管理和维护，对生产设备进行定期检测，对关键设备进行不定期测试</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增强岗位职责和环保、安全意识，保证生产设施和环保治理设施运行的可靠性、稳定性</w:t>
      </w:r>
      <w:r>
        <w:rPr>
          <w:rFonts w:hint="eastAsia" w:ascii="Times New Roman" w:hAnsi="Times New Roman" w:eastAsia="宋体"/>
          <w:strike w:val="0"/>
          <w:dstrike w:val="0"/>
          <w:color w:val="auto"/>
          <w:highlight w:val="none"/>
          <w:lang w:eastAsia="zh-CN"/>
        </w:rPr>
        <w:t>。</w:t>
      </w:r>
    </w:p>
    <w:p w14:paraId="6CEAA54A">
      <w:pPr>
        <w:pStyle w:val="3"/>
        <w:rPr>
          <w:rFonts w:ascii="Times New Roman" w:hAnsi="Times New Roman" w:eastAsia="宋体"/>
          <w:strike w:val="0"/>
          <w:dstrike w:val="0"/>
          <w:color w:val="auto"/>
          <w:highlight w:val="none"/>
        </w:rPr>
      </w:pPr>
      <w:bookmarkStart w:id="475" w:name="_Toc89619370"/>
      <w:bookmarkStart w:id="476" w:name="_Toc18811"/>
      <w:r>
        <w:rPr>
          <w:rFonts w:hint="eastAsia" w:ascii="Times New Roman" w:hAnsi="Times New Roman" w:eastAsia="宋体"/>
          <w:strike w:val="0"/>
          <w:dstrike w:val="0"/>
          <w:color w:val="auto"/>
          <w:highlight w:val="none"/>
        </w:rPr>
        <w:t>9.9总量控制</w:t>
      </w:r>
      <w:bookmarkEnd w:id="475"/>
      <w:bookmarkEnd w:id="476"/>
    </w:p>
    <w:p w14:paraId="691B96B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本项目无需申请总量控制指标</w:t>
      </w:r>
      <w:r>
        <w:rPr>
          <w:rFonts w:hint="eastAsia" w:ascii="Times New Roman" w:hAnsi="Times New Roman" w:eastAsia="宋体"/>
          <w:strike w:val="0"/>
          <w:dstrike w:val="0"/>
          <w:color w:val="auto"/>
          <w:highlight w:val="none"/>
          <w:lang w:eastAsia="zh-CN"/>
        </w:rPr>
        <w:t>。</w:t>
      </w:r>
    </w:p>
    <w:p w14:paraId="66DACD89">
      <w:pPr>
        <w:pStyle w:val="3"/>
        <w:rPr>
          <w:rFonts w:ascii="Times New Roman" w:hAnsi="Times New Roman" w:eastAsia="宋体"/>
          <w:strike w:val="0"/>
          <w:dstrike w:val="0"/>
          <w:color w:val="auto"/>
          <w:highlight w:val="none"/>
        </w:rPr>
      </w:pPr>
      <w:bookmarkStart w:id="477" w:name="_Toc89619371"/>
      <w:bookmarkStart w:id="478" w:name="_Toc25327"/>
      <w:r>
        <w:rPr>
          <w:rFonts w:hint="eastAsia" w:ascii="Times New Roman" w:hAnsi="Times New Roman" w:eastAsia="宋体"/>
          <w:strike w:val="0"/>
          <w:dstrike w:val="0"/>
          <w:color w:val="auto"/>
          <w:highlight w:val="none"/>
        </w:rPr>
        <w:t>9.10综合结论</w:t>
      </w:r>
      <w:bookmarkEnd w:id="477"/>
      <w:bookmarkEnd w:id="478"/>
    </w:p>
    <w:p w14:paraId="3F3FDD7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本项目符合国家产业政策和相关规划，选址合理，在认真贯彻执行国家环保法律、法规，严格落实环评规定的各项环保措施，加强环境管理情况下，污染物的排放可以满足达标排放的要求</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本项目具有良好的经济效益、社会效益和环境效益</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公众参与调查工作中，未收到公众对该项目的相关意见</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本项目符合环保部发布《关于以改善环境质量为核心加强环评管理的通知》关于</w:t>
      </w:r>
      <w:r>
        <w:rPr>
          <w:rFonts w:hint="eastAsia" w:ascii="Times New Roman" w:hAnsi="Times New Roman" w:eastAsia="宋体"/>
          <w:strike w:val="0"/>
          <w:dstrike w:val="0"/>
          <w:color w:val="auto"/>
          <w:highlight w:val="none"/>
          <w:lang w:val="en-US" w:eastAsia="zh-CN"/>
        </w:rPr>
        <w:t>生态环境分区管控要求</w:t>
      </w:r>
      <w:r>
        <w:rPr>
          <w:rFonts w:hint="eastAsia" w:ascii="Times New Roman" w:hAnsi="Times New Roman" w:eastAsia="宋体"/>
          <w:strike w:val="0"/>
          <w:dstrike w:val="0"/>
          <w:color w:val="auto"/>
          <w:highlight w:val="none"/>
          <w:lang w:eastAsia="zh-CN"/>
        </w:rPr>
        <w:t>。</w:t>
      </w:r>
    </w:p>
    <w:p w14:paraId="7BF651D9">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因此，从环保角度考虑，本项目的建设是可行的</w:t>
      </w:r>
      <w:r>
        <w:rPr>
          <w:rFonts w:hint="eastAsia" w:ascii="Times New Roman" w:hAnsi="Times New Roman" w:eastAsia="宋体"/>
          <w:strike w:val="0"/>
          <w:dstrike w:val="0"/>
          <w:color w:val="auto"/>
          <w:highlight w:val="none"/>
          <w:lang w:eastAsia="zh-CN"/>
        </w:rPr>
        <w:t>。</w:t>
      </w:r>
    </w:p>
    <w:p w14:paraId="785B6EC8">
      <w:pPr>
        <w:pStyle w:val="3"/>
        <w:rPr>
          <w:rFonts w:ascii="Times New Roman" w:hAnsi="Times New Roman" w:eastAsia="宋体"/>
          <w:strike w:val="0"/>
          <w:dstrike w:val="0"/>
          <w:color w:val="auto"/>
          <w:highlight w:val="none"/>
        </w:rPr>
      </w:pPr>
      <w:bookmarkStart w:id="479" w:name="_Toc89619372"/>
      <w:bookmarkStart w:id="480" w:name="_Toc19610"/>
      <w:r>
        <w:rPr>
          <w:rFonts w:hint="eastAsia" w:ascii="Times New Roman" w:hAnsi="Times New Roman" w:eastAsia="宋体"/>
          <w:strike w:val="0"/>
          <w:dstrike w:val="0"/>
          <w:color w:val="auto"/>
          <w:highlight w:val="none"/>
        </w:rPr>
        <w:t>9.11要求</w:t>
      </w:r>
      <w:bookmarkEnd w:id="479"/>
      <w:bookmarkEnd w:id="480"/>
    </w:p>
    <w:p w14:paraId="08DA27E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（1）建设单位在本项目实施过程中，应认真落实本项目提到的各项治理措施，加强对环保设施的运行管理，制定有效的管理规章制度，建立环保管理机制，防止出现事故性和非正常污染排放</w:t>
      </w:r>
      <w:r>
        <w:rPr>
          <w:rFonts w:hint="eastAsia" w:ascii="Times New Roman" w:hAnsi="Times New Roman" w:eastAsia="宋体"/>
          <w:strike w:val="0"/>
          <w:dstrike w:val="0"/>
          <w:color w:val="auto"/>
          <w:highlight w:val="none"/>
          <w:lang w:eastAsia="zh-CN"/>
        </w:rPr>
        <w:t>。</w:t>
      </w:r>
    </w:p>
    <w:p w14:paraId="605E1701">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（2）建设单位在项目实施过程中应严格执行原国家环保总局颁布的《畜禽养殖业污染防治技术规范》（HJ/T81-2001）</w:t>
      </w:r>
      <w:r>
        <w:rPr>
          <w:rFonts w:hint="eastAsia" w:ascii="Times New Roman" w:hAnsi="Times New Roman" w:eastAsia="宋体"/>
          <w:strike w:val="0"/>
          <w:dstrike w:val="0"/>
          <w:color w:val="auto"/>
          <w:highlight w:val="none"/>
          <w:lang w:eastAsia="zh-CN"/>
        </w:rPr>
        <w:t>。</w:t>
      </w:r>
    </w:p>
    <w:p w14:paraId="312669CD">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（3）严格执行</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三同时</w:t>
      </w:r>
      <w:r>
        <w:rPr>
          <w:rFonts w:hint="eastAsia" w:ascii="Times New Roman" w:hAnsi="Times New Roman" w:eastAsia="宋体"/>
          <w:strike w:val="0"/>
          <w:dstrike w:val="0"/>
          <w:color w:val="auto"/>
          <w:highlight w:val="none"/>
          <w:lang w:eastAsia="zh-CN"/>
        </w:rPr>
        <w:t>”</w:t>
      </w:r>
      <w:r>
        <w:rPr>
          <w:rFonts w:hint="eastAsia" w:ascii="Times New Roman" w:hAnsi="Times New Roman" w:eastAsia="宋体"/>
          <w:strike w:val="0"/>
          <w:dstrike w:val="0"/>
          <w:color w:val="auto"/>
          <w:highlight w:val="none"/>
        </w:rPr>
        <w:t>制度，落实各项环保措施，平时注意各项环保设施的维护，及时发现处理设备的隐患，确保处理系统正常运行；开、停、检修要有预案，有严密周全的计划，确保不发生非正常排放</w:t>
      </w:r>
      <w:r>
        <w:rPr>
          <w:rFonts w:hint="eastAsia" w:ascii="Times New Roman" w:hAnsi="Times New Roman" w:eastAsia="宋体"/>
          <w:strike w:val="0"/>
          <w:dstrike w:val="0"/>
          <w:color w:val="auto"/>
          <w:highlight w:val="none"/>
          <w:lang w:eastAsia="zh-CN"/>
        </w:rPr>
        <w:t>。</w:t>
      </w:r>
    </w:p>
    <w:p w14:paraId="64D60980">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（4）饲养人员每年应至少进行一次身体检查，如发现患有危害人、畜禽的传染病者，应及时调离，以防传染</w:t>
      </w:r>
      <w:r>
        <w:rPr>
          <w:rFonts w:hint="eastAsia" w:ascii="Times New Roman" w:hAnsi="Times New Roman" w:eastAsia="宋体"/>
          <w:strike w:val="0"/>
          <w:dstrike w:val="0"/>
          <w:color w:val="auto"/>
          <w:highlight w:val="none"/>
          <w:lang w:eastAsia="zh-CN"/>
        </w:rPr>
        <w:t>。</w:t>
      </w:r>
    </w:p>
    <w:p w14:paraId="03DE2ADB">
      <w:pPr>
        <w:ind w:firstLine="480"/>
        <w:rPr>
          <w:rFonts w:hint="eastAsia" w:ascii="Times New Roman" w:hAnsi="Times New Roman" w:eastAsia="宋体"/>
          <w:strike w:val="0"/>
          <w:dstrike w:val="0"/>
          <w:color w:val="auto"/>
          <w:highlight w:val="none"/>
          <w:lang w:eastAsia="zh-CN"/>
        </w:rPr>
      </w:pPr>
      <w:r>
        <w:rPr>
          <w:rFonts w:hint="eastAsia" w:ascii="Times New Roman" w:hAnsi="Times New Roman" w:eastAsia="宋体"/>
          <w:strike w:val="0"/>
          <w:dstrike w:val="0"/>
          <w:color w:val="auto"/>
          <w:highlight w:val="none"/>
        </w:rPr>
        <w:t>（5）落实环境监测计划</w:t>
      </w:r>
      <w:r>
        <w:rPr>
          <w:rFonts w:hint="eastAsia" w:ascii="Times New Roman" w:hAnsi="Times New Roman" w:eastAsia="宋体"/>
          <w:strike w:val="0"/>
          <w:dstrike w:val="0"/>
          <w:color w:val="auto"/>
          <w:highlight w:val="none"/>
          <w:lang w:eastAsia="zh-CN"/>
        </w:rPr>
        <w:t>。</w:t>
      </w:r>
    </w:p>
    <w:bookmarkEnd w:id="481"/>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Noto Sans CJK JP Regular">
    <w:altName w:val="Arial"/>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hicago">
    <w:altName w:val="Arial"/>
    <w:panose1 w:val="00000000000000000000"/>
    <w:charset w:val="00"/>
    <w:family w:val="swiss"/>
    <w:pitch w:val="default"/>
    <w:sig w:usb0="00000000" w:usb1="00000000" w:usb2="00000000" w:usb3="00000000" w:csb0="0000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 w:name="Segoe UI Symbol">
    <w:panose1 w:val="020B0502040204020203"/>
    <w:charset w:val="00"/>
    <w:family w:val="auto"/>
    <w:pitch w:val="default"/>
    <w:sig w:usb0="800001E3" w:usb1="1200FFEF" w:usb2="00040000" w:usb3="04000000" w:csb0="00000001" w:csb1="40000000"/>
  </w:font>
  <w:font w:name="KSOF6B657194">
    <w:panose1 w:val="02020500000000000000"/>
    <w:charset w:val="88"/>
    <w:family w:val="auto"/>
    <w:pitch w:val="default"/>
    <w:sig w:usb0="00000001" w:usb1="00000000" w:usb2="00000000" w:usb3="00000000" w:csb0="00100001" w:csb1="00000000"/>
  </w:font>
  <w:font w:name="KSOFA61C387F">
    <w:panose1 w:val="020B060403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BC4B2">
    <w:pPr>
      <w:spacing w:line="224" w:lineRule="auto"/>
      <w:ind w:right="361"/>
      <w:jc w:val="center"/>
      <w:rPr>
        <w:rFonts w:ascii="等线" w:hAnsi="等线" w:eastAsia="等线" w:cs="等线"/>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A9473">
                          <w:pPr>
                            <w:pStyle w:val="26"/>
                          </w:pPr>
                          <w:r>
                            <w:fldChar w:fldCharType="begin"/>
                          </w:r>
                          <w:r>
                            <w:instrText xml:space="preserve"> PAGE  \* MERGEFORMAT </w:instrText>
                          </w:r>
                          <w:r>
                            <w:fldChar w:fldCharType="separate"/>
                          </w:r>
                          <w:r>
                            <w:t>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077A9473">
                    <w:pPr>
                      <w:pStyle w:val="26"/>
                    </w:pPr>
                    <w:r>
                      <w:fldChar w:fldCharType="begin"/>
                    </w:r>
                    <w:r>
                      <w:instrText xml:space="preserve"> PAGE  \* MERGEFORMAT </w:instrText>
                    </w:r>
                    <w:r>
                      <w:fldChar w:fldCharType="separate"/>
                    </w:r>
                    <w:r>
                      <w:t>IX</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740CA">
    <w:pPr>
      <w:spacing w:line="224" w:lineRule="auto"/>
      <w:ind w:left="4856"/>
      <w:rPr>
        <w:rFonts w:hint="eastAsia" w:ascii="等线" w:hAnsi="等线" w:eastAsia="宋体" w:cs="等线"/>
        <w:sz w:val="18"/>
        <w:szCs w:val="18"/>
        <w:lang w:eastAsia="zh-CN"/>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3" name="文本框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17F45">
                          <w:pPr>
                            <w:pStyle w:val="26"/>
                          </w:pPr>
                          <w:r>
                            <w:fldChar w:fldCharType="begin"/>
                          </w:r>
                          <w:r>
                            <w:instrText xml:space="preserve"> PAGE  \* MERGEFORMAT </w:instrText>
                          </w:r>
                          <w:r>
                            <w:fldChar w:fldCharType="separate"/>
                          </w:r>
                          <w:r>
                            <w:t>LXXXV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vUZ8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9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FvUZ8zAgAAZQQAAA4AAAAAAAAAAQAgAAAAHwEAAGRycy9lMm9Eb2MueG1sUEsF&#10;BgAAAAAGAAYAWQEAAMQFAAAAAA==&#10;">
              <v:fill on="f" focussize="0,0"/>
              <v:stroke on="f" weight="0.5pt"/>
              <v:imagedata o:title=""/>
              <o:lock v:ext="edit" aspectratio="f"/>
              <v:textbox inset="0mm,0mm,0mm,0mm" style="mso-fit-shape-to-text:t;">
                <w:txbxContent>
                  <w:p w14:paraId="0E217F45">
                    <w:pPr>
                      <w:pStyle w:val="26"/>
                    </w:pPr>
                    <w:r>
                      <w:fldChar w:fldCharType="begin"/>
                    </w:r>
                    <w:r>
                      <w:instrText xml:space="preserve"> PAGE  \* MERGEFORMAT </w:instrText>
                    </w:r>
                    <w:r>
                      <w:fldChar w:fldCharType="separate"/>
                    </w:r>
                    <w:r>
                      <w:t>LXXXV</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09BE9">
    <w:pPr>
      <w:pStyle w:val="26"/>
      <w:ind w:firstLine="360"/>
      <w:jc w:val="cente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88FFA">
                          <w:pPr>
                            <w:pStyle w:val="26"/>
                          </w:pPr>
                          <w:r>
                            <w:fldChar w:fldCharType="begin"/>
                          </w:r>
                          <w:r>
                            <w:instrText xml:space="preserve"> PAGE  \* MERGEFORMAT </w:instrText>
                          </w:r>
                          <w:r>
                            <w:fldChar w:fldCharType="separate"/>
                          </w:r>
                          <w:r>
                            <w:t>XCIX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0qqGo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0qqGozAgAAZQQAAA4AAAAAAAAAAQAgAAAAHwEAAGRycy9lMm9Eb2MueG1sUEsF&#10;BgAAAAAGAAYAWQEAAMQFAAAAAA==&#10;">
              <v:fill on="f" focussize="0,0"/>
              <v:stroke on="f" weight="0.5pt"/>
              <v:imagedata o:title=""/>
              <o:lock v:ext="edit" aspectratio="f"/>
              <v:textbox inset="0mm,0mm,0mm,0mm" style="mso-fit-shape-to-text:t;">
                <w:txbxContent>
                  <w:p w14:paraId="23B88FFA">
                    <w:pPr>
                      <w:pStyle w:val="26"/>
                    </w:pPr>
                    <w:r>
                      <w:fldChar w:fldCharType="begin"/>
                    </w:r>
                    <w:r>
                      <w:instrText xml:space="preserve"> PAGE  \* MERGEFORMAT </w:instrText>
                    </w:r>
                    <w:r>
                      <w:fldChar w:fldCharType="separate"/>
                    </w:r>
                    <w:r>
                      <w:t>XCIX</w:t>
                    </w:r>
                    <w:r>
                      <w:fldChar w:fldCharType="end"/>
                    </w:r>
                  </w:p>
                </w:txbxContent>
              </v:textbox>
            </v:shape>
          </w:pict>
        </mc:Fallback>
      </mc:AlternateContent>
    </w:r>
  </w:p>
  <w:p w14:paraId="704BE99D">
    <w:pPr>
      <w:pStyle w:val="12"/>
      <w:kinsoku w:val="0"/>
      <w:overflowPunct w:val="0"/>
      <w:spacing w:line="14" w:lineRule="auto"/>
      <w:rPr>
        <w:rFonts w:eastAsia="等线"/>
        <w:sz w:val="20"/>
        <w:szCs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F8B29">
    <w:pPr>
      <w:spacing w:line="1" w:lineRule="exact"/>
      <w:ind w:firstLine="480"/>
    </w:pPr>
    <w:r>
      <w:rPr>
        <w:sz w:val="24"/>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A099B">
                          <w:pPr>
                            <w:pStyle w:val="26"/>
                          </w:pPr>
                          <w:r>
                            <w:fldChar w:fldCharType="begin"/>
                          </w:r>
                          <w:r>
                            <w:instrText xml:space="preserve"> PAGE  \* MERGEFORMAT </w:instrText>
                          </w:r>
                          <w:r>
                            <w:fldChar w:fldCharType="separate"/>
                          </w:r>
                          <w:r>
                            <w:t>CXLI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T7t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k+7WNAIAAGUEAAAOAAAAAAAAAAEAIAAAAB8BAABkcnMvZTJvRG9jLnhtbFBL&#10;BQYAAAAABgAGAFkBAADFBQAAAAA=&#10;">
              <v:fill on="f" focussize="0,0"/>
              <v:stroke on="f" weight="0.5pt"/>
              <v:imagedata o:title=""/>
              <o:lock v:ext="edit" aspectratio="f"/>
              <v:textbox inset="0mm,0mm,0mm,0mm" style="mso-fit-shape-to-text:t;">
                <w:txbxContent>
                  <w:p w14:paraId="73BA099B">
                    <w:pPr>
                      <w:pStyle w:val="26"/>
                    </w:pPr>
                    <w:r>
                      <w:fldChar w:fldCharType="begin"/>
                    </w:r>
                    <w:r>
                      <w:instrText xml:space="preserve"> PAGE  \* MERGEFORMAT </w:instrText>
                    </w:r>
                    <w:r>
                      <w:fldChar w:fldCharType="separate"/>
                    </w:r>
                    <w:r>
                      <w:t>CXLI</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0F49F">
    <w:pPr>
      <w:spacing w:line="1" w:lineRule="exact"/>
      <w:ind w:firstLine="480"/>
    </w:pPr>
    <w:r>
      <w:rPr>
        <w:sz w:val="24"/>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E4200">
                          <w:pPr>
                            <w:pStyle w:val="26"/>
                          </w:pPr>
                          <w:r>
                            <w:fldChar w:fldCharType="begin"/>
                          </w:r>
                          <w:r>
                            <w:instrText xml:space="preserve"> PAGE  \* MERGEFORMAT </w:instrText>
                          </w:r>
                          <w:r>
                            <w:fldChar w:fldCharType="separate"/>
                          </w:r>
                          <w:r>
                            <w:t>CXL</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14:paraId="043E4200">
                    <w:pPr>
                      <w:pStyle w:val="26"/>
                    </w:pPr>
                    <w:r>
                      <w:fldChar w:fldCharType="begin"/>
                    </w:r>
                    <w:r>
                      <w:instrText xml:space="preserve"> PAGE  \* MERGEFORMAT </w:instrText>
                    </w:r>
                    <w:r>
                      <w:fldChar w:fldCharType="separate"/>
                    </w:r>
                    <w:r>
                      <w:t>CXL</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5600B">
    <w:pPr>
      <w:spacing w:line="224" w:lineRule="auto"/>
      <w:ind w:left="4546"/>
      <w:rPr>
        <w:rFonts w:hint="eastAsia" w:ascii="等线" w:hAnsi="等线" w:eastAsia="宋体" w:cs="等线"/>
        <w:sz w:val="18"/>
        <w:szCs w:val="18"/>
        <w:lang w:eastAsia="zh-CN"/>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06D8F">
                          <w:pPr>
                            <w:pStyle w:val="26"/>
                          </w:pPr>
                          <w:r>
                            <w:fldChar w:fldCharType="begin"/>
                          </w:r>
                          <w:r>
                            <w:instrText xml:space="preserve"> PAGE  \* MERGEFORMAT </w:instrText>
                          </w:r>
                          <w:r>
                            <w:fldChar w:fldCharType="separate"/>
                          </w:r>
                          <w:r>
                            <w:t>CLXI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16F06D8F">
                    <w:pPr>
                      <w:pStyle w:val="26"/>
                    </w:pPr>
                    <w:r>
                      <w:fldChar w:fldCharType="begin"/>
                    </w:r>
                    <w:r>
                      <w:instrText xml:space="preserve"> PAGE  \* MERGEFORMAT </w:instrText>
                    </w:r>
                    <w:r>
                      <w:fldChar w:fldCharType="separate"/>
                    </w:r>
                    <w:r>
                      <w:t>CLXI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C4A45">
    <w:pPr>
      <w:pStyle w:val="26"/>
      <w:ind w:firstLine="420"/>
      <w:rPr>
        <w:sz w:val="21"/>
        <w:szCs w:val="21"/>
      </w:rPr>
    </w:pPr>
    <w:r>
      <w:rPr>
        <w:sz w:val="21"/>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7C6A1">
                          <w:pPr>
                            <w:pStyle w:val="26"/>
                          </w:pPr>
                          <w:r>
                            <w:fldChar w:fldCharType="begin"/>
                          </w:r>
                          <w:r>
                            <w:instrText xml:space="preserve"> PAGE  \* MERGEFORMAT </w:instrText>
                          </w:r>
                          <w:r>
                            <w:fldChar w:fldCharType="separate"/>
                          </w:r>
                          <w:r>
                            <w:t>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5927C6A1">
                    <w:pPr>
                      <w:pStyle w:val="26"/>
                    </w:pPr>
                    <w:r>
                      <w:fldChar w:fldCharType="begin"/>
                    </w:r>
                    <w:r>
                      <w:instrText xml:space="preserve"> PAGE  \* MERGEFORMAT </w:instrText>
                    </w:r>
                    <w:r>
                      <w:fldChar w:fldCharType="separate"/>
                    </w:r>
                    <w:r>
                      <w:t>X</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359D">
    <w:pPr>
      <w:pStyle w:val="26"/>
      <w:ind w:firstLine="360"/>
      <w:jc w:val="cente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94196">
                          <w:pPr>
                            <w:pStyle w:val="26"/>
                          </w:pPr>
                          <w:r>
                            <w:fldChar w:fldCharType="begin"/>
                          </w:r>
                          <w:r>
                            <w:instrText xml:space="preserve"> PAGE  \* MERGEFORMAT </w:instrText>
                          </w:r>
                          <w:r>
                            <w:fldChar w:fldCharType="separate"/>
                          </w:r>
                          <w:r>
                            <w:t>VIII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61B94196">
                    <w:pPr>
                      <w:pStyle w:val="26"/>
                    </w:pPr>
                    <w:r>
                      <w:fldChar w:fldCharType="begin"/>
                    </w:r>
                    <w:r>
                      <w:instrText xml:space="preserve"> PAGE  \* MERGEFORMAT </w:instrText>
                    </w:r>
                    <w:r>
                      <w:fldChar w:fldCharType="separate"/>
                    </w:r>
                    <w:r>
                      <w:t>VIII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57F3">
    <w:pPr>
      <w:spacing w:line="224" w:lineRule="auto"/>
      <w:ind w:right="361"/>
      <w:jc w:val="center"/>
      <w:rPr>
        <w:rFonts w:ascii="等线" w:hAnsi="等线" w:eastAsia="等线" w:cs="等线"/>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B10BC">
                          <w:pPr>
                            <w:pStyle w:val="26"/>
                          </w:pPr>
                          <w:r>
                            <w:fldChar w:fldCharType="begin"/>
                          </w:r>
                          <w:r>
                            <w:instrText xml:space="preserve"> PAGE  \* MERGEFORMAT </w:instrText>
                          </w:r>
                          <w:r>
                            <w:fldChar w:fldCharType="separate"/>
                          </w:r>
                          <w:r>
                            <w:t>IX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666B10BC">
                    <w:pPr>
                      <w:pStyle w:val="26"/>
                    </w:pPr>
                    <w:r>
                      <w:fldChar w:fldCharType="begin"/>
                    </w:r>
                    <w:r>
                      <w:instrText xml:space="preserve"> PAGE  \* MERGEFORMAT </w:instrText>
                    </w:r>
                    <w:r>
                      <w:fldChar w:fldCharType="separate"/>
                    </w:r>
                    <w:r>
                      <w:t>IX</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F91C3">
    <w:pPr>
      <w:pStyle w:val="26"/>
      <w:ind w:firstLine="420"/>
      <w:rPr>
        <w:sz w:val="21"/>
        <w:szCs w:val="21"/>
      </w:rPr>
    </w:pPr>
    <w:r>
      <w:rPr>
        <w:sz w:val="21"/>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D9146">
                          <w:pPr>
                            <w:pStyle w:val="26"/>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103D9146">
                    <w:pPr>
                      <w:pStyle w:val="26"/>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EC578">
    <w:pPr>
      <w:pStyle w:val="26"/>
      <w:ind w:firstLine="360"/>
      <w:jc w:val="cente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624CB">
                          <w:pPr>
                            <w:pStyle w:val="2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357624CB">
                    <w:pPr>
                      <w:pStyle w:val="2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BC3FF">
    <w:pPr>
      <w:spacing w:line="224" w:lineRule="auto"/>
      <w:ind w:right="361"/>
      <w:jc w:val="center"/>
      <w:rPr>
        <w:rFonts w:ascii="等线" w:hAnsi="等线" w:eastAsia="等线" w:cs="等线"/>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5531DA">
                          <w:pPr>
                            <w:pStyle w:val="26"/>
                          </w:pPr>
                          <w:r>
                            <w:fldChar w:fldCharType="begin"/>
                          </w:r>
                          <w:r>
                            <w:instrText xml:space="preserve"> PAGE  \* MERGEFORMAT </w:instrText>
                          </w:r>
                          <w:r>
                            <w:fldChar w:fldCharType="separate"/>
                          </w:r>
                          <w:r>
                            <w:t>XVII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14:paraId="675531DA">
                    <w:pPr>
                      <w:pStyle w:val="26"/>
                    </w:pPr>
                    <w:r>
                      <w:fldChar w:fldCharType="begin"/>
                    </w:r>
                    <w:r>
                      <w:instrText xml:space="preserve"> PAGE  \* MERGEFORMAT </w:instrText>
                    </w:r>
                    <w:r>
                      <w:fldChar w:fldCharType="separate"/>
                    </w:r>
                    <w:r>
                      <w:t>XVII</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23EE">
    <w:pPr>
      <w:keepNext w:val="0"/>
      <w:keepLines w:val="0"/>
      <w:pageBreakBefore w:val="0"/>
      <w:widowControl w:val="0"/>
      <w:kinsoku/>
      <w:wordWrap/>
      <w:overflowPunct/>
      <w:topLinePunct w:val="0"/>
      <w:autoSpaceDE/>
      <w:autoSpaceDN/>
      <w:bidi w:val="0"/>
      <w:adjustRightInd/>
      <w:snapToGrid/>
      <w:spacing w:line="224" w:lineRule="auto"/>
      <w:ind w:right="0" w:firstLine="0" w:firstLineChars="0"/>
      <w:jc w:val="center"/>
      <w:textAlignment w:val="auto"/>
      <w:rPr>
        <w:rFonts w:ascii="等线" w:hAnsi="等线" w:eastAsia="等线" w:cs="等线"/>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3A70D">
                          <w:pPr>
                            <w:pStyle w:val="26"/>
                          </w:pPr>
                          <w:r>
                            <w:fldChar w:fldCharType="begin"/>
                          </w:r>
                          <w:r>
                            <w:instrText xml:space="preserve"> PAGE  \* MERGEFORMAT </w:instrText>
                          </w:r>
                          <w:r>
                            <w:fldChar w:fldCharType="separate"/>
                          </w:r>
                          <w:r>
                            <w:t>XLIII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14:paraId="0B93A70D">
                    <w:pPr>
                      <w:pStyle w:val="26"/>
                    </w:pPr>
                    <w:r>
                      <w:fldChar w:fldCharType="begin"/>
                    </w:r>
                    <w:r>
                      <w:instrText xml:space="preserve"> PAGE  \* MERGEFORMAT </w:instrText>
                    </w:r>
                    <w:r>
                      <w:fldChar w:fldCharType="separate"/>
                    </w:r>
                    <w:r>
                      <w:t>XLIII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4B902">
    <w:pPr>
      <w:spacing w:line="224" w:lineRule="auto"/>
      <w:ind w:left="4281"/>
      <w:rPr>
        <w:rFonts w:ascii="等线" w:hAnsi="等线" w:eastAsia="等线" w:cs="等线"/>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4C867">
                          <w:pPr>
                            <w:pStyle w:val="26"/>
                          </w:pPr>
                          <w:r>
                            <w:fldChar w:fldCharType="begin"/>
                          </w:r>
                          <w:r>
                            <w:instrText xml:space="preserve"> PAGE  \* MERGEFORMAT </w:instrText>
                          </w:r>
                          <w:r>
                            <w:fldChar w:fldCharType="separate"/>
                          </w:r>
                          <w:r>
                            <w:t>LXXI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7404C867">
                    <w:pPr>
                      <w:pStyle w:val="26"/>
                    </w:pPr>
                    <w:r>
                      <w:fldChar w:fldCharType="begin"/>
                    </w:r>
                    <w:r>
                      <w:instrText xml:space="preserve"> PAGE  \* MERGEFORMAT </w:instrText>
                    </w:r>
                    <w:r>
                      <w:fldChar w:fldCharType="separate"/>
                    </w:r>
                    <w:r>
                      <w:t>LXXI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C31DF">
    <w:pPr>
      <w:keepNext w:val="0"/>
      <w:keepLines w:val="0"/>
      <w:pageBreakBefore w:val="0"/>
      <w:widowControl w:val="0"/>
      <w:kinsoku/>
      <w:wordWrap/>
      <w:overflowPunct/>
      <w:topLinePunct w:val="0"/>
      <w:bidi w:val="0"/>
      <w:adjustRightInd/>
      <w:snapToGrid/>
      <w:spacing w:line="360" w:lineRule="auto"/>
      <w:ind w:left="0" w:firstLine="0" w:firstLineChars="0"/>
      <w:jc w:val="center"/>
      <w:textAlignment w:val="auto"/>
      <w:rPr>
        <w:rFonts w:ascii="等线" w:hAnsi="等线" w:eastAsia="等线" w:cs="等线"/>
        <w:sz w:val="18"/>
        <w:szCs w:val="18"/>
      </w:rPr>
    </w:pPr>
    <w:r>
      <mc:AlternateContent>
        <mc:Choice Requires="wps">
          <w:drawing>
            <wp:anchor distT="0" distB="0" distL="114300" distR="114300" simplePos="0" relativeHeight="251740160" behindDoc="0" locked="0" layoutInCell="0" allowOverlap="1">
              <wp:simplePos x="0" y="0"/>
              <wp:positionH relativeFrom="page">
                <wp:posOffset>1122045</wp:posOffset>
              </wp:positionH>
              <wp:positionV relativeFrom="page">
                <wp:posOffset>708660</wp:posOffset>
              </wp:positionV>
              <wp:extent cx="5317490" cy="9525"/>
              <wp:effectExtent l="0" t="0" r="0" b="0"/>
              <wp:wrapNone/>
              <wp:docPr id="40" name="任意多边形 40"/>
              <wp:cNvGraphicFramePr/>
              <a:graphic xmlns:a="http://schemas.openxmlformats.org/drawingml/2006/main">
                <a:graphicData uri="http://schemas.microsoft.com/office/word/2010/wordprocessingShape">
                  <wps:wsp>
                    <wps:cNvSpPr/>
                    <wps:spPr>
                      <a:xfrm>
                        <a:off x="0" y="0"/>
                        <a:ext cx="5317490" cy="9525"/>
                      </a:xfrm>
                      <a:custGeom>
                        <a:avLst/>
                        <a:gdLst/>
                        <a:ahLst/>
                        <a:cxnLst/>
                        <a:pathLst>
                          <a:path w="8374" h="15">
                            <a:moveTo>
                              <a:pt x="0" y="14"/>
                            </a:moveTo>
                            <a:lnTo>
                              <a:pt x="8373" y="14"/>
                            </a:lnTo>
                            <a:lnTo>
                              <a:pt x="8373"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35pt;margin-top:55.8pt;height:0.75pt;width:418.7pt;mso-position-horizontal-relative:page;mso-position-vertical-relative:page;z-index:251740160;mso-width-relative:page;mso-height-relative:page;" fillcolor="#000000" filled="t" stroked="f" coordsize="8374,15" o:allowincell="f" o:gfxdata="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H5k3WAAAADAEAAA8AAAAA&#10;AAAAAQAgAAAAIgAAAGRycy9kb3ducmV2LnhtbFBLAQIUABQAAAAIAIdO4kAPebfxFgIAAH4EAAAO&#10;AAAAAAAAAAEAIAAAACUBAABkcnMvZTJvRG9jLnhtbFBLBQYAAAAABgAGAFkBAACtBQAAAAA=&#10;" path="m0,14l8373,14,8373,0,0,0,0,14xe">
              <v:fill on="t" focussize="0,0"/>
              <v:stroke on="f"/>
              <v:imagedata o:title=""/>
              <o:lock v:ext="edit" aspectratio="f"/>
            </v:shape>
          </w:pict>
        </mc:Fallback>
      </mc:AlternateContent>
    </w:r>
    <w:r>
      <w:rPr>
        <w:rFonts w:hint="eastAsia" w:ascii="等线" w:hAnsi="等线" w:eastAsia="等线" w:cs="等线"/>
        <w:spacing w:val="-1"/>
        <w:sz w:val="18"/>
        <w:szCs w:val="18"/>
        <w:lang w:eastAsia="zh-CN"/>
      </w:rPr>
      <w:t>木垒县2026年长眉驼良种繁育基地建设项目</w:t>
    </w:r>
    <w:r>
      <w:rPr>
        <w:rFonts w:ascii="等线" w:hAnsi="等线" w:eastAsia="等线" w:cs="等线"/>
        <w:sz w:val="18"/>
        <w:szCs w:val="18"/>
      </w:rPr>
      <w:t>环境影响报告书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7B051">
    <w:pPr>
      <w:pStyle w:val="16"/>
      <w:pBdr>
        <w:bottom w:val="thinThickSmallGap" w:color="auto" w:sz="24" w:space="1"/>
      </w:pBdr>
      <w:ind w:firstLine="0" w:firstLineChars="0"/>
    </w:pPr>
    <w:r>
      <w:rPr>
        <w:rFonts w:hint="eastAsia"/>
        <w:lang w:eastAsia="zh-CN"/>
      </w:rPr>
      <w:t>木垒县2026年长眉驼良种繁育基地建设项目</w:t>
    </w:r>
    <w:r>
      <w:rPr>
        <w:rFonts w:hint="eastAsia"/>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3D2B">
    <w:pPr>
      <w:pStyle w:val="16"/>
      <w:pBdr>
        <w:bottom w:val="thinThickSmallGap" w:color="auto" w:sz="24" w:space="1"/>
      </w:pBdr>
      <w:ind w:firstLine="360"/>
    </w:pPr>
    <w:r>
      <w:rPr>
        <w:rFonts w:hint="eastAsia"/>
        <w:lang w:eastAsia="zh-CN"/>
      </w:rPr>
      <w:t>木垒县2026年长眉驼良种繁育基地建设项目</w:t>
    </w:r>
    <w:r>
      <w:rPr>
        <w:rFonts w:hint="eastAsia"/>
      </w:rPr>
      <w:t>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B96A6">
    <w:pPr>
      <w:keepNext w:val="0"/>
      <w:keepLines w:val="0"/>
      <w:pageBreakBefore w:val="0"/>
      <w:widowControl w:val="0"/>
      <w:kinsoku/>
      <w:wordWrap/>
      <w:overflowPunct/>
      <w:topLinePunct w:val="0"/>
      <w:autoSpaceDE/>
      <w:autoSpaceDN/>
      <w:bidi w:val="0"/>
      <w:adjustRightInd/>
      <w:snapToGrid/>
      <w:spacing w:line="226" w:lineRule="auto"/>
      <w:ind w:firstLine="0" w:firstLineChars="0"/>
      <w:jc w:val="center"/>
      <w:textAlignment w:val="auto"/>
      <w:rPr>
        <w:rFonts w:ascii="等线" w:hAnsi="等线" w:eastAsia="等线" w:cs="等线"/>
        <w:sz w:val="18"/>
        <w:szCs w:val="18"/>
      </w:rPr>
    </w:pPr>
    <w:r>
      <mc:AlternateContent>
        <mc:Choice Requires="wps">
          <w:drawing>
            <wp:anchor distT="0" distB="0" distL="114300" distR="114300" simplePos="0" relativeHeight="251741184" behindDoc="0" locked="0" layoutInCell="0" allowOverlap="1">
              <wp:simplePos x="0" y="0"/>
              <wp:positionH relativeFrom="page">
                <wp:posOffset>1123950</wp:posOffset>
              </wp:positionH>
              <wp:positionV relativeFrom="page">
                <wp:posOffset>708660</wp:posOffset>
              </wp:positionV>
              <wp:extent cx="5313680" cy="9525"/>
              <wp:effectExtent l="0" t="0" r="0" b="0"/>
              <wp:wrapNone/>
              <wp:docPr id="43" name="任意多边形 43"/>
              <wp:cNvGraphicFramePr/>
              <a:graphic xmlns:a="http://schemas.openxmlformats.org/drawingml/2006/main">
                <a:graphicData uri="http://schemas.microsoft.com/office/word/2010/wordprocessingShape">
                  <wps:wsp>
                    <wps:cNvSpPr/>
                    <wps:spPr>
                      <a:xfrm>
                        <a:off x="0" y="0"/>
                        <a:ext cx="5313680" cy="9525"/>
                      </a:xfrm>
                      <a:custGeom>
                        <a:avLst/>
                        <a:gdLst/>
                        <a:ahLst/>
                        <a:cxnLst/>
                        <a:pathLst>
                          <a:path w="8367" h="15">
                            <a:moveTo>
                              <a:pt x="0" y="14"/>
                            </a:moveTo>
                            <a:lnTo>
                              <a:pt x="8367" y="14"/>
                            </a:lnTo>
                            <a:lnTo>
                              <a:pt x="836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5pt;margin-top:55.8pt;height:0.75pt;width:418.4pt;mso-position-horizontal-relative:page;mso-position-vertical-relative:page;z-index:251741184;mso-width-relative:page;mso-height-relative:page;" fillcolor="#000000" filled="t" stroked="f" coordsize="8367,15" o:allowincell="f" o:gfxdata="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YXn82AAAAAwBAAAPAAAA&#10;AAAAAAEAIAAAACIAAABkcnMvZG93bnJldi54bWxQSwECFAAUAAAACACHTuJAEHBlVhUCAAB+BAAA&#10;DgAAAAAAAAABACAAAAAnAQAAZHJzL2Uyb0RvYy54bWxQSwUGAAAAAAYABgBZAQAArgUAAAAA&#10;" path="m0,14l8367,14,8367,0,0,0,0,14xe">
              <v:fill on="t" focussize="0,0"/>
              <v:stroke on="f"/>
              <v:imagedata o:title=""/>
              <o:lock v:ext="edit" aspectratio="f"/>
            </v:shape>
          </w:pict>
        </mc:Fallback>
      </mc:AlternateContent>
    </w:r>
    <w:r>
      <w:rPr>
        <w:rFonts w:hint="eastAsia" w:ascii="等线" w:hAnsi="等线" w:eastAsia="等线" w:cs="等线"/>
        <w:spacing w:val="-1"/>
        <w:sz w:val="18"/>
        <w:szCs w:val="18"/>
        <w:lang w:eastAsia="zh-CN"/>
      </w:rPr>
      <w:t>木垒县2026年长眉驼良种繁育基地建设项目</w:t>
    </w:r>
    <w:r>
      <w:rPr>
        <w:rFonts w:ascii="等线" w:hAnsi="等线" w:eastAsia="等线" w:cs="等线"/>
        <w:sz w:val="18"/>
        <w:szCs w:val="18"/>
      </w:rPr>
      <w:t>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1DD5C">
    <w:pPr>
      <w:keepNext w:val="0"/>
      <w:keepLines w:val="0"/>
      <w:pageBreakBefore w:val="0"/>
      <w:widowControl w:val="0"/>
      <w:kinsoku/>
      <w:wordWrap/>
      <w:overflowPunct/>
      <w:topLinePunct w:val="0"/>
      <w:autoSpaceDE/>
      <w:autoSpaceDN/>
      <w:bidi w:val="0"/>
      <w:adjustRightInd/>
      <w:snapToGrid/>
      <w:spacing w:line="226" w:lineRule="auto"/>
      <w:ind w:firstLine="0" w:firstLineChars="0"/>
      <w:jc w:val="center"/>
      <w:textAlignment w:val="auto"/>
      <w:rPr>
        <w:rFonts w:hint="eastAsia" w:ascii="等线" w:hAnsi="等线" w:eastAsia="宋体" w:cs="等线"/>
        <w:sz w:val="18"/>
        <w:szCs w:val="18"/>
        <w:lang w:eastAsia="zh-CN"/>
      </w:rPr>
    </w:pPr>
    <w:r>
      <mc:AlternateContent>
        <mc:Choice Requires="wps">
          <w:drawing>
            <wp:anchor distT="0" distB="0" distL="114300" distR="114300" simplePos="0" relativeHeight="251742208" behindDoc="0" locked="0" layoutInCell="0" allowOverlap="1">
              <wp:simplePos x="0" y="0"/>
              <wp:positionH relativeFrom="page">
                <wp:posOffset>1123950</wp:posOffset>
              </wp:positionH>
              <wp:positionV relativeFrom="page">
                <wp:posOffset>708660</wp:posOffset>
              </wp:positionV>
              <wp:extent cx="5313680" cy="9525"/>
              <wp:effectExtent l="0" t="0" r="0" b="0"/>
              <wp:wrapNone/>
              <wp:docPr id="45" name="任意多边形 45"/>
              <wp:cNvGraphicFramePr/>
              <a:graphic xmlns:a="http://schemas.openxmlformats.org/drawingml/2006/main">
                <a:graphicData uri="http://schemas.microsoft.com/office/word/2010/wordprocessingShape">
                  <wps:wsp>
                    <wps:cNvSpPr/>
                    <wps:spPr>
                      <a:xfrm>
                        <a:off x="0" y="0"/>
                        <a:ext cx="5313680" cy="9525"/>
                      </a:xfrm>
                      <a:custGeom>
                        <a:avLst/>
                        <a:gdLst/>
                        <a:ahLst/>
                        <a:cxnLst/>
                        <a:pathLst>
                          <a:path w="8367" h="15">
                            <a:moveTo>
                              <a:pt x="0" y="14"/>
                            </a:moveTo>
                            <a:lnTo>
                              <a:pt x="8367" y="14"/>
                            </a:lnTo>
                            <a:lnTo>
                              <a:pt x="8367"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5pt;margin-top:55.8pt;height:0.75pt;width:418.4pt;mso-position-horizontal-relative:page;mso-position-vertical-relative:page;z-index:251742208;mso-width-relative:page;mso-height-relative:page;" fillcolor="#000000" filled="t" stroked="f" coordsize="8367,15" o:allowincell="f" o:gfxdata="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mF5/NgAAAAMAQAADwAA&#10;AAAAAAABACAAAAAiAAAAZHJzL2Rvd25yZXYueG1sUEsBAhQAFAAAAAgAh07iQNRXPqQWAgAAfgQA&#10;AA4AAAAAAAAAAQAgAAAAJwEAAGRycy9lMm9Eb2MueG1sUEsFBgAAAAAGAAYAWQEAAK8FAAAAAA==&#10;" path="m0,14l8367,14,8367,0,0,0,0,14xe">
              <v:fill on="t" focussize="0,0"/>
              <v:stroke on="f"/>
              <v:imagedata o:title=""/>
              <o:lock v:ext="edit" aspectratio="f"/>
            </v:shape>
          </w:pict>
        </mc:Fallback>
      </mc:AlternateContent>
    </w:r>
    <w:r>
      <w:rPr>
        <w:rFonts w:hint="eastAsia" w:ascii="等线" w:hAnsi="等线" w:eastAsia="等线" w:cs="等线"/>
        <w:spacing w:val="-1"/>
        <w:sz w:val="18"/>
        <w:szCs w:val="18"/>
        <w:lang w:eastAsia="zh-CN"/>
      </w:rPr>
      <w:t>木垒县2026年长眉驼良种繁育基地建设项目环境影响报告书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DB9AC">
    <w:pPr>
      <w:spacing w:line="218" w:lineRule="auto"/>
      <w:ind w:left="2698"/>
      <w:jc w:val="center"/>
      <w:rPr>
        <w:rFonts w:hint="eastAsia" w:ascii="宋体" w:hAnsi="宋体" w:eastAsia="宋体" w:cs="宋体"/>
        <w:sz w:val="18"/>
        <w:szCs w:val="18"/>
        <w:lang w:eastAsia="zh-CN"/>
      </w:rPr>
    </w:pPr>
    <w:r>
      <mc:AlternateContent>
        <mc:Choice Requires="wps">
          <w:drawing>
            <wp:anchor distT="0" distB="0" distL="114300" distR="114300" simplePos="0" relativeHeight="251743232" behindDoc="0" locked="0" layoutInCell="0" allowOverlap="1">
              <wp:simplePos x="0" y="0"/>
              <wp:positionH relativeFrom="page">
                <wp:posOffset>988695</wp:posOffset>
              </wp:positionH>
              <wp:positionV relativeFrom="page">
                <wp:posOffset>701675</wp:posOffset>
              </wp:positionV>
              <wp:extent cx="5690870" cy="9525"/>
              <wp:effectExtent l="0" t="0" r="0" b="0"/>
              <wp:wrapNone/>
              <wp:docPr id="107" name="任意多边形 107"/>
              <wp:cNvGraphicFramePr/>
              <a:graphic xmlns:a="http://schemas.openxmlformats.org/drawingml/2006/main">
                <a:graphicData uri="http://schemas.microsoft.com/office/word/2010/wordprocessingShape">
                  <wps:wsp>
                    <wps:cNvSpPr/>
                    <wps:spPr>
                      <a:xfrm>
                        <a:off x="0" y="0"/>
                        <a:ext cx="5690870" cy="9525"/>
                      </a:xfrm>
                      <a:custGeom>
                        <a:avLst/>
                        <a:gdLst/>
                        <a:ahLst/>
                        <a:cxnLst/>
                        <a:pathLst>
                          <a:path w="8962" h="15">
                            <a:moveTo>
                              <a:pt x="0" y="14"/>
                            </a:moveTo>
                            <a:lnTo>
                              <a:pt x="8961" y="14"/>
                            </a:lnTo>
                            <a:lnTo>
                              <a:pt x="896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7.85pt;margin-top:55.25pt;height:0.75pt;width:448.1pt;mso-position-horizontal-relative:page;mso-position-vertical-relative:page;z-index:251743232;mso-width-relative:page;mso-height-relative:page;" fillcolor="#000000" filled="t" stroked="f" coordsize="8962,15" o:allowincell="f" o:gfxdata="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TXl/x2QAAAAwBAAAP&#10;AAAAAAAAAAEAIAAAACIAAABkcnMvZG93bnJldi54bWxQSwECFAAUAAAACACHTuJAX4W9jBcCAACA&#10;BAAADgAAAAAAAAABACAAAAAoAQAAZHJzL2Uyb0RvYy54bWxQSwUGAAAAAAYABgBZAQAAsQUAAAAA&#10;" path="m0,14l8961,14,8961,0,0,0,0,14xe">
              <v:fill on="t" focussize="0,0"/>
              <v:stroke on="f"/>
              <v:imagedata o:title=""/>
              <o:lock v:ext="edit" aspectratio="f"/>
            </v:shape>
          </w:pict>
        </mc:Fallback>
      </mc:AlternateContent>
    </w:r>
    <w:r>
      <w:rPr>
        <w:rFonts w:hint="eastAsia" w:ascii="宋体" w:hAnsi="宋体" w:cs="宋体"/>
        <w:spacing w:val="-1"/>
        <w:sz w:val="18"/>
        <w:szCs w:val="18"/>
        <w:lang w:eastAsia="zh-CN"/>
      </w:rPr>
      <w:t>木垒县2026年长眉驼良种繁育基地建设项目环境影响报告书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8ECCD">
    <w:pPr>
      <w:pStyle w:val="16"/>
      <w:pBdr>
        <w:bottom w:val="thinThickSmallGap" w:color="auto" w:sz="24" w:space="1"/>
      </w:pBdr>
      <w:ind w:firstLine="0" w:firstLineChars="0"/>
    </w:pPr>
  </w:p>
  <w:p w14:paraId="6C326310">
    <w:pPr>
      <w:pStyle w:val="16"/>
      <w:pBdr>
        <w:bottom w:val="thinThickSmallGap" w:color="auto" w:sz="24" w:space="1"/>
      </w:pBdr>
      <w:ind w:firstLine="0" w:firstLineChars="0"/>
    </w:pPr>
    <w:r>
      <w:rPr>
        <w:rFonts w:hint="eastAsia"/>
        <w:lang w:eastAsia="zh-CN"/>
      </w:rPr>
      <w:t>木垒县2026年长眉驼良种繁育基地建设项目</w:t>
    </w:r>
    <w:r>
      <w:rPr>
        <w:rFonts w:hint="eastAsia"/>
      </w:rPr>
      <w:t>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2064D"/>
    <w:multiLevelType w:val="multilevel"/>
    <w:tmpl w:val="00A2064D"/>
    <w:lvl w:ilvl="0" w:tentative="0">
      <w:start w:val="1"/>
      <w:numFmt w:val="decimal"/>
      <w:suff w:val="space"/>
      <w:lvlText w:val="%1"/>
      <w:lvlJc w:val="left"/>
      <w:pPr>
        <w:ind w:left="0" w:firstLine="0"/>
      </w:pPr>
      <w:rPr>
        <w:rFonts w:hint="eastAsia" w:ascii="黑体" w:eastAsia="黑体"/>
        <w:b/>
        <w:i w:val="0"/>
        <w:sz w:val="36"/>
        <w:szCs w:val="36"/>
      </w:rPr>
    </w:lvl>
    <w:lvl w:ilvl="1" w:tentative="0">
      <w:start w:val="1"/>
      <w:numFmt w:val="decimal"/>
      <w:suff w:val="space"/>
      <w:lvlText w:val="%1.%2"/>
      <w:lvlJc w:val="left"/>
      <w:pPr>
        <w:ind w:left="0" w:firstLine="0"/>
      </w:pPr>
      <w:rPr>
        <w:rFonts w:hint="default" w:ascii="Times New Roman" w:hAnsi="Times New Roman" w:eastAsia="黑体"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2" w:tentative="0">
      <w:start w:val="1"/>
      <w:numFmt w:val="decimal"/>
      <w:suff w:val="space"/>
      <w:lvlText w:val="%1.%2.%3"/>
      <w:lvlJc w:val="left"/>
      <w:pPr>
        <w:ind w:left="0" w:firstLine="0"/>
      </w:pPr>
      <w:rPr>
        <w:rFonts w:hint="default" w:ascii="Times New Roman" w:hAnsi="Times New Roman" w:cs="Times New Roman"/>
        <w:b/>
        <w:bCs w:val="0"/>
        <w:i w:val="0"/>
        <w:iCs w:val="0"/>
        <w:caps w:val="0"/>
        <w:smallCaps w:val="0"/>
        <w:strike w:val="0"/>
        <w:dstrike w:val="0"/>
        <w:vanish w:val="0"/>
        <w:spacing w:val="0"/>
        <w:position w:val="0"/>
        <w:u w:val="none"/>
        <w:vertAlign w:val="baseline"/>
      </w:rPr>
    </w:lvl>
    <w:lvl w:ilvl="3" w:tentative="0">
      <w:start w:val="1"/>
      <w:numFmt w:val="decimal"/>
      <w:pStyle w:val="128"/>
      <w:suff w:val="space"/>
      <w:lvlText w:val="%1.%2.%3.%4"/>
      <w:lvlJc w:val="left"/>
      <w:pPr>
        <w:ind w:left="0" w:firstLine="0"/>
      </w:pPr>
      <w:rPr>
        <w:rFonts w:hint="default" w:ascii="Times New Roman" w:hAnsi="Times New Roman" w:eastAsia="宋体" w:cs="Times New Roman"/>
        <w:b/>
        <w:i w:val="0"/>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11BC38E9"/>
    <w:multiLevelType w:val="singleLevel"/>
    <w:tmpl w:val="11BC38E9"/>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hideSpellingErrors/>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iOGYwNDU3MTQxNTI2N2U2NjcwOGRlYThlYTJlNDgifQ=="/>
  </w:docVars>
  <w:rsids>
    <w:rsidRoot w:val="00332B32"/>
    <w:rsid w:val="0000036F"/>
    <w:rsid w:val="0000037F"/>
    <w:rsid w:val="00000BC6"/>
    <w:rsid w:val="00002AB7"/>
    <w:rsid w:val="00002DBA"/>
    <w:rsid w:val="00003628"/>
    <w:rsid w:val="000045A9"/>
    <w:rsid w:val="00004C6C"/>
    <w:rsid w:val="0000552F"/>
    <w:rsid w:val="0000567F"/>
    <w:rsid w:val="00005CE5"/>
    <w:rsid w:val="00005DD8"/>
    <w:rsid w:val="0000629E"/>
    <w:rsid w:val="00006DE7"/>
    <w:rsid w:val="000118E0"/>
    <w:rsid w:val="00012856"/>
    <w:rsid w:val="00012D55"/>
    <w:rsid w:val="000135F4"/>
    <w:rsid w:val="00014425"/>
    <w:rsid w:val="0001451E"/>
    <w:rsid w:val="00014686"/>
    <w:rsid w:val="000148DD"/>
    <w:rsid w:val="00015472"/>
    <w:rsid w:val="00015A3F"/>
    <w:rsid w:val="00015B32"/>
    <w:rsid w:val="00015CD7"/>
    <w:rsid w:val="000167E7"/>
    <w:rsid w:val="00016AF7"/>
    <w:rsid w:val="00020334"/>
    <w:rsid w:val="000205C1"/>
    <w:rsid w:val="00022429"/>
    <w:rsid w:val="0002263F"/>
    <w:rsid w:val="0002277B"/>
    <w:rsid w:val="000227D5"/>
    <w:rsid w:val="00022A97"/>
    <w:rsid w:val="00022C0C"/>
    <w:rsid w:val="00022EB1"/>
    <w:rsid w:val="00022F32"/>
    <w:rsid w:val="0002306F"/>
    <w:rsid w:val="0002373E"/>
    <w:rsid w:val="00024B3C"/>
    <w:rsid w:val="000262BF"/>
    <w:rsid w:val="00026728"/>
    <w:rsid w:val="000268F6"/>
    <w:rsid w:val="000269AD"/>
    <w:rsid w:val="00027773"/>
    <w:rsid w:val="00027CB9"/>
    <w:rsid w:val="000307AA"/>
    <w:rsid w:val="00031AEF"/>
    <w:rsid w:val="00031B94"/>
    <w:rsid w:val="0003204A"/>
    <w:rsid w:val="000323C5"/>
    <w:rsid w:val="00032AAC"/>
    <w:rsid w:val="00033215"/>
    <w:rsid w:val="00033D71"/>
    <w:rsid w:val="000345AD"/>
    <w:rsid w:val="00034814"/>
    <w:rsid w:val="000355D6"/>
    <w:rsid w:val="00035709"/>
    <w:rsid w:val="0003675A"/>
    <w:rsid w:val="00036AE2"/>
    <w:rsid w:val="00036B69"/>
    <w:rsid w:val="00036F82"/>
    <w:rsid w:val="000379D2"/>
    <w:rsid w:val="000406A3"/>
    <w:rsid w:val="0004157A"/>
    <w:rsid w:val="000415FF"/>
    <w:rsid w:val="00042376"/>
    <w:rsid w:val="00042615"/>
    <w:rsid w:val="00042FC1"/>
    <w:rsid w:val="0004532C"/>
    <w:rsid w:val="000457CE"/>
    <w:rsid w:val="000458F0"/>
    <w:rsid w:val="00046F68"/>
    <w:rsid w:val="00047895"/>
    <w:rsid w:val="00047C5F"/>
    <w:rsid w:val="00047C92"/>
    <w:rsid w:val="000503B1"/>
    <w:rsid w:val="00050431"/>
    <w:rsid w:val="00050B4A"/>
    <w:rsid w:val="00051656"/>
    <w:rsid w:val="00051B3B"/>
    <w:rsid w:val="00051C73"/>
    <w:rsid w:val="00052059"/>
    <w:rsid w:val="00052731"/>
    <w:rsid w:val="00053C50"/>
    <w:rsid w:val="000565A6"/>
    <w:rsid w:val="0005749F"/>
    <w:rsid w:val="00057516"/>
    <w:rsid w:val="0005784C"/>
    <w:rsid w:val="00057E0B"/>
    <w:rsid w:val="00057E4F"/>
    <w:rsid w:val="0006078A"/>
    <w:rsid w:val="00061177"/>
    <w:rsid w:val="00061966"/>
    <w:rsid w:val="000622D7"/>
    <w:rsid w:val="00063177"/>
    <w:rsid w:val="00063AFB"/>
    <w:rsid w:val="00064D12"/>
    <w:rsid w:val="00064DA7"/>
    <w:rsid w:val="00064F5C"/>
    <w:rsid w:val="00066278"/>
    <w:rsid w:val="000677AA"/>
    <w:rsid w:val="00070115"/>
    <w:rsid w:val="000701EF"/>
    <w:rsid w:val="000702AA"/>
    <w:rsid w:val="0007034D"/>
    <w:rsid w:val="000705E5"/>
    <w:rsid w:val="00071002"/>
    <w:rsid w:val="0007161B"/>
    <w:rsid w:val="00071657"/>
    <w:rsid w:val="000721D4"/>
    <w:rsid w:val="00072AB7"/>
    <w:rsid w:val="00072BF2"/>
    <w:rsid w:val="00072EEB"/>
    <w:rsid w:val="00073342"/>
    <w:rsid w:val="00073A7D"/>
    <w:rsid w:val="00073B3D"/>
    <w:rsid w:val="000740CD"/>
    <w:rsid w:val="00074FE8"/>
    <w:rsid w:val="000754FE"/>
    <w:rsid w:val="0007766A"/>
    <w:rsid w:val="0008086A"/>
    <w:rsid w:val="00080ADA"/>
    <w:rsid w:val="00081127"/>
    <w:rsid w:val="0008154E"/>
    <w:rsid w:val="00081CE9"/>
    <w:rsid w:val="00082C42"/>
    <w:rsid w:val="00083122"/>
    <w:rsid w:val="0008387B"/>
    <w:rsid w:val="00083B4F"/>
    <w:rsid w:val="00083C4B"/>
    <w:rsid w:val="0008494F"/>
    <w:rsid w:val="00085732"/>
    <w:rsid w:val="00085A2E"/>
    <w:rsid w:val="00086550"/>
    <w:rsid w:val="000867C3"/>
    <w:rsid w:val="000868C8"/>
    <w:rsid w:val="00086E17"/>
    <w:rsid w:val="00086E55"/>
    <w:rsid w:val="00091719"/>
    <w:rsid w:val="000924ED"/>
    <w:rsid w:val="000927BC"/>
    <w:rsid w:val="00092D94"/>
    <w:rsid w:val="000938DC"/>
    <w:rsid w:val="00094119"/>
    <w:rsid w:val="00094A1C"/>
    <w:rsid w:val="00095D49"/>
    <w:rsid w:val="00096093"/>
    <w:rsid w:val="0009676A"/>
    <w:rsid w:val="00097356"/>
    <w:rsid w:val="000A14EF"/>
    <w:rsid w:val="000A1E30"/>
    <w:rsid w:val="000A2064"/>
    <w:rsid w:val="000A2133"/>
    <w:rsid w:val="000A2E76"/>
    <w:rsid w:val="000A38DD"/>
    <w:rsid w:val="000A4D52"/>
    <w:rsid w:val="000A7786"/>
    <w:rsid w:val="000B05CA"/>
    <w:rsid w:val="000B1C7E"/>
    <w:rsid w:val="000B1EC6"/>
    <w:rsid w:val="000B285C"/>
    <w:rsid w:val="000B2EAD"/>
    <w:rsid w:val="000B3B39"/>
    <w:rsid w:val="000B3F5A"/>
    <w:rsid w:val="000B44E9"/>
    <w:rsid w:val="000B4A2E"/>
    <w:rsid w:val="000B4A8D"/>
    <w:rsid w:val="000B5AB1"/>
    <w:rsid w:val="000B61F3"/>
    <w:rsid w:val="000C098F"/>
    <w:rsid w:val="000C09AE"/>
    <w:rsid w:val="000C16E5"/>
    <w:rsid w:val="000C1AC2"/>
    <w:rsid w:val="000C1AFB"/>
    <w:rsid w:val="000C26AA"/>
    <w:rsid w:val="000C26F3"/>
    <w:rsid w:val="000C298B"/>
    <w:rsid w:val="000C3641"/>
    <w:rsid w:val="000C3B28"/>
    <w:rsid w:val="000C3E87"/>
    <w:rsid w:val="000C5BD4"/>
    <w:rsid w:val="000C5D64"/>
    <w:rsid w:val="000C68B8"/>
    <w:rsid w:val="000C77F9"/>
    <w:rsid w:val="000D0166"/>
    <w:rsid w:val="000D1667"/>
    <w:rsid w:val="000D25E4"/>
    <w:rsid w:val="000D290A"/>
    <w:rsid w:val="000D3B84"/>
    <w:rsid w:val="000D47EF"/>
    <w:rsid w:val="000D498B"/>
    <w:rsid w:val="000D4A00"/>
    <w:rsid w:val="000D4C7D"/>
    <w:rsid w:val="000D6018"/>
    <w:rsid w:val="000D6298"/>
    <w:rsid w:val="000D6C73"/>
    <w:rsid w:val="000D7552"/>
    <w:rsid w:val="000E02AE"/>
    <w:rsid w:val="000E04CD"/>
    <w:rsid w:val="000E1E74"/>
    <w:rsid w:val="000E20D0"/>
    <w:rsid w:val="000E65F0"/>
    <w:rsid w:val="000E67AE"/>
    <w:rsid w:val="000E6CE4"/>
    <w:rsid w:val="000E7179"/>
    <w:rsid w:val="000E78F5"/>
    <w:rsid w:val="000E7EE1"/>
    <w:rsid w:val="000F0C55"/>
    <w:rsid w:val="000F1B9E"/>
    <w:rsid w:val="000F20A1"/>
    <w:rsid w:val="000F2796"/>
    <w:rsid w:val="000F2AC4"/>
    <w:rsid w:val="000F3528"/>
    <w:rsid w:val="000F35A4"/>
    <w:rsid w:val="000F380F"/>
    <w:rsid w:val="000F3B17"/>
    <w:rsid w:val="000F415E"/>
    <w:rsid w:val="00101698"/>
    <w:rsid w:val="00101B19"/>
    <w:rsid w:val="00101F9C"/>
    <w:rsid w:val="00102374"/>
    <w:rsid w:val="00102397"/>
    <w:rsid w:val="00103E56"/>
    <w:rsid w:val="00104382"/>
    <w:rsid w:val="00104865"/>
    <w:rsid w:val="00104B3D"/>
    <w:rsid w:val="0010508F"/>
    <w:rsid w:val="001054C9"/>
    <w:rsid w:val="001059F0"/>
    <w:rsid w:val="00105EE8"/>
    <w:rsid w:val="00106311"/>
    <w:rsid w:val="00106572"/>
    <w:rsid w:val="00106B47"/>
    <w:rsid w:val="00107468"/>
    <w:rsid w:val="00110052"/>
    <w:rsid w:val="00110E17"/>
    <w:rsid w:val="00111E6C"/>
    <w:rsid w:val="00112157"/>
    <w:rsid w:val="00112D67"/>
    <w:rsid w:val="0011375F"/>
    <w:rsid w:val="00113DF4"/>
    <w:rsid w:val="00114342"/>
    <w:rsid w:val="00114A7B"/>
    <w:rsid w:val="00114B94"/>
    <w:rsid w:val="00114BA5"/>
    <w:rsid w:val="00114F91"/>
    <w:rsid w:val="00115AB4"/>
    <w:rsid w:val="001160DF"/>
    <w:rsid w:val="001163D9"/>
    <w:rsid w:val="00116B61"/>
    <w:rsid w:val="00116D4A"/>
    <w:rsid w:val="001174A4"/>
    <w:rsid w:val="001175D8"/>
    <w:rsid w:val="001178D7"/>
    <w:rsid w:val="00117D9C"/>
    <w:rsid w:val="001202FF"/>
    <w:rsid w:val="00120CC6"/>
    <w:rsid w:val="0012104C"/>
    <w:rsid w:val="00122666"/>
    <w:rsid w:val="00122BF7"/>
    <w:rsid w:val="0012314A"/>
    <w:rsid w:val="001236CF"/>
    <w:rsid w:val="001236DE"/>
    <w:rsid w:val="0012392F"/>
    <w:rsid w:val="00123B07"/>
    <w:rsid w:val="00124621"/>
    <w:rsid w:val="00125617"/>
    <w:rsid w:val="00125736"/>
    <w:rsid w:val="0012576E"/>
    <w:rsid w:val="001261F6"/>
    <w:rsid w:val="0012678C"/>
    <w:rsid w:val="00126DB8"/>
    <w:rsid w:val="0012719E"/>
    <w:rsid w:val="0012743C"/>
    <w:rsid w:val="00127646"/>
    <w:rsid w:val="00127B6E"/>
    <w:rsid w:val="00127E24"/>
    <w:rsid w:val="001307DB"/>
    <w:rsid w:val="00131D37"/>
    <w:rsid w:val="00132921"/>
    <w:rsid w:val="00132B62"/>
    <w:rsid w:val="00132D61"/>
    <w:rsid w:val="00134AB5"/>
    <w:rsid w:val="001352DA"/>
    <w:rsid w:val="00135551"/>
    <w:rsid w:val="0013671C"/>
    <w:rsid w:val="00136C01"/>
    <w:rsid w:val="00136C97"/>
    <w:rsid w:val="00137894"/>
    <w:rsid w:val="00137D24"/>
    <w:rsid w:val="00140B69"/>
    <w:rsid w:val="00141759"/>
    <w:rsid w:val="00141B99"/>
    <w:rsid w:val="0014203D"/>
    <w:rsid w:val="0014247C"/>
    <w:rsid w:val="0014280F"/>
    <w:rsid w:val="001428C9"/>
    <w:rsid w:val="00142973"/>
    <w:rsid w:val="00143B5A"/>
    <w:rsid w:val="00144AF7"/>
    <w:rsid w:val="0014552C"/>
    <w:rsid w:val="00145836"/>
    <w:rsid w:val="00145BA7"/>
    <w:rsid w:val="001467F4"/>
    <w:rsid w:val="00146B15"/>
    <w:rsid w:val="00150EC4"/>
    <w:rsid w:val="0015125B"/>
    <w:rsid w:val="001515E2"/>
    <w:rsid w:val="001518F4"/>
    <w:rsid w:val="00151EEB"/>
    <w:rsid w:val="00153344"/>
    <w:rsid w:val="0015441F"/>
    <w:rsid w:val="001549B9"/>
    <w:rsid w:val="00155DE2"/>
    <w:rsid w:val="0015660C"/>
    <w:rsid w:val="00156B5B"/>
    <w:rsid w:val="0015706B"/>
    <w:rsid w:val="00160068"/>
    <w:rsid w:val="00160D6E"/>
    <w:rsid w:val="00162604"/>
    <w:rsid w:val="00162FDC"/>
    <w:rsid w:val="00163718"/>
    <w:rsid w:val="00163B22"/>
    <w:rsid w:val="00163C8F"/>
    <w:rsid w:val="001642C1"/>
    <w:rsid w:val="00164772"/>
    <w:rsid w:val="00164789"/>
    <w:rsid w:val="00164B19"/>
    <w:rsid w:val="00166A76"/>
    <w:rsid w:val="00166C28"/>
    <w:rsid w:val="00167FB0"/>
    <w:rsid w:val="00171481"/>
    <w:rsid w:val="00173329"/>
    <w:rsid w:val="00174234"/>
    <w:rsid w:val="00174BC9"/>
    <w:rsid w:val="0017558D"/>
    <w:rsid w:val="001760BC"/>
    <w:rsid w:val="0017615A"/>
    <w:rsid w:val="001766FF"/>
    <w:rsid w:val="00177506"/>
    <w:rsid w:val="001777A4"/>
    <w:rsid w:val="001800EE"/>
    <w:rsid w:val="00180610"/>
    <w:rsid w:val="00180B85"/>
    <w:rsid w:val="001810EF"/>
    <w:rsid w:val="001812ED"/>
    <w:rsid w:val="00181ED3"/>
    <w:rsid w:val="001821C9"/>
    <w:rsid w:val="001826C0"/>
    <w:rsid w:val="00183CCC"/>
    <w:rsid w:val="00183E14"/>
    <w:rsid w:val="00184887"/>
    <w:rsid w:val="00184A1F"/>
    <w:rsid w:val="00184C13"/>
    <w:rsid w:val="00184E7C"/>
    <w:rsid w:val="00185195"/>
    <w:rsid w:val="00186AF7"/>
    <w:rsid w:val="00186E14"/>
    <w:rsid w:val="00187F78"/>
    <w:rsid w:val="00190C61"/>
    <w:rsid w:val="00190FFD"/>
    <w:rsid w:val="0019360C"/>
    <w:rsid w:val="00193E87"/>
    <w:rsid w:val="00194041"/>
    <w:rsid w:val="00194197"/>
    <w:rsid w:val="00194555"/>
    <w:rsid w:val="001947B4"/>
    <w:rsid w:val="001957C1"/>
    <w:rsid w:val="0019623E"/>
    <w:rsid w:val="001964AF"/>
    <w:rsid w:val="00196A36"/>
    <w:rsid w:val="00196B23"/>
    <w:rsid w:val="001A00BE"/>
    <w:rsid w:val="001A218A"/>
    <w:rsid w:val="001A2F37"/>
    <w:rsid w:val="001A39F3"/>
    <w:rsid w:val="001A605B"/>
    <w:rsid w:val="001A669A"/>
    <w:rsid w:val="001B04E1"/>
    <w:rsid w:val="001B058A"/>
    <w:rsid w:val="001B16AD"/>
    <w:rsid w:val="001B1BBB"/>
    <w:rsid w:val="001B1C74"/>
    <w:rsid w:val="001B248A"/>
    <w:rsid w:val="001B2AD7"/>
    <w:rsid w:val="001B2EDC"/>
    <w:rsid w:val="001B36B7"/>
    <w:rsid w:val="001B389E"/>
    <w:rsid w:val="001B54A7"/>
    <w:rsid w:val="001B622B"/>
    <w:rsid w:val="001B639C"/>
    <w:rsid w:val="001B65AC"/>
    <w:rsid w:val="001B6BF7"/>
    <w:rsid w:val="001B7837"/>
    <w:rsid w:val="001B7F4D"/>
    <w:rsid w:val="001C1AB4"/>
    <w:rsid w:val="001C31E9"/>
    <w:rsid w:val="001C3FC2"/>
    <w:rsid w:val="001C4584"/>
    <w:rsid w:val="001C4E99"/>
    <w:rsid w:val="001C5B98"/>
    <w:rsid w:val="001C6608"/>
    <w:rsid w:val="001C69A3"/>
    <w:rsid w:val="001C708F"/>
    <w:rsid w:val="001C71BD"/>
    <w:rsid w:val="001D0ECF"/>
    <w:rsid w:val="001D107F"/>
    <w:rsid w:val="001D3AF7"/>
    <w:rsid w:val="001D486F"/>
    <w:rsid w:val="001D4E23"/>
    <w:rsid w:val="001D5C78"/>
    <w:rsid w:val="001D5DA3"/>
    <w:rsid w:val="001D5E94"/>
    <w:rsid w:val="001D6E88"/>
    <w:rsid w:val="001D7125"/>
    <w:rsid w:val="001D75DF"/>
    <w:rsid w:val="001D76B5"/>
    <w:rsid w:val="001E17C0"/>
    <w:rsid w:val="001E279D"/>
    <w:rsid w:val="001E2823"/>
    <w:rsid w:val="001E2BBB"/>
    <w:rsid w:val="001E2C92"/>
    <w:rsid w:val="001E2D7B"/>
    <w:rsid w:val="001E33F4"/>
    <w:rsid w:val="001E39A9"/>
    <w:rsid w:val="001E4959"/>
    <w:rsid w:val="001E4F3D"/>
    <w:rsid w:val="001E6CF4"/>
    <w:rsid w:val="001E6FF2"/>
    <w:rsid w:val="001E7EA8"/>
    <w:rsid w:val="001F0DAF"/>
    <w:rsid w:val="001F0FCD"/>
    <w:rsid w:val="001F11B3"/>
    <w:rsid w:val="001F4534"/>
    <w:rsid w:val="001F60F0"/>
    <w:rsid w:val="001F7BB9"/>
    <w:rsid w:val="001F7F33"/>
    <w:rsid w:val="002008C5"/>
    <w:rsid w:val="002010FA"/>
    <w:rsid w:val="00201E5B"/>
    <w:rsid w:val="00202362"/>
    <w:rsid w:val="0020257C"/>
    <w:rsid w:val="0020323D"/>
    <w:rsid w:val="002032D1"/>
    <w:rsid w:val="00203795"/>
    <w:rsid w:val="00203F09"/>
    <w:rsid w:val="0020438E"/>
    <w:rsid w:val="00204BD5"/>
    <w:rsid w:val="00204D48"/>
    <w:rsid w:val="00204E1F"/>
    <w:rsid w:val="00205509"/>
    <w:rsid w:val="0020597C"/>
    <w:rsid w:val="002068E8"/>
    <w:rsid w:val="00206F28"/>
    <w:rsid w:val="002072D8"/>
    <w:rsid w:val="00207776"/>
    <w:rsid w:val="0021102E"/>
    <w:rsid w:val="00211160"/>
    <w:rsid w:val="00211549"/>
    <w:rsid w:val="002125F0"/>
    <w:rsid w:val="00212F2A"/>
    <w:rsid w:val="002144C9"/>
    <w:rsid w:val="00214C38"/>
    <w:rsid w:val="00215AA4"/>
    <w:rsid w:val="00215FC8"/>
    <w:rsid w:val="00216565"/>
    <w:rsid w:val="0021686A"/>
    <w:rsid w:val="002206C2"/>
    <w:rsid w:val="0022157B"/>
    <w:rsid w:val="00222CC4"/>
    <w:rsid w:val="00223210"/>
    <w:rsid w:val="00223ECE"/>
    <w:rsid w:val="00223EDD"/>
    <w:rsid w:val="00224032"/>
    <w:rsid w:val="00224437"/>
    <w:rsid w:val="00225149"/>
    <w:rsid w:val="00225165"/>
    <w:rsid w:val="00225C30"/>
    <w:rsid w:val="00226957"/>
    <w:rsid w:val="00227BB2"/>
    <w:rsid w:val="00227EC8"/>
    <w:rsid w:val="002302E5"/>
    <w:rsid w:val="00230E23"/>
    <w:rsid w:val="00231F92"/>
    <w:rsid w:val="00232811"/>
    <w:rsid w:val="00232E65"/>
    <w:rsid w:val="0023324D"/>
    <w:rsid w:val="0023393F"/>
    <w:rsid w:val="00233D6D"/>
    <w:rsid w:val="00235A8C"/>
    <w:rsid w:val="00235C9C"/>
    <w:rsid w:val="00235F42"/>
    <w:rsid w:val="00236CB3"/>
    <w:rsid w:val="00237437"/>
    <w:rsid w:val="00237871"/>
    <w:rsid w:val="00237C8D"/>
    <w:rsid w:val="0024021D"/>
    <w:rsid w:val="00240416"/>
    <w:rsid w:val="002416CA"/>
    <w:rsid w:val="00242BFD"/>
    <w:rsid w:val="0024416E"/>
    <w:rsid w:val="00244351"/>
    <w:rsid w:val="00244DB6"/>
    <w:rsid w:val="002458DD"/>
    <w:rsid w:val="00245BAD"/>
    <w:rsid w:val="002469E3"/>
    <w:rsid w:val="00246B79"/>
    <w:rsid w:val="00246F13"/>
    <w:rsid w:val="00247C96"/>
    <w:rsid w:val="00250116"/>
    <w:rsid w:val="002513A5"/>
    <w:rsid w:val="00251CF4"/>
    <w:rsid w:val="00251F58"/>
    <w:rsid w:val="00252E78"/>
    <w:rsid w:val="00252E9E"/>
    <w:rsid w:val="00253A2D"/>
    <w:rsid w:val="00253ACB"/>
    <w:rsid w:val="002542A2"/>
    <w:rsid w:val="00254449"/>
    <w:rsid w:val="00254A8A"/>
    <w:rsid w:val="0025502A"/>
    <w:rsid w:val="0025505D"/>
    <w:rsid w:val="00255794"/>
    <w:rsid w:val="00256F1F"/>
    <w:rsid w:val="0025749E"/>
    <w:rsid w:val="00257D5F"/>
    <w:rsid w:val="00260D21"/>
    <w:rsid w:val="00260F06"/>
    <w:rsid w:val="0026102C"/>
    <w:rsid w:val="00261E6C"/>
    <w:rsid w:val="00262510"/>
    <w:rsid w:val="0026456E"/>
    <w:rsid w:val="0026524D"/>
    <w:rsid w:val="00265EB7"/>
    <w:rsid w:val="00266E95"/>
    <w:rsid w:val="0026704A"/>
    <w:rsid w:val="0026738C"/>
    <w:rsid w:val="00267837"/>
    <w:rsid w:val="0026785B"/>
    <w:rsid w:val="00267DC0"/>
    <w:rsid w:val="0027141D"/>
    <w:rsid w:val="00271C1B"/>
    <w:rsid w:val="0027231C"/>
    <w:rsid w:val="00272B20"/>
    <w:rsid w:val="00273AF8"/>
    <w:rsid w:val="002741A6"/>
    <w:rsid w:val="00274C66"/>
    <w:rsid w:val="00275225"/>
    <w:rsid w:val="00276317"/>
    <w:rsid w:val="002770F1"/>
    <w:rsid w:val="002779EE"/>
    <w:rsid w:val="00280554"/>
    <w:rsid w:val="00280C0A"/>
    <w:rsid w:val="00280DE0"/>
    <w:rsid w:val="00281685"/>
    <w:rsid w:val="00281DEB"/>
    <w:rsid w:val="002835EB"/>
    <w:rsid w:val="00283D8A"/>
    <w:rsid w:val="00283ED2"/>
    <w:rsid w:val="00283F21"/>
    <w:rsid w:val="002846C1"/>
    <w:rsid w:val="00285B12"/>
    <w:rsid w:val="00286323"/>
    <w:rsid w:val="002864A6"/>
    <w:rsid w:val="00286628"/>
    <w:rsid w:val="00286BED"/>
    <w:rsid w:val="0029077E"/>
    <w:rsid w:val="0029125B"/>
    <w:rsid w:val="002921C8"/>
    <w:rsid w:val="00292E8C"/>
    <w:rsid w:val="00293FC3"/>
    <w:rsid w:val="00294D50"/>
    <w:rsid w:val="00295838"/>
    <w:rsid w:val="00295912"/>
    <w:rsid w:val="00295A4A"/>
    <w:rsid w:val="00295CC2"/>
    <w:rsid w:val="00296D73"/>
    <w:rsid w:val="00297128"/>
    <w:rsid w:val="00297BC4"/>
    <w:rsid w:val="002A017E"/>
    <w:rsid w:val="002A0415"/>
    <w:rsid w:val="002A0C5C"/>
    <w:rsid w:val="002A17B7"/>
    <w:rsid w:val="002A3A62"/>
    <w:rsid w:val="002A425A"/>
    <w:rsid w:val="002A5398"/>
    <w:rsid w:val="002A54C7"/>
    <w:rsid w:val="002A5C3E"/>
    <w:rsid w:val="002A5C4E"/>
    <w:rsid w:val="002A7347"/>
    <w:rsid w:val="002A74A7"/>
    <w:rsid w:val="002A79F3"/>
    <w:rsid w:val="002B0449"/>
    <w:rsid w:val="002B0851"/>
    <w:rsid w:val="002B0B61"/>
    <w:rsid w:val="002B0DF6"/>
    <w:rsid w:val="002B0E33"/>
    <w:rsid w:val="002B2A0D"/>
    <w:rsid w:val="002B43A0"/>
    <w:rsid w:val="002B524D"/>
    <w:rsid w:val="002B5628"/>
    <w:rsid w:val="002B6296"/>
    <w:rsid w:val="002B64E1"/>
    <w:rsid w:val="002B6542"/>
    <w:rsid w:val="002B6954"/>
    <w:rsid w:val="002B6A57"/>
    <w:rsid w:val="002B7AD0"/>
    <w:rsid w:val="002C052A"/>
    <w:rsid w:val="002C087A"/>
    <w:rsid w:val="002C0F13"/>
    <w:rsid w:val="002C17AC"/>
    <w:rsid w:val="002C1C13"/>
    <w:rsid w:val="002C254A"/>
    <w:rsid w:val="002C266C"/>
    <w:rsid w:val="002C3198"/>
    <w:rsid w:val="002C4AD4"/>
    <w:rsid w:val="002C534F"/>
    <w:rsid w:val="002C5C01"/>
    <w:rsid w:val="002C6701"/>
    <w:rsid w:val="002C6EA4"/>
    <w:rsid w:val="002C72AE"/>
    <w:rsid w:val="002C7770"/>
    <w:rsid w:val="002C7F45"/>
    <w:rsid w:val="002D220E"/>
    <w:rsid w:val="002D2D51"/>
    <w:rsid w:val="002D3CB1"/>
    <w:rsid w:val="002D4AE3"/>
    <w:rsid w:val="002D5873"/>
    <w:rsid w:val="002E093D"/>
    <w:rsid w:val="002E094B"/>
    <w:rsid w:val="002E0A00"/>
    <w:rsid w:val="002E0E45"/>
    <w:rsid w:val="002E0F5C"/>
    <w:rsid w:val="002E1084"/>
    <w:rsid w:val="002E10EC"/>
    <w:rsid w:val="002E1246"/>
    <w:rsid w:val="002E1481"/>
    <w:rsid w:val="002E1D18"/>
    <w:rsid w:val="002E2264"/>
    <w:rsid w:val="002E3981"/>
    <w:rsid w:val="002E3B4E"/>
    <w:rsid w:val="002E4363"/>
    <w:rsid w:val="002E58EB"/>
    <w:rsid w:val="002E5948"/>
    <w:rsid w:val="002E6700"/>
    <w:rsid w:val="002E6975"/>
    <w:rsid w:val="002E71FF"/>
    <w:rsid w:val="002F10EE"/>
    <w:rsid w:val="002F2529"/>
    <w:rsid w:val="002F28D9"/>
    <w:rsid w:val="002F3C5E"/>
    <w:rsid w:val="002F5544"/>
    <w:rsid w:val="002F647F"/>
    <w:rsid w:val="002F6771"/>
    <w:rsid w:val="002F682E"/>
    <w:rsid w:val="002F6994"/>
    <w:rsid w:val="002F6C4B"/>
    <w:rsid w:val="002F6ECE"/>
    <w:rsid w:val="002F7155"/>
    <w:rsid w:val="002F71A1"/>
    <w:rsid w:val="00301246"/>
    <w:rsid w:val="00302812"/>
    <w:rsid w:val="00302D9C"/>
    <w:rsid w:val="00302E2B"/>
    <w:rsid w:val="003036AA"/>
    <w:rsid w:val="003039FC"/>
    <w:rsid w:val="00303FC0"/>
    <w:rsid w:val="003041C0"/>
    <w:rsid w:val="00304AFE"/>
    <w:rsid w:val="00304C2D"/>
    <w:rsid w:val="00304F03"/>
    <w:rsid w:val="003065CB"/>
    <w:rsid w:val="00311A79"/>
    <w:rsid w:val="0031343F"/>
    <w:rsid w:val="0031364C"/>
    <w:rsid w:val="003148BF"/>
    <w:rsid w:val="00314B65"/>
    <w:rsid w:val="00316612"/>
    <w:rsid w:val="0031669D"/>
    <w:rsid w:val="0031781A"/>
    <w:rsid w:val="0032064A"/>
    <w:rsid w:val="0032123F"/>
    <w:rsid w:val="00321436"/>
    <w:rsid w:val="003214A7"/>
    <w:rsid w:val="00322967"/>
    <w:rsid w:val="00322A1E"/>
    <w:rsid w:val="00322EBD"/>
    <w:rsid w:val="003230DD"/>
    <w:rsid w:val="003237C5"/>
    <w:rsid w:val="0032386A"/>
    <w:rsid w:val="00323914"/>
    <w:rsid w:val="00323E37"/>
    <w:rsid w:val="003246A1"/>
    <w:rsid w:val="0032536B"/>
    <w:rsid w:val="003262E5"/>
    <w:rsid w:val="00327A16"/>
    <w:rsid w:val="00330377"/>
    <w:rsid w:val="00331224"/>
    <w:rsid w:val="00331F39"/>
    <w:rsid w:val="003321D9"/>
    <w:rsid w:val="00332B32"/>
    <w:rsid w:val="00332F3A"/>
    <w:rsid w:val="00333AF9"/>
    <w:rsid w:val="00335363"/>
    <w:rsid w:val="00335D0D"/>
    <w:rsid w:val="00335D30"/>
    <w:rsid w:val="00336C74"/>
    <w:rsid w:val="00336DEC"/>
    <w:rsid w:val="003370A3"/>
    <w:rsid w:val="00337774"/>
    <w:rsid w:val="00337EB3"/>
    <w:rsid w:val="0034018B"/>
    <w:rsid w:val="00341E87"/>
    <w:rsid w:val="00341E89"/>
    <w:rsid w:val="0034288E"/>
    <w:rsid w:val="0034348B"/>
    <w:rsid w:val="0034489E"/>
    <w:rsid w:val="00345A44"/>
    <w:rsid w:val="003466E4"/>
    <w:rsid w:val="003470E0"/>
    <w:rsid w:val="003470E4"/>
    <w:rsid w:val="003474BB"/>
    <w:rsid w:val="00350FED"/>
    <w:rsid w:val="00351720"/>
    <w:rsid w:val="00351C89"/>
    <w:rsid w:val="00351F1D"/>
    <w:rsid w:val="00351F93"/>
    <w:rsid w:val="0035201F"/>
    <w:rsid w:val="003528BC"/>
    <w:rsid w:val="003532B6"/>
    <w:rsid w:val="00353B4A"/>
    <w:rsid w:val="0035424F"/>
    <w:rsid w:val="00354D31"/>
    <w:rsid w:val="00355550"/>
    <w:rsid w:val="00355874"/>
    <w:rsid w:val="0035603C"/>
    <w:rsid w:val="00356295"/>
    <w:rsid w:val="003567E9"/>
    <w:rsid w:val="0035686C"/>
    <w:rsid w:val="00360FB8"/>
    <w:rsid w:val="003614CB"/>
    <w:rsid w:val="00361E25"/>
    <w:rsid w:val="00362725"/>
    <w:rsid w:val="003629A1"/>
    <w:rsid w:val="0036576A"/>
    <w:rsid w:val="003664D0"/>
    <w:rsid w:val="00366B76"/>
    <w:rsid w:val="00366F1C"/>
    <w:rsid w:val="003678BC"/>
    <w:rsid w:val="00370A6B"/>
    <w:rsid w:val="00370F15"/>
    <w:rsid w:val="003723D9"/>
    <w:rsid w:val="00373209"/>
    <w:rsid w:val="003736D0"/>
    <w:rsid w:val="00374BE8"/>
    <w:rsid w:val="00375181"/>
    <w:rsid w:val="0037547A"/>
    <w:rsid w:val="00376890"/>
    <w:rsid w:val="0038175E"/>
    <w:rsid w:val="00385373"/>
    <w:rsid w:val="003866B5"/>
    <w:rsid w:val="00387418"/>
    <w:rsid w:val="00387FA9"/>
    <w:rsid w:val="00390AE9"/>
    <w:rsid w:val="003917D4"/>
    <w:rsid w:val="003921C7"/>
    <w:rsid w:val="0039267B"/>
    <w:rsid w:val="0039410E"/>
    <w:rsid w:val="00394588"/>
    <w:rsid w:val="0039482B"/>
    <w:rsid w:val="00394D2B"/>
    <w:rsid w:val="003950EE"/>
    <w:rsid w:val="00396B9D"/>
    <w:rsid w:val="00397310"/>
    <w:rsid w:val="00397606"/>
    <w:rsid w:val="003979A6"/>
    <w:rsid w:val="00397AB1"/>
    <w:rsid w:val="00397D15"/>
    <w:rsid w:val="003A06FB"/>
    <w:rsid w:val="003A0A07"/>
    <w:rsid w:val="003A1A19"/>
    <w:rsid w:val="003A298B"/>
    <w:rsid w:val="003A397E"/>
    <w:rsid w:val="003A4A52"/>
    <w:rsid w:val="003A532D"/>
    <w:rsid w:val="003A53B2"/>
    <w:rsid w:val="003A5DF8"/>
    <w:rsid w:val="003A6785"/>
    <w:rsid w:val="003A6D33"/>
    <w:rsid w:val="003A6FB3"/>
    <w:rsid w:val="003A7868"/>
    <w:rsid w:val="003A78E5"/>
    <w:rsid w:val="003A7948"/>
    <w:rsid w:val="003B17CA"/>
    <w:rsid w:val="003B1D0A"/>
    <w:rsid w:val="003B254E"/>
    <w:rsid w:val="003B2BE1"/>
    <w:rsid w:val="003B3A55"/>
    <w:rsid w:val="003B4009"/>
    <w:rsid w:val="003B40A1"/>
    <w:rsid w:val="003B4201"/>
    <w:rsid w:val="003B4AB1"/>
    <w:rsid w:val="003B4EB0"/>
    <w:rsid w:val="003B6683"/>
    <w:rsid w:val="003B7B46"/>
    <w:rsid w:val="003B7B8C"/>
    <w:rsid w:val="003C07AB"/>
    <w:rsid w:val="003C17B0"/>
    <w:rsid w:val="003C1EDA"/>
    <w:rsid w:val="003C22A4"/>
    <w:rsid w:val="003C465C"/>
    <w:rsid w:val="003C4CAE"/>
    <w:rsid w:val="003C4F1B"/>
    <w:rsid w:val="003C5537"/>
    <w:rsid w:val="003C5972"/>
    <w:rsid w:val="003C6167"/>
    <w:rsid w:val="003C6C48"/>
    <w:rsid w:val="003C70F4"/>
    <w:rsid w:val="003C7868"/>
    <w:rsid w:val="003D0140"/>
    <w:rsid w:val="003D0539"/>
    <w:rsid w:val="003D0E97"/>
    <w:rsid w:val="003D0EBB"/>
    <w:rsid w:val="003D2083"/>
    <w:rsid w:val="003D20E2"/>
    <w:rsid w:val="003D33CB"/>
    <w:rsid w:val="003D39C2"/>
    <w:rsid w:val="003D39D0"/>
    <w:rsid w:val="003D4D8F"/>
    <w:rsid w:val="003D4FF0"/>
    <w:rsid w:val="003D57D9"/>
    <w:rsid w:val="003D69FB"/>
    <w:rsid w:val="003D6B1C"/>
    <w:rsid w:val="003D73FF"/>
    <w:rsid w:val="003D79B8"/>
    <w:rsid w:val="003D7C12"/>
    <w:rsid w:val="003D7D9F"/>
    <w:rsid w:val="003E0771"/>
    <w:rsid w:val="003E13CF"/>
    <w:rsid w:val="003E23A9"/>
    <w:rsid w:val="003E29E4"/>
    <w:rsid w:val="003E2BC8"/>
    <w:rsid w:val="003E31E0"/>
    <w:rsid w:val="003E3F63"/>
    <w:rsid w:val="003E507B"/>
    <w:rsid w:val="003E5E9F"/>
    <w:rsid w:val="003E71BA"/>
    <w:rsid w:val="003E72EC"/>
    <w:rsid w:val="003E7D44"/>
    <w:rsid w:val="003E7E17"/>
    <w:rsid w:val="003F039C"/>
    <w:rsid w:val="003F0938"/>
    <w:rsid w:val="003F0D05"/>
    <w:rsid w:val="003F127B"/>
    <w:rsid w:val="003F1421"/>
    <w:rsid w:val="003F1502"/>
    <w:rsid w:val="003F15AA"/>
    <w:rsid w:val="003F2C8F"/>
    <w:rsid w:val="003F2CBC"/>
    <w:rsid w:val="003F369D"/>
    <w:rsid w:val="003F38C2"/>
    <w:rsid w:val="003F39ED"/>
    <w:rsid w:val="003F4E20"/>
    <w:rsid w:val="003F5D87"/>
    <w:rsid w:val="003F78EB"/>
    <w:rsid w:val="00400119"/>
    <w:rsid w:val="0040026B"/>
    <w:rsid w:val="0040125F"/>
    <w:rsid w:val="00401813"/>
    <w:rsid w:val="00401979"/>
    <w:rsid w:val="0040236E"/>
    <w:rsid w:val="00402854"/>
    <w:rsid w:val="00402B63"/>
    <w:rsid w:val="00402CB8"/>
    <w:rsid w:val="00403951"/>
    <w:rsid w:val="004039F3"/>
    <w:rsid w:val="00405499"/>
    <w:rsid w:val="004055A8"/>
    <w:rsid w:val="00405907"/>
    <w:rsid w:val="00406EF1"/>
    <w:rsid w:val="00406F45"/>
    <w:rsid w:val="00407031"/>
    <w:rsid w:val="00410527"/>
    <w:rsid w:val="00412B06"/>
    <w:rsid w:val="00413DE9"/>
    <w:rsid w:val="004143F4"/>
    <w:rsid w:val="00414D7D"/>
    <w:rsid w:val="00415637"/>
    <w:rsid w:val="004157BA"/>
    <w:rsid w:val="00415936"/>
    <w:rsid w:val="00415AA9"/>
    <w:rsid w:val="00416530"/>
    <w:rsid w:val="00416720"/>
    <w:rsid w:val="00416C79"/>
    <w:rsid w:val="004170F3"/>
    <w:rsid w:val="00417362"/>
    <w:rsid w:val="00417626"/>
    <w:rsid w:val="00417B4C"/>
    <w:rsid w:val="00420718"/>
    <w:rsid w:val="00421F21"/>
    <w:rsid w:val="0042339A"/>
    <w:rsid w:val="00423D91"/>
    <w:rsid w:val="00424E05"/>
    <w:rsid w:val="004263BA"/>
    <w:rsid w:val="00427026"/>
    <w:rsid w:val="0042726D"/>
    <w:rsid w:val="004274A8"/>
    <w:rsid w:val="004305AB"/>
    <w:rsid w:val="004305B3"/>
    <w:rsid w:val="0043064D"/>
    <w:rsid w:val="004311B9"/>
    <w:rsid w:val="00431549"/>
    <w:rsid w:val="00431DBA"/>
    <w:rsid w:val="004322EF"/>
    <w:rsid w:val="004324AA"/>
    <w:rsid w:val="004329D9"/>
    <w:rsid w:val="0043392C"/>
    <w:rsid w:val="004341B0"/>
    <w:rsid w:val="00434422"/>
    <w:rsid w:val="00434C47"/>
    <w:rsid w:val="00434F89"/>
    <w:rsid w:val="004429B8"/>
    <w:rsid w:val="0044379B"/>
    <w:rsid w:val="00444834"/>
    <w:rsid w:val="00444DED"/>
    <w:rsid w:val="00445175"/>
    <w:rsid w:val="00445BA5"/>
    <w:rsid w:val="00445BF1"/>
    <w:rsid w:val="00446193"/>
    <w:rsid w:val="00446298"/>
    <w:rsid w:val="00446B82"/>
    <w:rsid w:val="00450B1C"/>
    <w:rsid w:val="00452884"/>
    <w:rsid w:val="00452965"/>
    <w:rsid w:val="00452E69"/>
    <w:rsid w:val="0045300A"/>
    <w:rsid w:val="0045340F"/>
    <w:rsid w:val="0045389F"/>
    <w:rsid w:val="00454F74"/>
    <w:rsid w:val="00455D64"/>
    <w:rsid w:val="0045779D"/>
    <w:rsid w:val="004601DD"/>
    <w:rsid w:val="00460407"/>
    <w:rsid w:val="004610B1"/>
    <w:rsid w:val="00462884"/>
    <w:rsid w:val="004643AD"/>
    <w:rsid w:val="00464718"/>
    <w:rsid w:val="00464BE0"/>
    <w:rsid w:val="004651F9"/>
    <w:rsid w:val="00465ACD"/>
    <w:rsid w:val="00466A29"/>
    <w:rsid w:val="00466D47"/>
    <w:rsid w:val="004676E7"/>
    <w:rsid w:val="004677B3"/>
    <w:rsid w:val="00467C80"/>
    <w:rsid w:val="00467DC5"/>
    <w:rsid w:val="004703E3"/>
    <w:rsid w:val="00470534"/>
    <w:rsid w:val="00470BA7"/>
    <w:rsid w:val="004711E1"/>
    <w:rsid w:val="004746F0"/>
    <w:rsid w:val="004757E1"/>
    <w:rsid w:val="00475DAE"/>
    <w:rsid w:val="00476A97"/>
    <w:rsid w:val="004772CE"/>
    <w:rsid w:val="00477513"/>
    <w:rsid w:val="0047794D"/>
    <w:rsid w:val="00477FD2"/>
    <w:rsid w:val="004801D6"/>
    <w:rsid w:val="0048022E"/>
    <w:rsid w:val="0048202B"/>
    <w:rsid w:val="00482192"/>
    <w:rsid w:val="004822DE"/>
    <w:rsid w:val="004823C3"/>
    <w:rsid w:val="004828E3"/>
    <w:rsid w:val="00482D8F"/>
    <w:rsid w:val="004831D3"/>
    <w:rsid w:val="00483502"/>
    <w:rsid w:val="00484A0B"/>
    <w:rsid w:val="00485905"/>
    <w:rsid w:val="004861B3"/>
    <w:rsid w:val="004901FF"/>
    <w:rsid w:val="0049051D"/>
    <w:rsid w:val="00491366"/>
    <w:rsid w:val="00491D7D"/>
    <w:rsid w:val="004922ED"/>
    <w:rsid w:val="004925A5"/>
    <w:rsid w:val="00492CBF"/>
    <w:rsid w:val="00493A6E"/>
    <w:rsid w:val="00493D15"/>
    <w:rsid w:val="004948DF"/>
    <w:rsid w:val="00495789"/>
    <w:rsid w:val="00496F8D"/>
    <w:rsid w:val="0049757F"/>
    <w:rsid w:val="004A02EB"/>
    <w:rsid w:val="004A0754"/>
    <w:rsid w:val="004A1940"/>
    <w:rsid w:val="004A1B09"/>
    <w:rsid w:val="004A1DAE"/>
    <w:rsid w:val="004A1FC7"/>
    <w:rsid w:val="004A2D44"/>
    <w:rsid w:val="004A3287"/>
    <w:rsid w:val="004A4F71"/>
    <w:rsid w:val="004A524F"/>
    <w:rsid w:val="004A53CE"/>
    <w:rsid w:val="004A54E6"/>
    <w:rsid w:val="004A56CE"/>
    <w:rsid w:val="004A5745"/>
    <w:rsid w:val="004A5C0B"/>
    <w:rsid w:val="004A6D96"/>
    <w:rsid w:val="004A75DA"/>
    <w:rsid w:val="004B1001"/>
    <w:rsid w:val="004B11A6"/>
    <w:rsid w:val="004B1233"/>
    <w:rsid w:val="004B12E4"/>
    <w:rsid w:val="004B17D1"/>
    <w:rsid w:val="004B351F"/>
    <w:rsid w:val="004B3B23"/>
    <w:rsid w:val="004B520E"/>
    <w:rsid w:val="004B53B2"/>
    <w:rsid w:val="004B6765"/>
    <w:rsid w:val="004B74E1"/>
    <w:rsid w:val="004B7B45"/>
    <w:rsid w:val="004B7C85"/>
    <w:rsid w:val="004C10C5"/>
    <w:rsid w:val="004C17EE"/>
    <w:rsid w:val="004C251D"/>
    <w:rsid w:val="004C2599"/>
    <w:rsid w:val="004C3953"/>
    <w:rsid w:val="004C39F8"/>
    <w:rsid w:val="004C3C86"/>
    <w:rsid w:val="004C4560"/>
    <w:rsid w:val="004C56BB"/>
    <w:rsid w:val="004C5786"/>
    <w:rsid w:val="004C7C63"/>
    <w:rsid w:val="004D0297"/>
    <w:rsid w:val="004D18B1"/>
    <w:rsid w:val="004D2E64"/>
    <w:rsid w:val="004D415A"/>
    <w:rsid w:val="004D43BE"/>
    <w:rsid w:val="004D44EC"/>
    <w:rsid w:val="004D5E5D"/>
    <w:rsid w:val="004D7921"/>
    <w:rsid w:val="004D7B7B"/>
    <w:rsid w:val="004E13F3"/>
    <w:rsid w:val="004E1C97"/>
    <w:rsid w:val="004E1CC8"/>
    <w:rsid w:val="004E1FDB"/>
    <w:rsid w:val="004E2718"/>
    <w:rsid w:val="004E2D68"/>
    <w:rsid w:val="004E2E14"/>
    <w:rsid w:val="004E38AC"/>
    <w:rsid w:val="004E42DA"/>
    <w:rsid w:val="004E5259"/>
    <w:rsid w:val="004E5EA9"/>
    <w:rsid w:val="004E6731"/>
    <w:rsid w:val="004F09DF"/>
    <w:rsid w:val="004F291C"/>
    <w:rsid w:val="004F450A"/>
    <w:rsid w:val="004F476C"/>
    <w:rsid w:val="004F4C20"/>
    <w:rsid w:val="004F4C26"/>
    <w:rsid w:val="004F4DFE"/>
    <w:rsid w:val="004F5323"/>
    <w:rsid w:val="004F5D3A"/>
    <w:rsid w:val="004F648E"/>
    <w:rsid w:val="004F6EC9"/>
    <w:rsid w:val="004F7D7D"/>
    <w:rsid w:val="0050104E"/>
    <w:rsid w:val="00504044"/>
    <w:rsid w:val="005041CB"/>
    <w:rsid w:val="00505381"/>
    <w:rsid w:val="00505824"/>
    <w:rsid w:val="00505A00"/>
    <w:rsid w:val="00505CA2"/>
    <w:rsid w:val="00506B0C"/>
    <w:rsid w:val="00506EB7"/>
    <w:rsid w:val="0050765B"/>
    <w:rsid w:val="00510552"/>
    <w:rsid w:val="005117D7"/>
    <w:rsid w:val="00511E90"/>
    <w:rsid w:val="0051397F"/>
    <w:rsid w:val="00513B74"/>
    <w:rsid w:val="0051601B"/>
    <w:rsid w:val="00516B7B"/>
    <w:rsid w:val="0051709D"/>
    <w:rsid w:val="0051738A"/>
    <w:rsid w:val="00517F32"/>
    <w:rsid w:val="0052084E"/>
    <w:rsid w:val="005218CB"/>
    <w:rsid w:val="0052281A"/>
    <w:rsid w:val="00522FB4"/>
    <w:rsid w:val="00523194"/>
    <w:rsid w:val="00524144"/>
    <w:rsid w:val="005251F6"/>
    <w:rsid w:val="005252FE"/>
    <w:rsid w:val="00525DD5"/>
    <w:rsid w:val="00525EB8"/>
    <w:rsid w:val="0052735A"/>
    <w:rsid w:val="00527585"/>
    <w:rsid w:val="00527850"/>
    <w:rsid w:val="005300F2"/>
    <w:rsid w:val="00530500"/>
    <w:rsid w:val="00530A30"/>
    <w:rsid w:val="005317E3"/>
    <w:rsid w:val="0053196C"/>
    <w:rsid w:val="00532514"/>
    <w:rsid w:val="00533309"/>
    <w:rsid w:val="00533B4E"/>
    <w:rsid w:val="00534128"/>
    <w:rsid w:val="00535525"/>
    <w:rsid w:val="00535FA2"/>
    <w:rsid w:val="005366E1"/>
    <w:rsid w:val="00536D1A"/>
    <w:rsid w:val="00540BBD"/>
    <w:rsid w:val="00541C24"/>
    <w:rsid w:val="00542D4C"/>
    <w:rsid w:val="0054487E"/>
    <w:rsid w:val="00544F56"/>
    <w:rsid w:val="00545954"/>
    <w:rsid w:val="00545C0A"/>
    <w:rsid w:val="00546B9C"/>
    <w:rsid w:val="00547101"/>
    <w:rsid w:val="00547C9C"/>
    <w:rsid w:val="00550D77"/>
    <w:rsid w:val="0055220C"/>
    <w:rsid w:val="0055273D"/>
    <w:rsid w:val="00553556"/>
    <w:rsid w:val="00553B4C"/>
    <w:rsid w:val="00554B03"/>
    <w:rsid w:val="0055546E"/>
    <w:rsid w:val="0055599B"/>
    <w:rsid w:val="00555D91"/>
    <w:rsid w:val="00555E0B"/>
    <w:rsid w:val="005568A8"/>
    <w:rsid w:val="00556D50"/>
    <w:rsid w:val="00557003"/>
    <w:rsid w:val="005571AB"/>
    <w:rsid w:val="00557262"/>
    <w:rsid w:val="00557842"/>
    <w:rsid w:val="005600AF"/>
    <w:rsid w:val="00561F5A"/>
    <w:rsid w:val="0056229E"/>
    <w:rsid w:val="005629FC"/>
    <w:rsid w:val="00562B3F"/>
    <w:rsid w:val="00562C6E"/>
    <w:rsid w:val="00563286"/>
    <w:rsid w:val="0056330D"/>
    <w:rsid w:val="005633AD"/>
    <w:rsid w:val="005645BC"/>
    <w:rsid w:val="00564B21"/>
    <w:rsid w:val="0056514C"/>
    <w:rsid w:val="0056564E"/>
    <w:rsid w:val="005658CE"/>
    <w:rsid w:val="005672A9"/>
    <w:rsid w:val="0056757D"/>
    <w:rsid w:val="00567B0E"/>
    <w:rsid w:val="00567DB8"/>
    <w:rsid w:val="00570D79"/>
    <w:rsid w:val="005713BA"/>
    <w:rsid w:val="00572DA4"/>
    <w:rsid w:val="00572E4D"/>
    <w:rsid w:val="00575E9D"/>
    <w:rsid w:val="005760A6"/>
    <w:rsid w:val="005764CC"/>
    <w:rsid w:val="00576DC0"/>
    <w:rsid w:val="00576FD8"/>
    <w:rsid w:val="00577A8F"/>
    <w:rsid w:val="00577C7B"/>
    <w:rsid w:val="00577EC4"/>
    <w:rsid w:val="00580193"/>
    <w:rsid w:val="0058075C"/>
    <w:rsid w:val="005816D8"/>
    <w:rsid w:val="005819BF"/>
    <w:rsid w:val="00581A94"/>
    <w:rsid w:val="00582C5E"/>
    <w:rsid w:val="005831F5"/>
    <w:rsid w:val="00583245"/>
    <w:rsid w:val="005832A6"/>
    <w:rsid w:val="00583965"/>
    <w:rsid w:val="00583D98"/>
    <w:rsid w:val="005842DB"/>
    <w:rsid w:val="00584CB5"/>
    <w:rsid w:val="005858DE"/>
    <w:rsid w:val="0058590F"/>
    <w:rsid w:val="005859BA"/>
    <w:rsid w:val="00586577"/>
    <w:rsid w:val="005866C1"/>
    <w:rsid w:val="005868DA"/>
    <w:rsid w:val="0058767A"/>
    <w:rsid w:val="00587BCC"/>
    <w:rsid w:val="005902AA"/>
    <w:rsid w:val="00591868"/>
    <w:rsid w:val="00591AC6"/>
    <w:rsid w:val="00592FA4"/>
    <w:rsid w:val="005933EF"/>
    <w:rsid w:val="00593ED2"/>
    <w:rsid w:val="0059469C"/>
    <w:rsid w:val="0059608F"/>
    <w:rsid w:val="005963D4"/>
    <w:rsid w:val="00596D67"/>
    <w:rsid w:val="0059714F"/>
    <w:rsid w:val="00597C2B"/>
    <w:rsid w:val="00597C71"/>
    <w:rsid w:val="00597E32"/>
    <w:rsid w:val="005A08EA"/>
    <w:rsid w:val="005A0E65"/>
    <w:rsid w:val="005A167E"/>
    <w:rsid w:val="005A233B"/>
    <w:rsid w:val="005A278D"/>
    <w:rsid w:val="005A2E8C"/>
    <w:rsid w:val="005A3D29"/>
    <w:rsid w:val="005A3FB0"/>
    <w:rsid w:val="005A4325"/>
    <w:rsid w:val="005A5608"/>
    <w:rsid w:val="005A65D6"/>
    <w:rsid w:val="005A68A5"/>
    <w:rsid w:val="005A69F1"/>
    <w:rsid w:val="005A6E80"/>
    <w:rsid w:val="005A727D"/>
    <w:rsid w:val="005A745C"/>
    <w:rsid w:val="005A7D7E"/>
    <w:rsid w:val="005B155B"/>
    <w:rsid w:val="005B1B71"/>
    <w:rsid w:val="005B1E08"/>
    <w:rsid w:val="005B31A9"/>
    <w:rsid w:val="005B34FB"/>
    <w:rsid w:val="005B3F70"/>
    <w:rsid w:val="005B3FF8"/>
    <w:rsid w:val="005B4825"/>
    <w:rsid w:val="005B4982"/>
    <w:rsid w:val="005B5166"/>
    <w:rsid w:val="005B53CD"/>
    <w:rsid w:val="005B5DF7"/>
    <w:rsid w:val="005B6A0F"/>
    <w:rsid w:val="005B6A83"/>
    <w:rsid w:val="005B6EE9"/>
    <w:rsid w:val="005B7EF0"/>
    <w:rsid w:val="005C0049"/>
    <w:rsid w:val="005C3752"/>
    <w:rsid w:val="005C4722"/>
    <w:rsid w:val="005C4FB5"/>
    <w:rsid w:val="005C553F"/>
    <w:rsid w:val="005C5706"/>
    <w:rsid w:val="005C7922"/>
    <w:rsid w:val="005C7EA1"/>
    <w:rsid w:val="005D3630"/>
    <w:rsid w:val="005D50C9"/>
    <w:rsid w:val="005D5594"/>
    <w:rsid w:val="005D5A14"/>
    <w:rsid w:val="005D5B7B"/>
    <w:rsid w:val="005D6110"/>
    <w:rsid w:val="005D6428"/>
    <w:rsid w:val="005D66D1"/>
    <w:rsid w:val="005D72C5"/>
    <w:rsid w:val="005D7AA6"/>
    <w:rsid w:val="005E03A9"/>
    <w:rsid w:val="005E0962"/>
    <w:rsid w:val="005E1209"/>
    <w:rsid w:val="005E18ED"/>
    <w:rsid w:val="005E2268"/>
    <w:rsid w:val="005E22E3"/>
    <w:rsid w:val="005E2660"/>
    <w:rsid w:val="005E27FB"/>
    <w:rsid w:val="005E32D3"/>
    <w:rsid w:val="005E3796"/>
    <w:rsid w:val="005E5008"/>
    <w:rsid w:val="005E5720"/>
    <w:rsid w:val="005E6896"/>
    <w:rsid w:val="005E6897"/>
    <w:rsid w:val="005E6DCE"/>
    <w:rsid w:val="005E71F2"/>
    <w:rsid w:val="005F074F"/>
    <w:rsid w:val="005F1291"/>
    <w:rsid w:val="005F13F8"/>
    <w:rsid w:val="005F229B"/>
    <w:rsid w:val="005F2D1F"/>
    <w:rsid w:val="005F4069"/>
    <w:rsid w:val="005F4281"/>
    <w:rsid w:val="005F42D1"/>
    <w:rsid w:val="005F4404"/>
    <w:rsid w:val="005F46A7"/>
    <w:rsid w:val="005F484E"/>
    <w:rsid w:val="005F4A38"/>
    <w:rsid w:val="005F5030"/>
    <w:rsid w:val="005F5AE5"/>
    <w:rsid w:val="005F6063"/>
    <w:rsid w:val="005F6B24"/>
    <w:rsid w:val="005F7063"/>
    <w:rsid w:val="005F7137"/>
    <w:rsid w:val="005F796B"/>
    <w:rsid w:val="006002E1"/>
    <w:rsid w:val="0060052E"/>
    <w:rsid w:val="00601116"/>
    <w:rsid w:val="0060132F"/>
    <w:rsid w:val="00601EB2"/>
    <w:rsid w:val="006020F3"/>
    <w:rsid w:val="00603F8B"/>
    <w:rsid w:val="00604488"/>
    <w:rsid w:val="006049A9"/>
    <w:rsid w:val="0060560D"/>
    <w:rsid w:val="00605941"/>
    <w:rsid w:val="00606759"/>
    <w:rsid w:val="00606AB9"/>
    <w:rsid w:val="00607104"/>
    <w:rsid w:val="0060715C"/>
    <w:rsid w:val="00610639"/>
    <w:rsid w:val="006106A4"/>
    <w:rsid w:val="006108D3"/>
    <w:rsid w:val="00610D43"/>
    <w:rsid w:val="0061141E"/>
    <w:rsid w:val="00611B39"/>
    <w:rsid w:val="00612A21"/>
    <w:rsid w:val="006140DA"/>
    <w:rsid w:val="00614AC7"/>
    <w:rsid w:val="00614E15"/>
    <w:rsid w:val="006158CE"/>
    <w:rsid w:val="006159BA"/>
    <w:rsid w:val="00616236"/>
    <w:rsid w:val="0061660C"/>
    <w:rsid w:val="00616623"/>
    <w:rsid w:val="00616774"/>
    <w:rsid w:val="006210D6"/>
    <w:rsid w:val="00621BC9"/>
    <w:rsid w:val="00621F1E"/>
    <w:rsid w:val="0062203D"/>
    <w:rsid w:val="00622BE9"/>
    <w:rsid w:val="0062302B"/>
    <w:rsid w:val="00623B6A"/>
    <w:rsid w:val="00623BB6"/>
    <w:rsid w:val="00624A44"/>
    <w:rsid w:val="00624ADF"/>
    <w:rsid w:val="006266DA"/>
    <w:rsid w:val="00627EC0"/>
    <w:rsid w:val="00630556"/>
    <w:rsid w:val="00630D06"/>
    <w:rsid w:val="006311AB"/>
    <w:rsid w:val="00631284"/>
    <w:rsid w:val="00631355"/>
    <w:rsid w:val="0063174C"/>
    <w:rsid w:val="00631868"/>
    <w:rsid w:val="00632072"/>
    <w:rsid w:val="00633429"/>
    <w:rsid w:val="00633546"/>
    <w:rsid w:val="00634157"/>
    <w:rsid w:val="0063557A"/>
    <w:rsid w:val="00636F19"/>
    <w:rsid w:val="006374B3"/>
    <w:rsid w:val="00637ED7"/>
    <w:rsid w:val="006409AD"/>
    <w:rsid w:val="006419FF"/>
    <w:rsid w:val="00641BAB"/>
    <w:rsid w:val="006420D6"/>
    <w:rsid w:val="00642350"/>
    <w:rsid w:val="006426BA"/>
    <w:rsid w:val="00644FB9"/>
    <w:rsid w:val="006450F9"/>
    <w:rsid w:val="00646CA6"/>
    <w:rsid w:val="00647382"/>
    <w:rsid w:val="00650244"/>
    <w:rsid w:val="00650444"/>
    <w:rsid w:val="00650B31"/>
    <w:rsid w:val="00650D82"/>
    <w:rsid w:val="00652A29"/>
    <w:rsid w:val="00653E54"/>
    <w:rsid w:val="00653FB5"/>
    <w:rsid w:val="006565DF"/>
    <w:rsid w:val="00657C25"/>
    <w:rsid w:val="006605E3"/>
    <w:rsid w:val="0066060B"/>
    <w:rsid w:val="0066103B"/>
    <w:rsid w:val="0066196E"/>
    <w:rsid w:val="006620BF"/>
    <w:rsid w:val="00662328"/>
    <w:rsid w:val="006633E6"/>
    <w:rsid w:val="00663CF0"/>
    <w:rsid w:val="00663D29"/>
    <w:rsid w:val="00664263"/>
    <w:rsid w:val="006645D0"/>
    <w:rsid w:val="0066466F"/>
    <w:rsid w:val="00664722"/>
    <w:rsid w:val="0066512B"/>
    <w:rsid w:val="00665D7F"/>
    <w:rsid w:val="0066603E"/>
    <w:rsid w:val="00666B86"/>
    <w:rsid w:val="00666C38"/>
    <w:rsid w:val="00666D61"/>
    <w:rsid w:val="00667DB6"/>
    <w:rsid w:val="006702CE"/>
    <w:rsid w:val="00670689"/>
    <w:rsid w:val="006706BC"/>
    <w:rsid w:val="00672EC9"/>
    <w:rsid w:val="00672FCB"/>
    <w:rsid w:val="006732E3"/>
    <w:rsid w:val="00673A87"/>
    <w:rsid w:val="006748A3"/>
    <w:rsid w:val="006762EB"/>
    <w:rsid w:val="006765A0"/>
    <w:rsid w:val="00677889"/>
    <w:rsid w:val="00677DC3"/>
    <w:rsid w:val="006801D7"/>
    <w:rsid w:val="00680569"/>
    <w:rsid w:val="00680860"/>
    <w:rsid w:val="00680B31"/>
    <w:rsid w:val="0068143C"/>
    <w:rsid w:val="0068243C"/>
    <w:rsid w:val="0068302D"/>
    <w:rsid w:val="006830A3"/>
    <w:rsid w:val="00683E9B"/>
    <w:rsid w:val="006845FD"/>
    <w:rsid w:val="006851B9"/>
    <w:rsid w:val="00685547"/>
    <w:rsid w:val="00686B39"/>
    <w:rsid w:val="0068734E"/>
    <w:rsid w:val="00690FD0"/>
    <w:rsid w:val="0069221C"/>
    <w:rsid w:val="00692FE9"/>
    <w:rsid w:val="006938B4"/>
    <w:rsid w:val="0069411D"/>
    <w:rsid w:val="006945F0"/>
    <w:rsid w:val="00696A99"/>
    <w:rsid w:val="00697BF0"/>
    <w:rsid w:val="006A059A"/>
    <w:rsid w:val="006A1398"/>
    <w:rsid w:val="006A14F5"/>
    <w:rsid w:val="006A1675"/>
    <w:rsid w:val="006A283E"/>
    <w:rsid w:val="006A3B1D"/>
    <w:rsid w:val="006A3DAC"/>
    <w:rsid w:val="006A47E0"/>
    <w:rsid w:val="006A5B05"/>
    <w:rsid w:val="006A5DDE"/>
    <w:rsid w:val="006A6993"/>
    <w:rsid w:val="006B0B38"/>
    <w:rsid w:val="006B1206"/>
    <w:rsid w:val="006B1816"/>
    <w:rsid w:val="006B1CAF"/>
    <w:rsid w:val="006B1FB9"/>
    <w:rsid w:val="006B41BD"/>
    <w:rsid w:val="006B4755"/>
    <w:rsid w:val="006B4974"/>
    <w:rsid w:val="006B4DD8"/>
    <w:rsid w:val="006B67FA"/>
    <w:rsid w:val="006B6820"/>
    <w:rsid w:val="006B6C69"/>
    <w:rsid w:val="006C015E"/>
    <w:rsid w:val="006C0923"/>
    <w:rsid w:val="006C1062"/>
    <w:rsid w:val="006C1538"/>
    <w:rsid w:val="006C24AC"/>
    <w:rsid w:val="006C2F5E"/>
    <w:rsid w:val="006C4AC6"/>
    <w:rsid w:val="006C4D6E"/>
    <w:rsid w:val="006C5020"/>
    <w:rsid w:val="006C5B54"/>
    <w:rsid w:val="006C5D8B"/>
    <w:rsid w:val="006C5F94"/>
    <w:rsid w:val="006C61F4"/>
    <w:rsid w:val="006C6EC3"/>
    <w:rsid w:val="006C7407"/>
    <w:rsid w:val="006C7874"/>
    <w:rsid w:val="006C7D99"/>
    <w:rsid w:val="006C7FE6"/>
    <w:rsid w:val="006D02AC"/>
    <w:rsid w:val="006D0EAE"/>
    <w:rsid w:val="006D1221"/>
    <w:rsid w:val="006D1303"/>
    <w:rsid w:val="006D1EE6"/>
    <w:rsid w:val="006D26AC"/>
    <w:rsid w:val="006D4B86"/>
    <w:rsid w:val="006D548D"/>
    <w:rsid w:val="006D6D6A"/>
    <w:rsid w:val="006D777D"/>
    <w:rsid w:val="006E04EB"/>
    <w:rsid w:val="006E1A9B"/>
    <w:rsid w:val="006E38D1"/>
    <w:rsid w:val="006E4595"/>
    <w:rsid w:val="006E6020"/>
    <w:rsid w:val="006E78F5"/>
    <w:rsid w:val="006E7C09"/>
    <w:rsid w:val="006F061D"/>
    <w:rsid w:val="006F112B"/>
    <w:rsid w:val="006F13B7"/>
    <w:rsid w:val="006F216D"/>
    <w:rsid w:val="006F25D4"/>
    <w:rsid w:val="006F2F2B"/>
    <w:rsid w:val="006F371C"/>
    <w:rsid w:val="006F4051"/>
    <w:rsid w:val="006F4222"/>
    <w:rsid w:val="006F5551"/>
    <w:rsid w:val="006F5BB0"/>
    <w:rsid w:val="006F5C10"/>
    <w:rsid w:val="006F5DD6"/>
    <w:rsid w:val="006F5DF8"/>
    <w:rsid w:val="006F60E8"/>
    <w:rsid w:val="006F69A3"/>
    <w:rsid w:val="006F7755"/>
    <w:rsid w:val="006F7E52"/>
    <w:rsid w:val="00700707"/>
    <w:rsid w:val="007008C8"/>
    <w:rsid w:val="00700F3D"/>
    <w:rsid w:val="00701299"/>
    <w:rsid w:val="00701DCB"/>
    <w:rsid w:val="00703237"/>
    <w:rsid w:val="00703486"/>
    <w:rsid w:val="0070357F"/>
    <w:rsid w:val="00703824"/>
    <w:rsid w:val="00703955"/>
    <w:rsid w:val="00704402"/>
    <w:rsid w:val="00704538"/>
    <w:rsid w:val="00705468"/>
    <w:rsid w:val="00706B20"/>
    <w:rsid w:val="00706D1E"/>
    <w:rsid w:val="00707F24"/>
    <w:rsid w:val="00711ED9"/>
    <w:rsid w:val="007127E2"/>
    <w:rsid w:val="00712BC9"/>
    <w:rsid w:val="00713904"/>
    <w:rsid w:val="00713B67"/>
    <w:rsid w:val="007157E0"/>
    <w:rsid w:val="00715933"/>
    <w:rsid w:val="00715C9F"/>
    <w:rsid w:val="007161D7"/>
    <w:rsid w:val="007166BD"/>
    <w:rsid w:val="0071677A"/>
    <w:rsid w:val="00717A38"/>
    <w:rsid w:val="00717C8F"/>
    <w:rsid w:val="00717CEB"/>
    <w:rsid w:val="00720EE3"/>
    <w:rsid w:val="00721852"/>
    <w:rsid w:val="00721CFC"/>
    <w:rsid w:val="00721FBE"/>
    <w:rsid w:val="0072348E"/>
    <w:rsid w:val="007237E1"/>
    <w:rsid w:val="00723C35"/>
    <w:rsid w:val="00724532"/>
    <w:rsid w:val="0072529E"/>
    <w:rsid w:val="007258EC"/>
    <w:rsid w:val="00725AA1"/>
    <w:rsid w:val="007265BD"/>
    <w:rsid w:val="007266F8"/>
    <w:rsid w:val="00726BDF"/>
    <w:rsid w:val="00730773"/>
    <w:rsid w:val="00730A18"/>
    <w:rsid w:val="0073119F"/>
    <w:rsid w:val="0073128A"/>
    <w:rsid w:val="00731BBD"/>
    <w:rsid w:val="007327C5"/>
    <w:rsid w:val="00732A3F"/>
    <w:rsid w:val="007337F7"/>
    <w:rsid w:val="00733A6C"/>
    <w:rsid w:val="00733E00"/>
    <w:rsid w:val="007344B2"/>
    <w:rsid w:val="0073466E"/>
    <w:rsid w:val="00734AB8"/>
    <w:rsid w:val="00735033"/>
    <w:rsid w:val="00735600"/>
    <w:rsid w:val="00735715"/>
    <w:rsid w:val="00735A24"/>
    <w:rsid w:val="00735E1F"/>
    <w:rsid w:val="00736B5A"/>
    <w:rsid w:val="00736EDD"/>
    <w:rsid w:val="0073777B"/>
    <w:rsid w:val="00737FE5"/>
    <w:rsid w:val="00740190"/>
    <w:rsid w:val="0074052D"/>
    <w:rsid w:val="007405E9"/>
    <w:rsid w:val="0074077A"/>
    <w:rsid w:val="0074089C"/>
    <w:rsid w:val="00741718"/>
    <w:rsid w:val="007420D9"/>
    <w:rsid w:val="007433D2"/>
    <w:rsid w:val="007438F9"/>
    <w:rsid w:val="00743C21"/>
    <w:rsid w:val="00747650"/>
    <w:rsid w:val="00747B8D"/>
    <w:rsid w:val="00747F1D"/>
    <w:rsid w:val="00750541"/>
    <w:rsid w:val="00751007"/>
    <w:rsid w:val="00751698"/>
    <w:rsid w:val="007517C0"/>
    <w:rsid w:val="007519A8"/>
    <w:rsid w:val="007522FE"/>
    <w:rsid w:val="00752794"/>
    <w:rsid w:val="0075422C"/>
    <w:rsid w:val="00754553"/>
    <w:rsid w:val="0075614F"/>
    <w:rsid w:val="00756682"/>
    <w:rsid w:val="00757BBD"/>
    <w:rsid w:val="00757EFA"/>
    <w:rsid w:val="00760867"/>
    <w:rsid w:val="00760C65"/>
    <w:rsid w:val="00761484"/>
    <w:rsid w:val="0076197B"/>
    <w:rsid w:val="007625E4"/>
    <w:rsid w:val="007629AA"/>
    <w:rsid w:val="00762A0D"/>
    <w:rsid w:val="00763385"/>
    <w:rsid w:val="007633CF"/>
    <w:rsid w:val="007636AC"/>
    <w:rsid w:val="00763C1F"/>
    <w:rsid w:val="00764765"/>
    <w:rsid w:val="00764E24"/>
    <w:rsid w:val="007650A1"/>
    <w:rsid w:val="00765397"/>
    <w:rsid w:val="00765967"/>
    <w:rsid w:val="007663AD"/>
    <w:rsid w:val="007668FA"/>
    <w:rsid w:val="0076703E"/>
    <w:rsid w:val="007673AF"/>
    <w:rsid w:val="007674EE"/>
    <w:rsid w:val="007700DC"/>
    <w:rsid w:val="007713BE"/>
    <w:rsid w:val="0077331E"/>
    <w:rsid w:val="007737C6"/>
    <w:rsid w:val="00775E80"/>
    <w:rsid w:val="00776895"/>
    <w:rsid w:val="00776A4F"/>
    <w:rsid w:val="00777164"/>
    <w:rsid w:val="0078099A"/>
    <w:rsid w:val="00780F16"/>
    <w:rsid w:val="00781B5D"/>
    <w:rsid w:val="00781CD7"/>
    <w:rsid w:val="007827D0"/>
    <w:rsid w:val="0078336C"/>
    <w:rsid w:val="00783906"/>
    <w:rsid w:val="00783B23"/>
    <w:rsid w:val="00783B95"/>
    <w:rsid w:val="00784C69"/>
    <w:rsid w:val="0078513B"/>
    <w:rsid w:val="007856E2"/>
    <w:rsid w:val="00786152"/>
    <w:rsid w:val="0078622E"/>
    <w:rsid w:val="00787196"/>
    <w:rsid w:val="00787A20"/>
    <w:rsid w:val="00790700"/>
    <w:rsid w:val="0079173F"/>
    <w:rsid w:val="00791BB8"/>
    <w:rsid w:val="00791DC6"/>
    <w:rsid w:val="00791F2E"/>
    <w:rsid w:val="0079251C"/>
    <w:rsid w:val="007936D0"/>
    <w:rsid w:val="00793A5C"/>
    <w:rsid w:val="00793C51"/>
    <w:rsid w:val="00794D38"/>
    <w:rsid w:val="007958E5"/>
    <w:rsid w:val="007961F7"/>
    <w:rsid w:val="007965C4"/>
    <w:rsid w:val="00796F90"/>
    <w:rsid w:val="007A0DB2"/>
    <w:rsid w:val="007A0E6B"/>
    <w:rsid w:val="007A2382"/>
    <w:rsid w:val="007A27B0"/>
    <w:rsid w:val="007A2ED7"/>
    <w:rsid w:val="007A2FCB"/>
    <w:rsid w:val="007A30DC"/>
    <w:rsid w:val="007A31CE"/>
    <w:rsid w:val="007A3580"/>
    <w:rsid w:val="007A4A1C"/>
    <w:rsid w:val="007A5146"/>
    <w:rsid w:val="007A56CB"/>
    <w:rsid w:val="007A592B"/>
    <w:rsid w:val="007A5D11"/>
    <w:rsid w:val="007A5D3F"/>
    <w:rsid w:val="007A624D"/>
    <w:rsid w:val="007A6931"/>
    <w:rsid w:val="007B0808"/>
    <w:rsid w:val="007B0C8F"/>
    <w:rsid w:val="007B1643"/>
    <w:rsid w:val="007B1CB8"/>
    <w:rsid w:val="007B2975"/>
    <w:rsid w:val="007B2D20"/>
    <w:rsid w:val="007B3B9B"/>
    <w:rsid w:val="007B5121"/>
    <w:rsid w:val="007B549A"/>
    <w:rsid w:val="007B67A6"/>
    <w:rsid w:val="007B7B7D"/>
    <w:rsid w:val="007C1044"/>
    <w:rsid w:val="007C13E6"/>
    <w:rsid w:val="007C1BC0"/>
    <w:rsid w:val="007C5CEA"/>
    <w:rsid w:val="007C5F53"/>
    <w:rsid w:val="007C64A2"/>
    <w:rsid w:val="007C698B"/>
    <w:rsid w:val="007C72B6"/>
    <w:rsid w:val="007C7379"/>
    <w:rsid w:val="007C745E"/>
    <w:rsid w:val="007D0D9C"/>
    <w:rsid w:val="007D127A"/>
    <w:rsid w:val="007D1FA7"/>
    <w:rsid w:val="007D4701"/>
    <w:rsid w:val="007D55B4"/>
    <w:rsid w:val="007D5606"/>
    <w:rsid w:val="007D72B2"/>
    <w:rsid w:val="007D7C80"/>
    <w:rsid w:val="007E042F"/>
    <w:rsid w:val="007E0B79"/>
    <w:rsid w:val="007E1051"/>
    <w:rsid w:val="007E2231"/>
    <w:rsid w:val="007E23B9"/>
    <w:rsid w:val="007E2EF1"/>
    <w:rsid w:val="007E34A2"/>
    <w:rsid w:val="007E37F7"/>
    <w:rsid w:val="007E3A7E"/>
    <w:rsid w:val="007E3EB8"/>
    <w:rsid w:val="007E5595"/>
    <w:rsid w:val="007E62BF"/>
    <w:rsid w:val="007E684E"/>
    <w:rsid w:val="007E6D1B"/>
    <w:rsid w:val="007E76CC"/>
    <w:rsid w:val="007F104D"/>
    <w:rsid w:val="007F154F"/>
    <w:rsid w:val="007F265A"/>
    <w:rsid w:val="007F2C86"/>
    <w:rsid w:val="007F31CA"/>
    <w:rsid w:val="007F5102"/>
    <w:rsid w:val="007F5337"/>
    <w:rsid w:val="007F57CB"/>
    <w:rsid w:val="007F6A34"/>
    <w:rsid w:val="00800526"/>
    <w:rsid w:val="00800BF7"/>
    <w:rsid w:val="00800C3D"/>
    <w:rsid w:val="00800DCB"/>
    <w:rsid w:val="008021E8"/>
    <w:rsid w:val="00802386"/>
    <w:rsid w:val="00802E27"/>
    <w:rsid w:val="00803094"/>
    <w:rsid w:val="00803898"/>
    <w:rsid w:val="00803DD1"/>
    <w:rsid w:val="0080414E"/>
    <w:rsid w:val="00804565"/>
    <w:rsid w:val="008045CE"/>
    <w:rsid w:val="00804935"/>
    <w:rsid w:val="008056EC"/>
    <w:rsid w:val="00805BE2"/>
    <w:rsid w:val="00805E31"/>
    <w:rsid w:val="00805E70"/>
    <w:rsid w:val="00806338"/>
    <w:rsid w:val="008067DB"/>
    <w:rsid w:val="00810FE3"/>
    <w:rsid w:val="00811E08"/>
    <w:rsid w:val="00812DA5"/>
    <w:rsid w:val="008130A9"/>
    <w:rsid w:val="008148C2"/>
    <w:rsid w:val="00814EB8"/>
    <w:rsid w:val="00814F43"/>
    <w:rsid w:val="00814FA3"/>
    <w:rsid w:val="008151DA"/>
    <w:rsid w:val="00815397"/>
    <w:rsid w:val="00815CDB"/>
    <w:rsid w:val="008162D4"/>
    <w:rsid w:val="00816A7E"/>
    <w:rsid w:val="00816B94"/>
    <w:rsid w:val="00816D47"/>
    <w:rsid w:val="00817D4B"/>
    <w:rsid w:val="00820B86"/>
    <w:rsid w:val="00820E95"/>
    <w:rsid w:val="00821CB4"/>
    <w:rsid w:val="008224A6"/>
    <w:rsid w:val="00822559"/>
    <w:rsid w:val="00823D9F"/>
    <w:rsid w:val="0082627A"/>
    <w:rsid w:val="00826559"/>
    <w:rsid w:val="0082737C"/>
    <w:rsid w:val="008307C9"/>
    <w:rsid w:val="00831F40"/>
    <w:rsid w:val="008322EC"/>
    <w:rsid w:val="008327FF"/>
    <w:rsid w:val="00832F92"/>
    <w:rsid w:val="00834BF2"/>
    <w:rsid w:val="00834FAA"/>
    <w:rsid w:val="00835B10"/>
    <w:rsid w:val="00836346"/>
    <w:rsid w:val="00837AA0"/>
    <w:rsid w:val="00840098"/>
    <w:rsid w:val="00841B74"/>
    <w:rsid w:val="00842662"/>
    <w:rsid w:val="00843177"/>
    <w:rsid w:val="00844683"/>
    <w:rsid w:val="0084495F"/>
    <w:rsid w:val="00844B55"/>
    <w:rsid w:val="00846A59"/>
    <w:rsid w:val="00846AC3"/>
    <w:rsid w:val="00847EB6"/>
    <w:rsid w:val="00851445"/>
    <w:rsid w:val="00852026"/>
    <w:rsid w:val="00852395"/>
    <w:rsid w:val="008524B7"/>
    <w:rsid w:val="00852B85"/>
    <w:rsid w:val="0085312B"/>
    <w:rsid w:val="008533A9"/>
    <w:rsid w:val="00853794"/>
    <w:rsid w:val="00853D13"/>
    <w:rsid w:val="0085463B"/>
    <w:rsid w:val="00854A9C"/>
    <w:rsid w:val="00854B9E"/>
    <w:rsid w:val="008551F2"/>
    <w:rsid w:val="0085597F"/>
    <w:rsid w:val="00855FA8"/>
    <w:rsid w:val="00856A90"/>
    <w:rsid w:val="00856B05"/>
    <w:rsid w:val="00860402"/>
    <w:rsid w:val="0086074F"/>
    <w:rsid w:val="00861512"/>
    <w:rsid w:val="00863343"/>
    <w:rsid w:val="008636F2"/>
    <w:rsid w:val="0086396B"/>
    <w:rsid w:val="008653E3"/>
    <w:rsid w:val="008653EA"/>
    <w:rsid w:val="008668A6"/>
    <w:rsid w:val="00866F0F"/>
    <w:rsid w:val="00866F8D"/>
    <w:rsid w:val="00867B09"/>
    <w:rsid w:val="008702CE"/>
    <w:rsid w:val="00871A32"/>
    <w:rsid w:val="008720FA"/>
    <w:rsid w:val="00872AE3"/>
    <w:rsid w:val="00873498"/>
    <w:rsid w:val="00873583"/>
    <w:rsid w:val="0087404C"/>
    <w:rsid w:val="008742B3"/>
    <w:rsid w:val="00874A52"/>
    <w:rsid w:val="00874B31"/>
    <w:rsid w:val="0087586C"/>
    <w:rsid w:val="00876DE4"/>
    <w:rsid w:val="00877645"/>
    <w:rsid w:val="0087784F"/>
    <w:rsid w:val="00877CBA"/>
    <w:rsid w:val="00880CAA"/>
    <w:rsid w:val="00883200"/>
    <w:rsid w:val="00884761"/>
    <w:rsid w:val="00885B38"/>
    <w:rsid w:val="00886D67"/>
    <w:rsid w:val="008876CF"/>
    <w:rsid w:val="00887FA6"/>
    <w:rsid w:val="00890006"/>
    <w:rsid w:val="00890A56"/>
    <w:rsid w:val="00890C5E"/>
    <w:rsid w:val="00892395"/>
    <w:rsid w:val="008924EE"/>
    <w:rsid w:val="0089264C"/>
    <w:rsid w:val="00892850"/>
    <w:rsid w:val="008938CC"/>
    <w:rsid w:val="00894422"/>
    <w:rsid w:val="008947A6"/>
    <w:rsid w:val="0089605C"/>
    <w:rsid w:val="008967C7"/>
    <w:rsid w:val="00897436"/>
    <w:rsid w:val="00897586"/>
    <w:rsid w:val="00897BE1"/>
    <w:rsid w:val="008A01EB"/>
    <w:rsid w:val="008A0FE3"/>
    <w:rsid w:val="008A28C6"/>
    <w:rsid w:val="008A2C8F"/>
    <w:rsid w:val="008A3C62"/>
    <w:rsid w:val="008A3C77"/>
    <w:rsid w:val="008A423D"/>
    <w:rsid w:val="008A545E"/>
    <w:rsid w:val="008A5649"/>
    <w:rsid w:val="008A59A1"/>
    <w:rsid w:val="008A6096"/>
    <w:rsid w:val="008A6350"/>
    <w:rsid w:val="008A66E8"/>
    <w:rsid w:val="008A68C9"/>
    <w:rsid w:val="008A6F71"/>
    <w:rsid w:val="008B0921"/>
    <w:rsid w:val="008B09DF"/>
    <w:rsid w:val="008B0A69"/>
    <w:rsid w:val="008B0EE2"/>
    <w:rsid w:val="008B1302"/>
    <w:rsid w:val="008B1B35"/>
    <w:rsid w:val="008B1B39"/>
    <w:rsid w:val="008B1E7A"/>
    <w:rsid w:val="008B2AF0"/>
    <w:rsid w:val="008B482A"/>
    <w:rsid w:val="008B4DEB"/>
    <w:rsid w:val="008B5E77"/>
    <w:rsid w:val="008B7F16"/>
    <w:rsid w:val="008C12BC"/>
    <w:rsid w:val="008C1488"/>
    <w:rsid w:val="008C1514"/>
    <w:rsid w:val="008C1522"/>
    <w:rsid w:val="008C18FF"/>
    <w:rsid w:val="008C1C87"/>
    <w:rsid w:val="008C20B3"/>
    <w:rsid w:val="008C2779"/>
    <w:rsid w:val="008C38F5"/>
    <w:rsid w:val="008C39D0"/>
    <w:rsid w:val="008C3D55"/>
    <w:rsid w:val="008C442C"/>
    <w:rsid w:val="008C6A9D"/>
    <w:rsid w:val="008C7974"/>
    <w:rsid w:val="008D0D90"/>
    <w:rsid w:val="008D1C59"/>
    <w:rsid w:val="008D1EDB"/>
    <w:rsid w:val="008D2998"/>
    <w:rsid w:val="008D2C28"/>
    <w:rsid w:val="008D2D58"/>
    <w:rsid w:val="008D3260"/>
    <w:rsid w:val="008D38EB"/>
    <w:rsid w:val="008D3C06"/>
    <w:rsid w:val="008D42DB"/>
    <w:rsid w:val="008D4A54"/>
    <w:rsid w:val="008D5286"/>
    <w:rsid w:val="008D5402"/>
    <w:rsid w:val="008D5C78"/>
    <w:rsid w:val="008D6976"/>
    <w:rsid w:val="008D7060"/>
    <w:rsid w:val="008D7077"/>
    <w:rsid w:val="008D792F"/>
    <w:rsid w:val="008D7CD5"/>
    <w:rsid w:val="008D7F0A"/>
    <w:rsid w:val="008E125C"/>
    <w:rsid w:val="008E2CD3"/>
    <w:rsid w:val="008E2E50"/>
    <w:rsid w:val="008E313A"/>
    <w:rsid w:val="008E3596"/>
    <w:rsid w:val="008E39D8"/>
    <w:rsid w:val="008E48E4"/>
    <w:rsid w:val="008E4E30"/>
    <w:rsid w:val="008E4F30"/>
    <w:rsid w:val="008E5581"/>
    <w:rsid w:val="008E627E"/>
    <w:rsid w:val="008E6BE2"/>
    <w:rsid w:val="008E7243"/>
    <w:rsid w:val="008E7469"/>
    <w:rsid w:val="008F0C7A"/>
    <w:rsid w:val="008F12EF"/>
    <w:rsid w:val="008F21FC"/>
    <w:rsid w:val="008F2474"/>
    <w:rsid w:val="008F30BC"/>
    <w:rsid w:val="008F344D"/>
    <w:rsid w:val="008F4046"/>
    <w:rsid w:val="008F471C"/>
    <w:rsid w:val="008F4990"/>
    <w:rsid w:val="008F5B05"/>
    <w:rsid w:val="008F6C15"/>
    <w:rsid w:val="008F7451"/>
    <w:rsid w:val="008F7BE6"/>
    <w:rsid w:val="008F7C1A"/>
    <w:rsid w:val="0090014B"/>
    <w:rsid w:val="00900B62"/>
    <w:rsid w:val="00901627"/>
    <w:rsid w:val="00901F2F"/>
    <w:rsid w:val="00901FB1"/>
    <w:rsid w:val="009037FF"/>
    <w:rsid w:val="00904897"/>
    <w:rsid w:val="00904A4A"/>
    <w:rsid w:val="00905095"/>
    <w:rsid w:val="0090549C"/>
    <w:rsid w:val="00906165"/>
    <w:rsid w:val="00906D30"/>
    <w:rsid w:val="00910D27"/>
    <w:rsid w:val="00910D53"/>
    <w:rsid w:val="00910D7E"/>
    <w:rsid w:val="00911162"/>
    <w:rsid w:val="009123C1"/>
    <w:rsid w:val="00912A3C"/>
    <w:rsid w:val="00913286"/>
    <w:rsid w:val="00914339"/>
    <w:rsid w:val="00914755"/>
    <w:rsid w:val="00914A79"/>
    <w:rsid w:val="00914D68"/>
    <w:rsid w:val="009150B8"/>
    <w:rsid w:val="009154BC"/>
    <w:rsid w:val="009155BA"/>
    <w:rsid w:val="00916A5E"/>
    <w:rsid w:val="00916B13"/>
    <w:rsid w:val="00916ED5"/>
    <w:rsid w:val="00917495"/>
    <w:rsid w:val="009176E3"/>
    <w:rsid w:val="00920BF4"/>
    <w:rsid w:val="00922A13"/>
    <w:rsid w:val="00923909"/>
    <w:rsid w:val="00923921"/>
    <w:rsid w:val="00923A8A"/>
    <w:rsid w:val="00924AD4"/>
    <w:rsid w:val="00925234"/>
    <w:rsid w:val="00925C84"/>
    <w:rsid w:val="00926D3C"/>
    <w:rsid w:val="009275A6"/>
    <w:rsid w:val="00930B9D"/>
    <w:rsid w:val="00931467"/>
    <w:rsid w:val="00931B4A"/>
    <w:rsid w:val="00931E74"/>
    <w:rsid w:val="009325D7"/>
    <w:rsid w:val="009329F2"/>
    <w:rsid w:val="00932BAC"/>
    <w:rsid w:val="009334CD"/>
    <w:rsid w:val="009336F4"/>
    <w:rsid w:val="0093370A"/>
    <w:rsid w:val="009345C7"/>
    <w:rsid w:val="009347D3"/>
    <w:rsid w:val="00936908"/>
    <w:rsid w:val="00936DBB"/>
    <w:rsid w:val="00937351"/>
    <w:rsid w:val="00937CE9"/>
    <w:rsid w:val="009411EA"/>
    <w:rsid w:val="00941386"/>
    <w:rsid w:val="0094165A"/>
    <w:rsid w:val="00941E1B"/>
    <w:rsid w:val="00942B29"/>
    <w:rsid w:val="009434FE"/>
    <w:rsid w:val="0094351E"/>
    <w:rsid w:val="00943FA2"/>
    <w:rsid w:val="009440E1"/>
    <w:rsid w:val="009445AD"/>
    <w:rsid w:val="009445B3"/>
    <w:rsid w:val="00945831"/>
    <w:rsid w:val="00946407"/>
    <w:rsid w:val="00947230"/>
    <w:rsid w:val="00947652"/>
    <w:rsid w:val="00947974"/>
    <w:rsid w:val="00952961"/>
    <w:rsid w:val="009533A6"/>
    <w:rsid w:val="00953825"/>
    <w:rsid w:val="009541FE"/>
    <w:rsid w:val="009546FA"/>
    <w:rsid w:val="0095490E"/>
    <w:rsid w:val="00956F58"/>
    <w:rsid w:val="00960CE1"/>
    <w:rsid w:val="00960D31"/>
    <w:rsid w:val="00961C90"/>
    <w:rsid w:val="00961FCA"/>
    <w:rsid w:val="00962B85"/>
    <w:rsid w:val="00962E0B"/>
    <w:rsid w:val="00962E2E"/>
    <w:rsid w:val="009640A0"/>
    <w:rsid w:val="009642BE"/>
    <w:rsid w:val="0096502A"/>
    <w:rsid w:val="0096647B"/>
    <w:rsid w:val="00966A6E"/>
    <w:rsid w:val="00967382"/>
    <w:rsid w:val="00967AB6"/>
    <w:rsid w:val="0097015E"/>
    <w:rsid w:val="0097060F"/>
    <w:rsid w:val="0097062C"/>
    <w:rsid w:val="00970925"/>
    <w:rsid w:val="009714F2"/>
    <w:rsid w:val="009715B8"/>
    <w:rsid w:val="00972579"/>
    <w:rsid w:val="00972BD9"/>
    <w:rsid w:val="00973893"/>
    <w:rsid w:val="00973BBA"/>
    <w:rsid w:val="009747A1"/>
    <w:rsid w:val="0097618C"/>
    <w:rsid w:val="00976B7D"/>
    <w:rsid w:val="00977EF7"/>
    <w:rsid w:val="0098052E"/>
    <w:rsid w:val="009830D0"/>
    <w:rsid w:val="00983C7E"/>
    <w:rsid w:val="009843DB"/>
    <w:rsid w:val="0098580E"/>
    <w:rsid w:val="00986C55"/>
    <w:rsid w:val="00986F48"/>
    <w:rsid w:val="0098764B"/>
    <w:rsid w:val="00987E5E"/>
    <w:rsid w:val="00990155"/>
    <w:rsid w:val="00990EB0"/>
    <w:rsid w:val="009920D8"/>
    <w:rsid w:val="00992E1C"/>
    <w:rsid w:val="00994D8D"/>
    <w:rsid w:val="009953C9"/>
    <w:rsid w:val="00996A53"/>
    <w:rsid w:val="00996E55"/>
    <w:rsid w:val="00996FF8"/>
    <w:rsid w:val="00997D75"/>
    <w:rsid w:val="009A0036"/>
    <w:rsid w:val="009A019B"/>
    <w:rsid w:val="009A0D10"/>
    <w:rsid w:val="009A10A3"/>
    <w:rsid w:val="009A11AB"/>
    <w:rsid w:val="009A209C"/>
    <w:rsid w:val="009A21C3"/>
    <w:rsid w:val="009A2975"/>
    <w:rsid w:val="009A3ACA"/>
    <w:rsid w:val="009A4866"/>
    <w:rsid w:val="009A541A"/>
    <w:rsid w:val="009A5742"/>
    <w:rsid w:val="009A6E43"/>
    <w:rsid w:val="009A7B88"/>
    <w:rsid w:val="009B048C"/>
    <w:rsid w:val="009B1611"/>
    <w:rsid w:val="009B3DA0"/>
    <w:rsid w:val="009B45B7"/>
    <w:rsid w:val="009B63B9"/>
    <w:rsid w:val="009B6775"/>
    <w:rsid w:val="009B6E4D"/>
    <w:rsid w:val="009B6F70"/>
    <w:rsid w:val="009B7472"/>
    <w:rsid w:val="009B784B"/>
    <w:rsid w:val="009C0052"/>
    <w:rsid w:val="009C01D5"/>
    <w:rsid w:val="009C0200"/>
    <w:rsid w:val="009C0DFD"/>
    <w:rsid w:val="009C1AA4"/>
    <w:rsid w:val="009C1E0F"/>
    <w:rsid w:val="009C2CF2"/>
    <w:rsid w:val="009C301D"/>
    <w:rsid w:val="009C3257"/>
    <w:rsid w:val="009C3AA9"/>
    <w:rsid w:val="009C3C62"/>
    <w:rsid w:val="009C413F"/>
    <w:rsid w:val="009C42D1"/>
    <w:rsid w:val="009C7623"/>
    <w:rsid w:val="009D1D7F"/>
    <w:rsid w:val="009D38FA"/>
    <w:rsid w:val="009D3A86"/>
    <w:rsid w:val="009D3D72"/>
    <w:rsid w:val="009D4503"/>
    <w:rsid w:val="009D4D68"/>
    <w:rsid w:val="009D7186"/>
    <w:rsid w:val="009D7BE7"/>
    <w:rsid w:val="009E1317"/>
    <w:rsid w:val="009E1E79"/>
    <w:rsid w:val="009E244F"/>
    <w:rsid w:val="009E421D"/>
    <w:rsid w:val="009E4929"/>
    <w:rsid w:val="009E5178"/>
    <w:rsid w:val="009E59FB"/>
    <w:rsid w:val="009E5C9E"/>
    <w:rsid w:val="009E6BA6"/>
    <w:rsid w:val="009E7533"/>
    <w:rsid w:val="009F096D"/>
    <w:rsid w:val="009F0B4C"/>
    <w:rsid w:val="009F10E7"/>
    <w:rsid w:val="009F1396"/>
    <w:rsid w:val="009F1405"/>
    <w:rsid w:val="009F21F9"/>
    <w:rsid w:val="009F2977"/>
    <w:rsid w:val="009F2A0F"/>
    <w:rsid w:val="009F40C2"/>
    <w:rsid w:val="009F4311"/>
    <w:rsid w:val="009F4A89"/>
    <w:rsid w:val="009F556A"/>
    <w:rsid w:val="009F5E1C"/>
    <w:rsid w:val="00A0005C"/>
    <w:rsid w:val="00A00555"/>
    <w:rsid w:val="00A0097E"/>
    <w:rsid w:val="00A00E40"/>
    <w:rsid w:val="00A00F93"/>
    <w:rsid w:val="00A0128A"/>
    <w:rsid w:val="00A048B2"/>
    <w:rsid w:val="00A050B0"/>
    <w:rsid w:val="00A0528A"/>
    <w:rsid w:val="00A05B45"/>
    <w:rsid w:val="00A07425"/>
    <w:rsid w:val="00A07580"/>
    <w:rsid w:val="00A07B2E"/>
    <w:rsid w:val="00A07FA2"/>
    <w:rsid w:val="00A103ED"/>
    <w:rsid w:val="00A11095"/>
    <w:rsid w:val="00A118E0"/>
    <w:rsid w:val="00A11B03"/>
    <w:rsid w:val="00A12467"/>
    <w:rsid w:val="00A126E2"/>
    <w:rsid w:val="00A131FC"/>
    <w:rsid w:val="00A13732"/>
    <w:rsid w:val="00A1494D"/>
    <w:rsid w:val="00A15E71"/>
    <w:rsid w:val="00A175DF"/>
    <w:rsid w:val="00A179A9"/>
    <w:rsid w:val="00A17B37"/>
    <w:rsid w:val="00A17ED9"/>
    <w:rsid w:val="00A20E9B"/>
    <w:rsid w:val="00A21FF7"/>
    <w:rsid w:val="00A2396A"/>
    <w:rsid w:val="00A24323"/>
    <w:rsid w:val="00A248FC"/>
    <w:rsid w:val="00A25448"/>
    <w:rsid w:val="00A25595"/>
    <w:rsid w:val="00A266B3"/>
    <w:rsid w:val="00A269A7"/>
    <w:rsid w:val="00A3059A"/>
    <w:rsid w:val="00A31BD2"/>
    <w:rsid w:val="00A31D0C"/>
    <w:rsid w:val="00A321E5"/>
    <w:rsid w:val="00A322A6"/>
    <w:rsid w:val="00A326AE"/>
    <w:rsid w:val="00A3279E"/>
    <w:rsid w:val="00A32A91"/>
    <w:rsid w:val="00A33A3B"/>
    <w:rsid w:val="00A3409C"/>
    <w:rsid w:val="00A3510D"/>
    <w:rsid w:val="00A35288"/>
    <w:rsid w:val="00A352BC"/>
    <w:rsid w:val="00A36721"/>
    <w:rsid w:val="00A36A2B"/>
    <w:rsid w:val="00A37FAF"/>
    <w:rsid w:val="00A405EE"/>
    <w:rsid w:val="00A40FCE"/>
    <w:rsid w:val="00A414C5"/>
    <w:rsid w:val="00A41BA7"/>
    <w:rsid w:val="00A422E8"/>
    <w:rsid w:val="00A42B8A"/>
    <w:rsid w:val="00A4322B"/>
    <w:rsid w:val="00A43921"/>
    <w:rsid w:val="00A43BBC"/>
    <w:rsid w:val="00A44765"/>
    <w:rsid w:val="00A44C02"/>
    <w:rsid w:val="00A46782"/>
    <w:rsid w:val="00A468A3"/>
    <w:rsid w:val="00A47B71"/>
    <w:rsid w:val="00A5080D"/>
    <w:rsid w:val="00A51B0D"/>
    <w:rsid w:val="00A51C86"/>
    <w:rsid w:val="00A51EC8"/>
    <w:rsid w:val="00A54AD1"/>
    <w:rsid w:val="00A54F15"/>
    <w:rsid w:val="00A54F43"/>
    <w:rsid w:val="00A5517A"/>
    <w:rsid w:val="00A55646"/>
    <w:rsid w:val="00A55884"/>
    <w:rsid w:val="00A57BAE"/>
    <w:rsid w:val="00A604DA"/>
    <w:rsid w:val="00A60CD7"/>
    <w:rsid w:val="00A6153E"/>
    <w:rsid w:val="00A61A13"/>
    <w:rsid w:val="00A61E0C"/>
    <w:rsid w:val="00A61FF6"/>
    <w:rsid w:val="00A63B3E"/>
    <w:rsid w:val="00A64594"/>
    <w:rsid w:val="00A6538B"/>
    <w:rsid w:val="00A6559D"/>
    <w:rsid w:val="00A655B6"/>
    <w:rsid w:val="00A65997"/>
    <w:rsid w:val="00A65E79"/>
    <w:rsid w:val="00A675F0"/>
    <w:rsid w:val="00A70075"/>
    <w:rsid w:val="00A70B36"/>
    <w:rsid w:val="00A70C7F"/>
    <w:rsid w:val="00A70E97"/>
    <w:rsid w:val="00A710DD"/>
    <w:rsid w:val="00A7158B"/>
    <w:rsid w:val="00A71BF5"/>
    <w:rsid w:val="00A7279D"/>
    <w:rsid w:val="00A7360B"/>
    <w:rsid w:val="00A74791"/>
    <w:rsid w:val="00A75552"/>
    <w:rsid w:val="00A76608"/>
    <w:rsid w:val="00A77982"/>
    <w:rsid w:val="00A807B1"/>
    <w:rsid w:val="00A808F9"/>
    <w:rsid w:val="00A810B9"/>
    <w:rsid w:val="00A81670"/>
    <w:rsid w:val="00A820F6"/>
    <w:rsid w:val="00A8363C"/>
    <w:rsid w:val="00A8391B"/>
    <w:rsid w:val="00A847D0"/>
    <w:rsid w:val="00A847DE"/>
    <w:rsid w:val="00A84D3D"/>
    <w:rsid w:val="00A85A33"/>
    <w:rsid w:val="00A876E7"/>
    <w:rsid w:val="00A909D6"/>
    <w:rsid w:val="00A912EB"/>
    <w:rsid w:val="00A913C9"/>
    <w:rsid w:val="00A91AFA"/>
    <w:rsid w:val="00A92386"/>
    <w:rsid w:val="00A93E8C"/>
    <w:rsid w:val="00A94CC4"/>
    <w:rsid w:val="00A95C44"/>
    <w:rsid w:val="00A970BE"/>
    <w:rsid w:val="00AA02E1"/>
    <w:rsid w:val="00AA0709"/>
    <w:rsid w:val="00AA104E"/>
    <w:rsid w:val="00AA157B"/>
    <w:rsid w:val="00AA19A9"/>
    <w:rsid w:val="00AA2784"/>
    <w:rsid w:val="00AA2BB5"/>
    <w:rsid w:val="00AA3160"/>
    <w:rsid w:val="00AA3257"/>
    <w:rsid w:val="00AA4935"/>
    <w:rsid w:val="00AA4BD2"/>
    <w:rsid w:val="00AA4CC4"/>
    <w:rsid w:val="00AA5E7F"/>
    <w:rsid w:val="00AA626F"/>
    <w:rsid w:val="00AA6521"/>
    <w:rsid w:val="00AA686D"/>
    <w:rsid w:val="00AA6ECD"/>
    <w:rsid w:val="00AA7C3A"/>
    <w:rsid w:val="00AA7E07"/>
    <w:rsid w:val="00AB018C"/>
    <w:rsid w:val="00AB0EDE"/>
    <w:rsid w:val="00AB11BA"/>
    <w:rsid w:val="00AB13E9"/>
    <w:rsid w:val="00AB17E8"/>
    <w:rsid w:val="00AB2DB1"/>
    <w:rsid w:val="00AB30FE"/>
    <w:rsid w:val="00AB3461"/>
    <w:rsid w:val="00AB4543"/>
    <w:rsid w:val="00AB4743"/>
    <w:rsid w:val="00AB4950"/>
    <w:rsid w:val="00AB524A"/>
    <w:rsid w:val="00AB53B8"/>
    <w:rsid w:val="00AB56E8"/>
    <w:rsid w:val="00AB5EEA"/>
    <w:rsid w:val="00AB6063"/>
    <w:rsid w:val="00AB699E"/>
    <w:rsid w:val="00AB6F37"/>
    <w:rsid w:val="00AB7515"/>
    <w:rsid w:val="00AB78DD"/>
    <w:rsid w:val="00AC0263"/>
    <w:rsid w:val="00AC07E3"/>
    <w:rsid w:val="00AC13F2"/>
    <w:rsid w:val="00AC1486"/>
    <w:rsid w:val="00AC4269"/>
    <w:rsid w:val="00AC4EEB"/>
    <w:rsid w:val="00AC5F09"/>
    <w:rsid w:val="00AC6604"/>
    <w:rsid w:val="00AC6D61"/>
    <w:rsid w:val="00AC710E"/>
    <w:rsid w:val="00AD0398"/>
    <w:rsid w:val="00AD112A"/>
    <w:rsid w:val="00AD1A66"/>
    <w:rsid w:val="00AD3008"/>
    <w:rsid w:val="00AD30F9"/>
    <w:rsid w:val="00AD3303"/>
    <w:rsid w:val="00AD3839"/>
    <w:rsid w:val="00AD4597"/>
    <w:rsid w:val="00AD487E"/>
    <w:rsid w:val="00AD5CCA"/>
    <w:rsid w:val="00AD7590"/>
    <w:rsid w:val="00AE0715"/>
    <w:rsid w:val="00AE0C48"/>
    <w:rsid w:val="00AE176D"/>
    <w:rsid w:val="00AE1774"/>
    <w:rsid w:val="00AE2593"/>
    <w:rsid w:val="00AE3400"/>
    <w:rsid w:val="00AE3CCC"/>
    <w:rsid w:val="00AE4628"/>
    <w:rsid w:val="00AE6D0C"/>
    <w:rsid w:val="00AE7680"/>
    <w:rsid w:val="00AE7C1F"/>
    <w:rsid w:val="00AF035B"/>
    <w:rsid w:val="00AF0771"/>
    <w:rsid w:val="00AF1258"/>
    <w:rsid w:val="00AF27A3"/>
    <w:rsid w:val="00AF30D3"/>
    <w:rsid w:val="00AF3A3D"/>
    <w:rsid w:val="00AF4BCF"/>
    <w:rsid w:val="00AF66BD"/>
    <w:rsid w:val="00AF79EA"/>
    <w:rsid w:val="00B00483"/>
    <w:rsid w:val="00B0051D"/>
    <w:rsid w:val="00B0071F"/>
    <w:rsid w:val="00B00C57"/>
    <w:rsid w:val="00B00C8B"/>
    <w:rsid w:val="00B00C94"/>
    <w:rsid w:val="00B012E8"/>
    <w:rsid w:val="00B01811"/>
    <w:rsid w:val="00B01C50"/>
    <w:rsid w:val="00B02253"/>
    <w:rsid w:val="00B0261E"/>
    <w:rsid w:val="00B0277F"/>
    <w:rsid w:val="00B02A9B"/>
    <w:rsid w:val="00B03E52"/>
    <w:rsid w:val="00B04906"/>
    <w:rsid w:val="00B04A96"/>
    <w:rsid w:val="00B053B6"/>
    <w:rsid w:val="00B05890"/>
    <w:rsid w:val="00B06432"/>
    <w:rsid w:val="00B0693C"/>
    <w:rsid w:val="00B06A2C"/>
    <w:rsid w:val="00B07E6E"/>
    <w:rsid w:val="00B07EFE"/>
    <w:rsid w:val="00B10109"/>
    <w:rsid w:val="00B10354"/>
    <w:rsid w:val="00B1052F"/>
    <w:rsid w:val="00B11297"/>
    <w:rsid w:val="00B114F6"/>
    <w:rsid w:val="00B1154F"/>
    <w:rsid w:val="00B11D0D"/>
    <w:rsid w:val="00B11D7F"/>
    <w:rsid w:val="00B12626"/>
    <w:rsid w:val="00B128F4"/>
    <w:rsid w:val="00B1324A"/>
    <w:rsid w:val="00B13506"/>
    <w:rsid w:val="00B160FE"/>
    <w:rsid w:val="00B16813"/>
    <w:rsid w:val="00B16BB3"/>
    <w:rsid w:val="00B16F43"/>
    <w:rsid w:val="00B174AF"/>
    <w:rsid w:val="00B177EE"/>
    <w:rsid w:val="00B20A52"/>
    <w:rsid w:val="00B20C7B"/>
    <w:rsid w:val="00B217CC"/>
    <w:rsid w:val="00B21816"/>
    <w:rsid w:val="00B222F2"/>
    <w:rsid w:val="00B228F8"/>
    <w:rsid w:val="00B23A1D"/>
    <w:rsid w:val="00B242BE"/>
    <w:rsid w:val="00B24404"/>
    <w:rsid w:val="00B24C22"/>
    <w:rsid w:val="00B25546"/>
    <w:rsid w:val="00B2638A"/>
    <w:rsid w:val="00B27050"/>
    <w:rsid w:val="00B30804"/>
    <w:rsid w:val="00B30A7F"/>
    <w:rsid w:val="00B3105D"/>
    <w:rsid w:val="00B32959"/>
    <w:rsid w:val="00B342F1"/>
    <w:rsid w:val="00B35159"/>
    <w:rsid w:val="00B35428"/>
    <w:rsid w:val="00B37E06"/>
    <w:rsid w:val="00B401BB"/>
    <w:rsid w:val="00B40316"/>
    <w:rsid w:val="00B40962"/>
    <w:rsid w:val="00B40C9E"/>
    <w:rsid w:val="00B41B57"/>
    <w:rsid w:val="00B41CFC"/>
    <w:rsid w:val="00B4283B"/>
    <w:rsid w:val="00B43640"/>
    <w:rsid w:val="00B43FC5"/>
    <w:rsid w:val="00B4599C"/>
    <w:rsid w:val="00B45BFB"/>
    <w:rsid w:val="00B45C3B"/>
    <w:rsid w:val="00B4689E"/>
    <w:rsid w:val="00B46C88"/>
    <w:rsid w:val="00B47267"/>
    <w:rsid w:val="00B47732"/>
    <w:rsid w:val="00B47A05"/>
    <w:rsid w:val="00B503D5"/>
    <w:rsid w:val="00B504C0"/>
    <w:rsid w:val="00B50A6E"/>
    <w:rsid w:val="00B5123B"/>
    <w:rsid w:val="00B51441"/>
    <w:rsid w:val="00B52E5C"/>
    <w:rsid w:val="00B53DB3"/>
    <w:rsid w:val="00B5416E"/>
    <w:rsid w:val="00B543ED"/>
    <w:rsid w:val="00B5533C"/>
    <w:rsid w:val="00B567A5"/>
    <w:rsid w:val="00B57530"/>
    <w:rsid w:val="00B61391"/>
    <w:rsid w:val="00B61402"/>
    <w:rsid w:val="00B6169D"/>
    <w:rsid w:val="00B62A99"/>
    <w:rsid w:val="00B6328F"/>
    <w:rsid w:val="00B6354A"/>
    <w:rsid w:val="00B63D4B"/>
    <w:rsid w:val="00B63DD3"/>
    <w:rsid w:val="00B64A73"/>
    <w:rsid w:val="00B653B9"/>
    <w:rsid w:val="00B65862"/>
    <w:rsid w:val="00B65C65"/>
    <w:rsid w:val="00B661F0"/>
    <w:rsid w:val="00B67BFF"/>
    <w:rsid w:val="00B70A16"/>
    <w:rsid w:val="00B70D50"/>
    <w:rsid w:val="00B711CB"/>
    <w:rsid w:val="00B73842"/>
    <w:rsid w:val="00B73A76"/>
    <w:rsid w:val="00B7498F"/>
    <w:rsid w:val="00B7525F"/>
    <w:rsid w:val="00B7565B"/>
    <w:rsid w:val="00B7619B"/>
    <w:rsid w:val="00B766CC"/>
    <w:rsid w:val="00B76BD3"/>
    <w:rsid w:val="00B76BD9"/>
    <w:rsid w:val="00B76C48"/>
    <w:rsid w:val="00B770AF"/>
    <w:rsid w:val="00B805D8"/>
    <w:rsid w:val="00B81589"/>
    <w:rsid w:val="00B81B9E"/>
    <w:rsid w:val="00B823B2"/>
    <w:rsid w:val="00B8253A"/>
    <w:rsid w:val="00B83001"/>
    <w:rsid w:val="00B831AD"/>
    <w:rsid w:val="00B83223"/>
    <w:rsid w:val="00B84415"/>
    <w:rsid w:val="00B8471E"/>
    <w:rsid w:val="00B858BD"/>
    <w:rsid w:val="00B85A0E"/>
    <w:rsid w:val="00B86773"/>
    <w:rsid w:val="00B878EB"/>
    <w:rsid w:val="00B901F6"/>
    <w:rsid w:val="00B90328"/>
    <w:rsid w:val="00B90468"/>
    <w:rsid w:val="00B90546"/>
    <w:rsid w:val="00B91528"/>
    <w:rsid w:val="00B915DA"/>
    <w:rsid w:val="00B918C9"/>
    <w:rsid w:val="00B91F6F"/>
    <w:rsid w:val="00B926CE"/>
    <w:rsid w:val="00B93C7A"/>
    <w:rsid w:val="00B93DD1"/>
    <w:rsid w:val="00B9407E"/>
    <w:rsid w:val="00B94468"/>
    <w:rsid w:val="00B94EA4"/>
    <w:rsid w:val="00B94EF1"/>
    <w:rsid w:val="00B9563F"/>
    <w:rsid w:val="00B95D51"/>
    <w:rsid w:val="00BA017F"/>
    <w:rsid w:val="00BA0D8D"/>
    <w:rsid w:val="00BA16D7"/>
    <w:rsid w:val="00BA24FB"/>
    <w:rsid w:val="00BA29F4"/>
    <w:rsid w:val="00BA3BC7"/>
    <w:rsid w:val="00BA3EF7"/>
    <w:rsid w:val="00BA435A"/>
    <w:rsid w:val="00BA599F"/>
    <w:rsid w:val="00BA5A07"/>
    <w:rsid w:val="00BA5E18"/>
    <w:rsid w:val="00BA7503"/>
    <w:rsid w:val="00BA7522"/>
    <w:rsid w:val="00BA7EF9"/>
    <w:rsid w:val="00BB05D7"/>
    <w:rsid w:val="00BB0F34"/>
    <w:rsid w:val="00BB14A1"/>
    <w:rsid w:val="00BB3A5B"/>
    <w:rsid w:val="00BB3AC8"/>
    <w:rsid w:val="00BB4E36"/>
    <w:rsid w:val="00BB54F1"/>
    <w:rsid w:val="00BB5612"/>
    <w:rsid w:val="00BB6564"/>
    <w:rsid w:val="00BB69BA"/>
    <w:rsid w:val="00BB6F1D"/>
    <w:rsid w:val="00BB7B6C"/>
    <w:rsid w:val="00BB7BE1"/>
    <w:rsid w:val="00BB7DA9"/>
    <w:rsid w:val="00BC042D"/>
    <w:rsid w:val="00BC0A91"/>
    <w:rsid w:val="00BC0D22"/>
    <w:rsid w:val="00BC1206"/>
    <w:rsid w:val="00BC1787"/>
    <w:rsid w:val="00BC17FB"/>
    <w:rsid w:val="00BC2169"/>
    <w:rsid w:val="00BC2F82"/>
    <w:rsid w:val="00BC3162"/>
    <w:rsid w:val="00BC46F5"/>
    <w:rsid w:val="00BC48C1"/>
    <w:rsid w:val="00BC5713"/>
    <w:rsid w:val="00BC5EA8"/>
    <w:rsid w:val="00BC6A80"/>
    <w:rsid w:val="00BC7AA0"/>
    <w:rsid w:val="00BC7B0D"/>
    <w:rsid w:val="00BD05DF"/>
    <w:rsid w:val="00BD08C1"/>
    <w:rsid w:val="00BD0E3A"/>
    <w:rsid w:val="00BD0F24"/>
    <w:rsid w:val="00BD1275"/>
    <w:rsid w:val="00BD1E04"/>
    <w:rsid w:val="00BD365E"/>
    <w:rsid w:val="00BD3C3C"/>
    <w:rsid w:val="00BD492D"/>
    <w:rsid w:val="00BD5392"/>
    <w:rsid w:val="00BD591D"/>
    <w:rsid w:val="00BD5BCA"/>
    <w:rsid w:val="00BD6956"/>
    <w:rsid w:val="00BD76C5"/>
    <w:rsid w:val="00BD79E0"/>
    <w:rsid w:val="00BD7BA6"/>
    <w:rsid w:val="00BE13FE"/>
    <w:rsid w:val="00BE1464"/>
    <w:rsid w:val="00BE182A"/>
    <w:rsid w:val="00BE183D"/>
    <w:rsid w:val="00BE18BE"/>
    <w:rsid w:val="00BE360E"/>
    <w:rsid w:val="00BE3D02"/>
    <w:rsid w:val="00BE3D29"/>
    <w:rsid w:val="00BE433F"/>
    <w:rsid w:val="00BE4820"/>
    <w:rsid w:val="00BE4FA7"/>
    <w:rsid w:val="00BE50DD"/>
    <w:rsid w:val="00BE55D4"/>
    <w:rsid w:val="00BE5BEA"/>
    <w:rsid w:val="00BE5FDE"/>
    <w:rsid w:val="00BE7098"/>
    <w:rsid w:val="00BE775F"/>
    <w:rsid w:val="00BF01EB"/>
    <w:rsid w:val="00BF0218"/>
    <w:rsid w:val="00BF044E"/>
    <w:rsid w:val="00BF0BDE"/>
    <w:rsid w:val="00BF1618"/>
    <w:rsid w:val="00BF2040"/>
    <w:rsid w:val="00BF2F4D"/>
    <w:rsid w:val="00BF3DDD"/>
    <w:rsid w:val="00BF50C5"/>
    <w:rsid w:val="00BF5316"/>
    <w:rsid w:val="00BF615B"/>
    <w:rsid w:val="00BF7A06"/>
    <w:rsid w:val="00BF7F8D"/>
    <w:rsid w:val="00C00487"/>
    <w:rsid w:val="00C01A68"/>
    <w:rsid w:val="00C01AC6"/>
    <w:rsid w:val="00C020A2"/>
    <w:rsid w:val="00C03E7E"/>
    <w:rsid w:val="00C04BD4"/>
    <w:rsid w:val="00C05B01"/>
    <w:rsid w:val="00C06C9A"/>
    <w:rsid w:val="00C104BE"/>
    <w:rsid w:val="00C109FF"/>
    <w:rsid w:val="00C10F66"/>
    <w:rsid w:val="00C1172D"/>
    <w:rsid w:val="00C119A6"/>
    <w:rsid w:val="00C11A6B"/>
    <w:rsid w:val="00C12894"/>
    <w:rsid w:val="00C12961"/>
    <w:rsid w:val="00C12ACE"/>
    <w:rsid w:val="00C13291"/>
    <w:rsid w:val="00C139D3"/>
    <w:rsid w:val="00C15A14"/>
    <w:rsid w:val="00C16707"/>
    <w:rsid w:val="00C171FD"/>
    <w:rsid w:val="00C20A67"/>
    <w:rsid w:val="00C21F02"/>
    <w:rsid w:val="00C22747"/>
    <w:rsid w:val="00C238A0"/>
    <w:rsid w:val="00C23928"/>
    <w:rsid w:val="00C250A6"/>
    <w:rsid w:val="00C26598"/>
    <w:rsid w:val="00C2671D"/>
    <w:rsid w:val="00C26F32"/>
    <w:rsid w:val="00C277BB"/>
    <w:rsid w:val="00C30B90"/>
    <w:rsid w:val="00C30FEC"/>
    <w:rsid w:val="00C31C8F"/>
    <w:rsid w:val="00C337E2"/>
    <w:rsid w:val="00C3428E"/>
    <w:rsid w:val="00C342A5"/>
    <w:rsid w:val="00C345A2"/>
    <w:rsid w:val="00C34AD1"/>
    <w:rsid w:val="00C34C9C"/>
    <w:rsid w:val="00C35C7B"/>
    <w:rsid w:val="00C35D42"/>
    <w:rsid w:val="00C36306"/>
    <w:rsid w:val="00C367DC"/>
    <w:rsid w:val="00C36A62"/>
    <w:rsid w:val="00C37223"/>
    <w:rsid w:val="00C37344"/>
    <w:rsid w:val="00C40FAC"/>
    <w:rsid w:val="00C41707"/>
    <w:rsid w:val="00C41B25"/>
    <w:rsid w:val="00C42020"/>
    <w:rsid w:val="00C4232F"/>
    <w:rsid w:val="00C42F2B"/>
    <w:rsid w:val="00C43744"/>
    <w:rsid w:val="00C438FE"/>
    <w:rsid w:val="00C43C2F"/>
    <w:rsid w:val="00C44164"/>
    <w:rsid w:val="00C444E4"/>
    <w:rsid w:val="00C452F5"/>
    <w:rsid w:val="00C45EDF"/>
    <w:rsid w:val="00C47D29"/>
    <w:rsid w:val="00C502BE"/>
    <w:rsid w:val="00C51CC6"/>
    <w:rsid w:val="00C51D0A"/>
    <w:rsid w:val="00C53A12"/>
    <w:rsid w:val="00C53F70"/>
    <w:rsid w:val="00C558E1"/>
    <w:rsid w:val="00C55FCD"/>
    <w:rsid w:val="00C56507"/>
    <w:rsid w:val="00C56B3D"/>
    <w:rsid w:val="00C56E8F"/>
    <w:rsid w:val="00C574D2"/>
    <w:rsid w:val="00C601AE"/>
    <w:rsid w:val="00C61C51"/>
    <w:rsid w:val="00C62135"/>
    <w:rsid w:val="00C62232"/>
    <w:rsid w:val="00C627CE"/>
    <w:rsid w:val="00C631E1"/>
    <w:rsid w:val="00C632C7"/>
    <w:rsid w:val="00C634AE"/>
    <w:rsid w:val="00C63EFE"/>
    <w:rsid w:val="00C63FA7"/>
    <w:rsid w:val="00C642DD"/>
    <w:rsid w:val="00C64DFF"/>
    <w:rsid w:val="00C64F9C"/>
    <w:rsid w:val="00C652B7"/>
    <w:rsid w:val="00C652E2"/>
    <w:rsid w:val="00C66646"/>
    <w:rsid w:val="00C67AF8"/>
    <w:rsid w:val="00C70134"/>
    <w:rsid w:val="00C7021E"/>
    <w:rsid w:val="00C7103C"/>
    <w:rsid w:val="00C72037"/>
    <w:rsid w:val="00C726AB"/>
    <w:rsid w:val="00C732AF"/>
    <w:rsid w:val="00C7442D"/>
    <w:rsid w:val="00C747E0"/>
    <w:rsid w:val="00C74F97"/>
    <w:rsid w:val="00C75BD1"/>
    <w:rsid w:val="00C75E3E"/>
    <w:rsid w:val="00C7667C"/>
    <w:rsid w:val="00C76702"/>
    <w:rsid w:val="00C76711"/>
    <w:rsid w:val="00C76ABB"/>
    <w:rsid w:val="00C775E2"/>
    <w:rsid w:val="00C80B18"/>
    <w:rsid w:val="00C80B23"/>
    <w:rsid w:val="00C816FC"/>
    <w:rsid w:val="00C81BCF"/>
    <w:rsid w:val="00C81BF4"/>
    <w:rsid w:val="00C81E87"/>
    <w:rsid w:val="00C82E24"/>
    <w:rsid w:val="00C83AE3"/>
    <w:rsid w:val="00C83E16"/>
    <w:rsid w:val="00C84255"/>
    <w:rsid w:val="00C842C6"/>
    <w:rsid w:val="00C84AA7"/>
    <w:rsid w:val="00C8562D"/>
    <w:rsid w:val="00C85C24"/>
    <w:rsid w:val="00C86515"/>
    <w:rsid w:val="00C8705A"/>
    <w:rsid w:val="00C87733"/>
    <w:rsid w:val="00C87891"/>
    <w:rsid w:val="00C87EDF"/>
    <w:rsid w:val="00C905D0"/>
    <w:rsid w:val="00C907E0"/>
    <w:rsid w:val="00C9157A"/>
    <w:rsid w:val="00C9258F"/>
    <w:rsid w:val="00C92802"/>
    <w:rsid w:val="00C9294B"/>
    <w:rsid w:val="00C93658"/>
    <w:rsid w:val="00C93CC0"/>
    <w:rsid w:val="00C93E59"/>
    <w:rsid w:val="00C955B2"/>
    <w:rsid w:val="00C95F71"/>
    <w:rsid w:val="00C9619C"/>
    <w:rsid w:val="00C96751"/>
    <w:rsid w:val="00C97DEB"/>
    <w:rsid w:val="00CA06EF"/>
    <w:rsid w:val="00CA1047"/>
    <w:rsid w:val="00CA1247"/>
    <w:rsid w:val="00CA3056"/>
    <w:rsid w:val="00CA3D81"/>
    <w:rsid w:val="00CA4A1F"/>
    <w:rsid w:val="00CA5043"/>
    <w:rsid w:val="00CA5697"/>
    <w:rsid w:val="00CA56C1"/>
    <w:rsid w:val="00CA5BE3"/>
    <w:rsid w:val="00CA68FD"/>
    <w:rsid w:val="00CA7ECD"/>
    <w:rsid w:val="00CB01DA"/>
    <w:rsid w:val="00CB0690"/>
    <w:rsid w:val="00CB06F4"/>
    <w:rsid w:val="00CB1281"/>
    <w:rsid w:val="00CB13B4"/>
    <w:rsid w:val="00CB16A3"/>
    <w:rsid w:val="00CB2277"/>
    <w:rsid w:val="00CB22B3"/>
    <w:rsid w:val="00CB2832"/>
    <w:rsid w:val="00CB2891"/>
    <w:rsid w:val="00CB2A4F"/>
    <w:rsid w:val="00CB36EB"/>
    <w:rsid w:val="00CB38E7"/>
    <w:rsid w:val="00CB3CA2"/>
    <w:rsid w:val="00CB41FB"/>
    <w:rsid w:val="00CB4363"/>
    <w:rsid w:val="00CB462C"/>
    <w:rsid w:val="00CB4E51"/>
    <w:rsid w:val="00CB627F"/>
    <w:rsid w:val="00CB66A2"/>
    <w:rsid w:val="00CB6FBB"/>
    <w:rsid w:val="00CB7119"/>
    <w:rsid w:val="00CB7166"/>
    <w:rsid w:val="00CB7CD9"/>
    <w:rsid w:val="00CC01D6"/>
    <w:rsid w:val="00CC0B97"/>
    <w:rsid w:val="00CC175E"/>
    <w:rsid w:val="00CC1C95"/>
    <w:rsid w:val="00CC265C"/>
    <w:rsid w:val="00CC528E"/>
    <w:rsid w:val="00CC66C4"/>
    <w:rsid w:val="00CC6D6E"/>
    <w:rsid w:val="00CC7A1D"/>
    <w:rsid w:val="00CD0BDB"/>
    <w:rsid w:val="00CD12C6"/>
    <w:rsid w:val="00CD13AA"/>
    <w:rsid w:val="00CD156A"/>
    <w:rsid w:val="00CD2537"/>
    <w:rsid w:val="00CD3332"/>
    <w:rsid w:val="00CD33A2"/>
    <w:rsid w:val="00CD33FE"/>
    <w:rsid w:val="00CD3754"/>
    <w:rsid w:val="00CD3B01"/>
    <w:rsid w:val="00CD3B10"/>
    <w:rsid w:val="00CD4098"/>
    <w:rsid w:val="00CD4157"/>
    <w:rsid w:val="00CD4302"/>
    <w:rsid w:val="00CD4438"/>
    <w:rsid w:val="00CD57D1"/>
    <w:rsid w:val="00CD5875"/>
    <w:rsid w:val="00CD5F40"/>
    <w:rsid w:val="00CD654D"/>
    <w:rsid w:val="00CD708E"/>
    <w:rsid w:val="00CD73A2"/>
    <w:rsid w:val="00CD73EB"/>
    <w:rsid w:val="00CD769C"/>
    <w:rsid w:val="00CD793D"/>
    <w:rsid w:val="00CE07AE"/>
    <w:rsid w:val="00CE116E"/>
    <w:rsid w:val="00CE15F4"/>
    <w:rsid w:val="00CE16B1"/>
    <w:rsid w:val="00CE20DD"/>
    <w:rsid w:val="00CE2569"/>
    <w:rsid w:val="00CE2C10"/>
    <w:rsid w:val="00CE3401"/>
    <w:rsid w:val="00CE3566"/>
    <w:rsid w:val="00CE391C"/>
    <w:rsid w:val="00CE427F"/>
    <w:rsid w:val="00CE4DA4"/>
    <w:rsid w:val="00CE5293"/>
    <w:rsid w:val="00CE5303"/>
    <w:rsid w:val="00CE6C76"/>
    <w:rsid w:val="00CE716F"/>
    <w:rsid w:val="00CE7B6A"/>
    <w:rsid w:val="00CF029E"/>
    <w:rsid w:val="00CF093F"/>
    <w:rsid w:val="00CF0D54"/>
    <w:rsid w:val="00CF0F12"/>
    <w:rsid w:val="00CF3345"/>
    <w:rsid w:val="00CF3518"/>
    <w:rsid w:val="00CF353E"/>
    <w:rsid w:val="00CF39CB"/>
    <w:rsid w:val="00CF40C9"/>
    <w:rsid w:val="00CF4728"/>
    <w:rsid w:val="00CF4A5D"/>
    <w:rsid w:val="00CF540F"/>
    <w:rsid w:val="00CF61D4"/>
    <w:rsid w:val="00CF715A"/>
    <w:rsid w:val="00D00565"/>
    <w:rsid w:val="00D01235"/>
    <w:rsid w:val="00D01412"/>
    <w:rsid w:val="00D018AF"/>
    <w:rsid w:val="00D019DE"/>
    <w:rsid w:val="00D03B5C"/>
    <w:rsid w:val="00D04153"/>
    <w:rsid w:val="00D04691"/>
    <w:rsid w:val="00D04F4B"/>
    <w:rsid w:val="00D050E4"/>
    <w:rsid w:val="00D071ED"/>
    <w:rsid w:val="00D07CC9"/>
    <w:rsid w:val="00D07D7A"/>
    <w:rsid w:val="00D1258C"/>
    <w:rsid w:val="00D12A1A"/>
    <w:rsid w:val="00D1303F"/>
    <w:rsid w:val="00D130A0"/>
    <w:rsid w:val="00D13DFD"/>
    <w:rsid w:val="00D144C7"/>
    <w:rsid w:val="00D145EA"/>
    <w:rsid w:val="00D150A4"/>
    <w:rsid w:val="00D1547E"/>
    <w:rsid w:val="00D15514"/>
    <w:rsid w:val="00D15F21"/>
    <w:rsid w:val="00D162B6"/>
    <w:rsid w:val="00D164C1"/>
    <w:rsid w:val="00D16585"/>
    <w:rsid w:val="00D16856"/>
    <w:rsid w:val="00D16DF7"/>
    <w:rsid w:val="00D172F6"/>
    <w:rsid w:val="00D20CD0"/>
    <w:rsid w:val="00D22FD4"/>
    <w:rsid w:val="00D23609"/>
    <w:rsid w:val="00D24622"/>
    <w:rsid w:val="00D3011B"/>
    <w:rsid w:val="00D30206"/>
    <w:rsid w:val="00D3047E"/>
    <w:rsid w:val="00D30D61"/>
    <w:rsid w:val="00D30D8D"/>
    <w:rsid w:val="00D32347"/>
    <w:rsid w:val="00D32629"/>
    <w:rsid w:val="00D32D7C"/>
    <w:rsid w:val="00D352CB"/>
    <w:rsid w:val="00D35BD6"/>
    <w:rsid w:val="00D363D6"/>
    <w:rsid w:val="00D40C25"/>
    <w:rsid w:val="00D41D12"/>
    <w:rsid w:val="00D43F77"/>
    <w:rsid w:val="00D4412A"/>
    <w:rsid w:val="00D45240"/>
    <w:rsid w:val="00D459DF"/>
    <w:rsid w:val="00D466D7"/>
    <w:rsid w:val="00D47106"/>
    <w:rsid w:val="00D4783F"/>
    <w:rsid w:val="00D502D8"/>
    <w:rsid w:val="00D529EE"/>
    <w:rsid w:val="00D53696"/>
    <w:rsid w:val="00D53C0D"/>
    <w:rsid w:val="00D54877"/>
    <w:rsid w:val="00D55E04"/>
    <w:rsid w:val="00D57356"/>
    <w:rsid w:val="00D57D4E"/>
    <w:rsid w:val="00D60806"/>
    <w:rsid w:val="00D610A0"/>
    <w:rsid w:val="00D610CC"/>
    <w:rsid w:val="00D6141D"/>
    <w:rsid w:val="00D61606"/>
    <w:rsid w:val="00D618DA"/>
    <w:rsid w:val="00D61F64"/>
    <w:rsid w:val="00D62F27"/>
    <w:rsid w:val="00D637A7"/>
    <w:rsid w:val="00D63D49"/>
    <w:rsid w:val="00D63F4E"/>
    <w:rsid w:val="00D66551"/>
    <w:rsid w:val="00D669DE"/>
    <w:rsid w:val="00D67518"/>
    <w:rsid w:val="00D676B7"/>
    <w:rsid w:val="00D731B0"/>
    <w:rsid w:val="00D7329C"/>
    <w:rsid w:val="00D73A1F"/>
    <w:rsid w:val="00D743FD"/>
    <w:rsid w:val="00D74509"/>
    <w:rsid w:val="00D74CF1"/>
    <w:rsid w:val="00D75136"/>
    <w:rsid w:val="00D75E87"/>
    <w:rsid w:val="00D760FE"/>
    <w:rsid w:val="00D761F6"/>
    <w:rsid w:val="00D76695"/>
    <w:rsid w:val="00D76AFB"/>
    <w:rsid w:val="00D77F35"/>
    <w:rsid w:val="00D81640"/>
    <w:rsid w:val="00D830B3"/>
    <w:rsid w:val="00D83EFF"/>
    <w:rsid w:val="00D85831"/>
    <w:rsid w:val="00D85975"/>
    <w:rsid w:val="00D864A3"/>
    <w:rsid w:val="00D86CC3"/>
    <w:rsid w:val="00D86D4B"/>
    <w:rsid w:val="00D86F98"/>
    <w:rsid w:val="00D87022"/>
    <w:rsid w:val="00D8747D"/>
    <w:rsid w:val="00D87646"/>
    <w:rsid w:val="00D87833"/>
    <w:rsid w:val="00D90192"/>
    <w:rsid w:val="00D90418"/>
    <w:rsid w:val="00D90491"/>
    <w:rsid w:val="00D91591"/>
    <w:rsid w:val="00D91C44"/>
    <w:rsid w:val="00D92364"/>
    <w:rsid w:val="00D92F40"/>
    <w:rsid w:val="00D932CC"/>
    <w:rsid w:val="00D94951"/>
    <w:rsid w:val="00D9506D"/>
    <w:rsid w:val="00D95B31"/>
    <w:rsid w:val="00D96513"/>
    <w:rsid w:val="00D96764"/>
    <w:rsid w:val="00D97B03"/>
    <w:rsid w:val="00DA069D"/>
    <w:rsid w:val="00DA2AD9"/>
    <w:rsid w:val="00DA2C48"/>
    <w:rsid w:val="00DA2DE8"/>
    <w:rsid w:val="00DA2F2A"/>
    <w:rsid w:val="00DA3474"/>
    <w:rsid w:val="00DA4918"/>
    <w:rsid w:val="00DA54CE"/>
    <w:rsid w:val="00DA5868"/>
    <w:rsid w:val="00DA5D2A"/>
    <w:rsid w:val="00DA6D71"/>
    <w:rsid w:val="00DA6FC1"/>
    <w:rsid w:val="00DA772C"/>
    <w:rsid w:val="00DA7DE9"/>
    <w:rsid w:val="00DB013B"/>
    <w:rsid w:val="00DB023C"/>
    <w:rsid w:val="00DB1552"/>
    <w:rsid w:val="00DB1FF0"/>
    <w:rsid w:val="00DB274D"/>
    <w:rsid w:val="00DB3597"/>
    <w:rsid w:val="00DB3C67"/>
    <w:rsid w:val="00DB5108"/>
    <w:rsid w:val="00DB5F49"/>
    <w:rsid w:val="00DB677B"/>
    <w:rsid w:val="00DC0C12"/>
    <w:rsid w:val="00DC1F17"/>
    <w:rsid w:val="00DC448D"/>
    <w:rsid w:val="00DC5084"/>
    <w:rsid w:val="00DC5465"/>
    <w:rsid w:val="00DC614C"/>
    <w:rsid w:val="00DC6D92"/>
    <w:rsid w:val="00DC71A5"/>
    <w:rsid w:val="00DD0800"/>
    <w:rsid w:val="00DD0EE3"/>
    <w:rsid w:val="00DD1542"/>
    <w:rsid w:val="00DD1C69"/>
    <w:rsid w:val="00DD2ABA"/>
    <w:rsid w:val="00DD3209"/>
    <w:rsid w:val="00DD3526"/>
    <w:rsid w:val="00DD4AED"/>
    <w:rsid w:val="00DD5740"/>
    <w:rsid w:val="00DD68C9"/>
    <w:rsid w:val="00DD6D8B"/>
    <w:rsid w:val="00DD7388"/>
    <w:rsid w:val="00DD7CB9"/>
    <w:rsid w:val="00DE03FE"/>
    <w:rsid w:val="00DE0ED7"/>
    <w:rsid w:val="00DE1FAA"/>
    <w:rsid w:val="00DE2072"/>
    <w:rsid w:val="00DE3436"/>
    <w:rsid w:val="00DE48B0"/>
    <w:rsid w:val="00DE4C53"/>
    <w:rsid w:val="00DE4DF4"/>
    <w:rsid w:val="00DE4E26"/>
    <w:rsid w:val="00DE6C48"/>
    <w:rsid w:val="00DE794A"/>
    <w:rsid w:val="00DF097B"/>
    <w:rsid w:val="00DF1DCB"/>
    <w:rsid w:val="00DF1E0E"/>
    <w:rsid w:val="00DF27C5"/>
    <w:rsid w:val="00DF32BE"/>
    <w:rsid w:val="00DF4E44"/>
    <w:rsid w:val="00DF64AB"/>
    <w:rsid w:val="00E01D44"/>
    <w:rsid w:val="00E041F8"/>
    <w:rsid w:val="00E04AA0"/>
    <w:rsid w:val="00E055A6"/>
    <w:rsid w:val="00E05B81"/>
    <w:rsid w:val="00E0657D"/>
    <w:rsid w:val="00E06DC1"/>
    <w:rsid w:val="00E06FD5"/>
    <w:rsid w:val="00E079B1"/>
    <w:rsid w:val="00E07E20"/>
    <w:rsid w:val="00E07E97"/>
    <w:rsid w:val="00E1140A"/>
    <w:rsid w:val="00E114D7"/>
    <w:rsid w:val="00E11FF1"/>
    <w:rsid w:val="00E12CDB"/>
    <w:rsid w:val="00E138E1"/>
    <w:rsid w:val="00E13D80"/>
    <w:rsid w:val="00E1420A"/>
    <w:rsid w:val="00E15345"/>
    <w:rsid w:val="00E159C6"/>
    <w:rsid w:val="00E15A67"/>
    <w:rsid w:val="00E169AA"/>
    <w:rsid w:val="00E172C3"/>
    <w:rsid w:val="00E17AA4"/>
    <w:rsid w:val="00E17BB8"/>
    <w:rsid w:val="00E22BED"/>
    <w:rsid w:val="00E22D40"/>
    <w:rsid w:val="00E23C6F"/>
    <w:rsid w:val="00E24766"/>
    <w:rsid w:val="00E24E4A"/>
    <w:rsid w:val="00E25327"/>
    <w:rsid w:val="00E25917"/>
    <w:rsid w:val="00E26596"/>
    <w:rsid w:val="00E266A5"/>
    <w:rsid w:val="00E279C0"/>
    <w:rsid w:val="00E27FD3"/>
    <w:rsid w:val="00E31715"/>
    <w:rsid w:val="00E3340D"/>
    <w:rsid w:val="00E33999"/>
    <w:rsid w:val="00E33B39"/>
    <w:rsid w:val="00E340DB"/>
    <w:rsid w:val="00E343A6"/>
    <w:rsid w:val="00E35514"/>
    <w:rsid w:val="00E359F1"/>
    <w:rsid w:val="00E35CD0"/>
    <w:rsid w:val="00E3658D"/>
    <w:rsid w:val="00E3664C"/>
    <w:rsid w:val="00E3695F"/>
    <w:rsid w:val="00E407D1"/>
    <w:rsid w:val="00E409C9"/>
    <w:rsid w:val="00E40CC7"/>
    <w:rsid w:val="00E42F0A"/>
    <w:rsid w:val="00E43507"/>
    <w:rsid w:val="00E4414E"/>
    <w:rsid w:val="00E44B11"/>
    <w:rsid w:val="00E44B81"/>
    <w:rsid w:val="00E458B4"/>
    <w:rsid w:val="00E46FFA"/>
    <w:rsid w:val="00E47F0F"/>
    <w:rsid w:val="00E5024A"/>
    <w:rsid w:val="00E50AC0"/>
    <w:rsid w:val="00E51846"/>
    <w:rsid w:val="00E51F5A"/>
    <w:rsid w:val="00E52609"/>
    <w:rsid w:val="00E53427"/>
    <w:rsid w:val="00E53F26"/>
    <w:rsid w:val="00E54AB8"/>
    <w:rsid w:val="00E55B0A"/>
    <w:rsid w:val="00E55CA5"/>
    <w:rsid w:val="00E56D04"/>
    <w:rsid w:val="00E5709D"/>
    <w:rsid w:val="00E5789A"/>
    <w:rsid w:val="00E6016F"/>
    <w:rsid w:val="00E6022E"/>
    <w:rsid w:val="00E6043A"/>
    <w:rsid w:val="00E62021"/>
    <w:rsid w:val="00E628AA"/>
    <w:rsid w:val="00E629D4"/>
    <w:rsid w:val="00E62B2C"/>
    <w:rsid w:val="00E63909"/>
    <w:rsid w:val="00E63A2C"/>
    <w:rsid w:val="00E64B03"/>
    <w:rsid w:val="00E64BAE"/>
    <w:rsid w:val="00E65375"/>
    <w:rsid w:val="00E6602B"/>
    <w:rsid w:val="00E660DE"/>
    <w:rsid w:val="00E66404"/>
    <w:rsid w:val="00E669F1"/>
    <w:rsid w:val="00E66D49"/>
    <w:rsid w:val="00E675E7"/>
    <w:rsid w:val="00E67AB2"/>
    <w:rsid w:val="00E67C43"/>
    <w:rsid w:val="00E700DA"/>
    <w:rsid w:val="00E700F4"/>
    <w:rsid w:val="00E7158A"/>
    <w:rsid w:val="00E72ABF"/>
    <w:rsid w:val="00E7357D"/>
    <w:rsid w:val="00E736C5"/>
    <w:rsid w:val="00E74E9B"/>
    <w:rsid w:val="00E756AB"/>
    <w:rsid w:val="00E756ED"/>
    <w:rsid w:val="00E760D9"/>
    <w:rsid w:val="00E76A06"/>
    <w:rsid w:val="00E76F09"/>
    <w:rsid w:val="00E77332"/>
    <w:rsid w:val="00E81373"/>
    <w:rsid w:val="00E81525"/>
    <w:rsid w:val="00E81FCF"/>
    <w:rsid w:val="00E82338"/>
    <w:rsid w:val="00E828E2"/>
    <w:rsid w:val="00E83016"/>
    <w:rsid w:val="00E830FA"/>
    <w:rsid w:val="00E837AC"/>
    <w:rsid w:val="00E83D2A"/>
    <w:rsid w:val="00E847A5"/>
    <w:rsid w:val="00E849CB"/>
    <w:rsid w:val="00E84CA6"/>
    <w:rsid w:val="00E85AAF"/>
    <w:rsid w:val="00E86212"/>
    <w:rsid w:val="00E8632B"/>
    <w:rsid w:val="00E91DFA"/>
    <w:rsid w:val="00E91FB0"/>
    <w:rsid w:val="00E92CDF"/>
    <w:rsid w:val="00E930F6"/>
    <w:rsid w:val="00E94524"/>
    <w:rsid w:val="00E94AB8"/>
    <w:rsid w:val="00E94D09"/>
    <w:rsid w:val="00E94F25"/>
    <w:rsid w:val="00E95425"/>
    <w:rsid w:val="00E9672F"/>
    <w:rsid w:val="00E96FCB"/>
    <w:rsid w:val="00E9739A"/>
    <w:rsid w:val="00E973AB"/>
    <w:rsid w:val="00E97D50"/>
    <w:rsid w:val="00E97EA8"/>
    <w:rsid w:val="00EA2DA9"/>
    <w:rsid w:val="00EA2DFC"/>
    <w:rsid w:val="00EA2E14"/>
    <w:rsid w:val="00EA2F5D"/>
    <w:rsid w:val="00EA2FF0"/>
    <w:rsid w:val="00EA3919"/>
    <w:rsid w:val="00EA3F14"/>
    <w:rsid w:val="00EA3FEA"/>
    <w:rsid w:val="00EA4373"/>
    <w:rsid w:val="00EA4A6C"/>
    <w:rsid w:val="00EA56DA"/>
    <w:rsid w:val="00EA5A8E"/>
    <w:rsid w:val="00EA680C"/>
    <w:rsid w:val="00EA727E"/>
    <w:rsid w:val="00EA78DC"/>
    <w:rsid w:val="00EB0C96"/>
    <w:rsid w:val="00EB197F"/>
    <w:rsid w:val="00EB21C5"/>
    <w:rsid w:val="00EB2725"/>
    <w:rsid w:val="00EB2927"/>
    <w:rsid w:val="00EB2B8B"/>
    <w:rsid w:val="00EB2E3B"/>
    <w:rsid w:val="00EB2F6C"/>
    <w:rsid w:val="00EB3890"/>
    <w:rsid w:val="00EB4965"/>
    <w:rsid w:val="00EB5545"/>
    <w:rsid w:val="00EB5A76"/>
    <w:rsid w:val="00EB5C8A"/>
    <w:rsid w:val="00EB646E"/>
    <w:rsid w:val="00EB6A7F"/>
    <w:rsid w:val="00EB6C23"/>
    <w:rsid w:val="00EB6CF6"/>
    <w:rsid w:val="00EB6E46"/>
    <w:rsid w:val="00EC09C1"/>
    <w:rsid w:val="00EC1E23"/>
    <w:rsid w:val="00EC222F"/>
    <w:rsid w:val="00EC2A39"/>
    <w:rsid w:val="00EC2C92"/>
    <w:rsid w:val="00EC3F0D"/>
    <w:rsid w:val="00EC435F"/>
    <w:rsid w:val="00EC4DE1"/>
    <w:rsid w:val="00EC59DD"/>
    <w:rsid w:val="00EC6136"/>
    <w:rsid w:val="00EC6698"/>
    <w:rsid w:val="00EC66E5"/>
    <w:rsid w:val="00EC687E"/>
    <w:rsid w:val="00EC6A98"/>
    <w:rsid w:val="00EC6AE3"/>
    <w:rsid w:val="00EC7EEF"/>
    <w:rsid w:val="00ED0ABC"/>
    <w:rsid w:val="00ED1733"/>
    <w:rsid w:val="00ED24D4"/>
    <w:rsid w:val="00ED2DA7"/>
    <w:rsid w:val="00ED2F83"/>
    <w:rsid w:val="00ED3AE4"/>
    <w:rsid w:val="00ED4052"/>
    <w:rsid w:val="00ED4087"/>
    <w:rsid w:val="00ED508F"/>
    <w:rsid w:val="00ED63D5"/>
    <w:rsid w:val="00ED6885"/>
    <w:rsid w:val="00ED70A4"/>
    <w:rsid w:val="00ED70DE"/>
    <w:rsid w:val="00ED7C4B"/>
    <w:rsid w:val="00EE02B4"/>
    <w:rsid w:val="00EE042F"/>
    <w:rsid w:val="00EE0453"/>
    <w:rsid w:val="00EE0E13"/>
    <w:rsid w:val="00EE1014"/>
    <w:rsid w:val="00EE10A1"/>
    <w:rsid w:val="00EE139D"/>
    <w:rsid w:val="00EE1F59"/>
    <w:rsid w:val="00EE2716"/>
    <w:rsid w:val="00EE359B"/>
    <w:rsid w:val="00EE3694"/>
    <w:rsid w:val="00EE38C0"/>
    <w:rsid w:val="00EE3CBF"/>
    <w:rsid w:val="00EE414C"/>
    <w:rsid w:val="00EE4965"/>
    <w:rsid w:val="00EE4A65"/>
    <w:rsid w:val="00EE4D80"/>
    <w:rsid w:val="00EE5625"/>
    <w:rsid w:val="00EE5D73"/>
    <w:rsid w:val="00EE6D0B"/>
    <w:rsid w:val="00EE6F35"/>
    <w:rsid w:val="00EE72A4"/>
    <w:rsid w:val="00EE7422"/>
    <w:rsid w:val="00EE75BD"/>
    <w:rsid w:val="00EE77B8"/>
    <w:rsid w:val="00EE7948"/>
    <w:rsid w:val="00EE7B69"/>
    <w:rsid w:val="00EE7E46"/>
    <w:rsid w:val="00EF0A56"/>
    <w:rsid w:val="00EF0A6A"/>
    <w:rsid w:val="00EF0ECD"/>
    <w:rsid w:val="00EF1F14"/>
    <w:rsid w:val="00EF2FD7"/>
    <w:rsid w:val="00EF33E5"/>
    <w:rsid w:val="00EF37E8"/>
    <w:rsid w:val="00EF3837"/>
    <w:rsid w:val="00EF5090"/>
    <w:rsid w:val="00EF5B9D"/>
    <w:rsid w:val="00EF5D46"/>
    <w:rsid w:val="00EF62FD"/>
    <w:rsid w:val="00EF6430"/>
    <w:rsid w:val="00EF68E6"/>
    <w:rsid w:val="00EF7045"/>
    <w:rsid w:val="00EF7086"/>
    <w:rsid w:val="00EF798F"/>
    <w:rsid w:val="00F00FD5"/>
    <w:rsid w:val="00F023F5"/>
    <w:rsid w:val="00F026DA"/>
    <w:rsid w:val="00F02C4A"/>
    <w:rsid w:val="00F04DDE"/>
    <w:rsid w:val="00F04F2D"/>
    <w:rsid w:val="00F0526E"/>
    <w:rsid w:val="00F064E6"/>
    <w:rsid w:val="00F077E4"/>
    <w:rsid w:val="00F07D54"/>
    <w:rsid w:val="00F1130B"/>
    <w:rsid w:val="00F130AC"/>
    <w:rsid w:val="00F1350C"/>
    <w:rsid w:val="00F13663"/>
    <w:rsid w:val="00F13CCE"/>
    <w:rsid w:val="00F13EE6"/>
    <w:rsid w:val="00F14453"/>
    <w:rsid w:val="00F14914"/>
    <w:rsid w:val="00F14E26"/>
    <w:rsid w:val="00F14E68"/>
    <w:rsid w:val="00F15809"/>
    <w:rsid w:val="00F15AA5"/>
    <w:rsid w:val="00F16044"/>
    <w:rsid w:val="00F16E51"/>
    <w:rsid w:val="00F201E2"/>
    <w:rsid w:val="00F202EF"/>
    <w:rsid w:val="00F20323"/>
    <w:rsid w:val="00F217A9"/>
    <w:rsid w:val="00F224A2"/>
    <w:rsid w:val="00F23B10"/>
    <w:rsid w:val="00F23BE5"/>
    <w:rsid w:val="00F23C71"/>
    <w:rsid w:val="00F23D8E"/>
    <w:rsid w:val="00F2402A"/>
    <w:rsid w:val="00F24AFE"/>
    <w:rsid w:val="00F24D4D"/>
    <w:rsid w:val="00F25986"/>
    <w:rsid w:val="00F2691E"/>
    <w:rsid w:val="00F26BDE"/>
    <w:rsid w:val="00F277DC"/>
    <w:rsid w:val="00F27BE1"/>
    <w:rsid w:val="00F301A2"/>
    <w:rsid w:val="00F31527"/>
    <w:rsid w:val="00F31D54"/>
    <w:rsid w:val="00F31EED"/>
    <w:rsid w:val="00F32688"/>
    <w:rsid w:val="00F32E01"/>
    <w:rsid w:val="00F33091"/>
    <w:rsid w:val="00F352C9"/>
    <w:rsid w:val="00F35EB0"/>
    <w:rsid w:val="00F35F75"/>
    <w:rsid w:val="00F36585"/>
    <w:rsid w:val="00F366D2"/>
    <w:rsid w:val="00F367AE"/>
    <w:rsid w:val="00F36B87"/>
    <w:rsid w:val="00F404E8"/>
    <w:rsid w:val="00F4052B"/>
    <w:rsid w:val="00F4069E"/>
    <w:rsid w:val="00F40A53"/>
    <w:rsid w:val="00F41762"/>
    <w:rsid w:val="00F418F3"/>
    <w:rsid w:val="00F4192B"/>
    <w:rsid w:val="00F41AF4"/>
    <w:rsid w:val="00F42B3F"/>
    <w:rsid w:val="00F42E1D"/>
    <w:rsid w:val="00F4303F"/>
    <w:rsid w:val="00F44EB3"/>
    <w:rsid w:val="00F44FDC"/>
    <w:rsid w:val="00F45EC1"/>
    <w:rsid w:val="00F460B0"/>
    <w:rsid w:val="00F460D6"/>
    <w:rsid w:val="00F46182"/>
    <w:rsid w:val="00F500CE"/>
    <w:rsid w:val="00F50CE5"/>
    <w:rsid w:val="00F50F4E"/>
    <w:rsid w:val="00F52029"/>
    <w:rsid w:val="00F52E48"/>
    <w:rsid w:val="00F53691"/>
    <w:rsid w:val="00F536E0"/>
    <w:rsid w:val="00F545DA"/>
    <w:rsid w:val="00F54A7D"/>
    <w:rsid w:val="00F54E6B"/>
    <w:rsid w:val="00F54ECF"/>
    <w:rsid w:val="00F5624C"/>
    <w:rsid w:val="00F568FA"/>
    <w:rsid w:val="00F57F61"/>
    <w:rsid w:val="00F60653"/>
    <w:rsid w:val="00F60A7E"/>
    <w:rsid w:val="00F60DB8"/>
    <w:rsid w:val="00F61751"/>
    <w:rsid w:val="00F62AC1"/>
    <w:rsid w:val="00F63930"/>
    <w:rsid w:val="00F63C38"/>
    <w:rsid w:val="00F63F43"/>
    <w:rsid w:val="00F64BEC"/>
    <w:rsid w:val="00F64E02"/>
    <w:rsid w:val="00F65206"/>
    <w:rsid w:val="00F65F33"/>
    <w:rsid w:val="00F662BA"/>
    <w:rsid w:val="00F6645C"/>
    <w:rsid w:val="00F67195"/>
    <w:rsid w:val="00F70012"/>
    <w:rsid w:val="00F70155"/>
    <w:rsid w:val="00F711AD"/>
    <w:rsid w:val="00F71740"/>
    <w:rsid w:val="00F735E2"/>
    <w:rsid w:val="00F74563"/>
    <w:rsid w:val="00F7484D"/>
    <w:rsid w:val="00F75427"/>
    <w:rsid w:val="00F757DB"/>
    <w:rsid w:val="00F75D5D"/>
    <w:rsid w:val="00F75F79"/>
    <w:rsid w:val="00F76ADC"/>
    <w:rsid w:val="00F77021"/>
    <w:rsid w:val="00F77212"/>
    <w:rsid w:val="00F77AB8"/>
    <w:rsid w:val="00F8045F"/>
    <w:rsid w:val="00F804D4"/>
    <w:rsid w:val="00F809A4"/>
    <w:rsid w:val="00F80EB0"/>
    <w:rsid w:val="00F814A5"/>
    <w:rsid w:val="00F82645"/>
    <w:rsid w:val="00F82853"/>
    <w:rsid w:val="00F8289C"/>
    <w:rsid w:val="00F82E00"/>
    <w:rsid w:val="00F836DC"/>
    <w:rsid w:val="00F843D8"/>
    <w:rsid w:val="00F845EC"/>
    <w:rsid w:val="00F858B2"/>
    <w:rsid w:val="00F871A5"/>
    <w:rsid w:val="00F875CB"/>
    <w:rsid w:val="00F876A3"/>
    <w:rsid w:val="00F877DC"/>
    <w:rsid w:val="00F905BB"/>
    <w:rsid w:val="00F9171A"/>
    <w:rsid w:val="00F91A1E"/>
    <w:rsid w:val="00F91B64"/>
    <w:rsid w:val="00F92690"/>
    <w:rsid w:val="00F927C0"/>
    <w:rsid w:val="00F93EDB"/>
    <w:rsid w:val="00F94DC0"/>
    <w:rsid w:val="00F96063"/>
    <w:rsid w:val="00F9737D"/>
    <w:rsid w:val="00F97A08"/>
    <w:rsid w:val="00F97F89"/>
    <w:rsid w:val="00FA01B1"/>
    <w:rsid w:val="00FA2F5A"/>
    <w:rsid w:val="00FA2F9B"/>
    <w:rsid w:val="00FA3000"/>
    <w:rsid w:val="00FA3692"/>
    <w:rsid w:val="00FA4435"/>
    <w:rsid w:val="00FA63CD"/>
    <w:rsid w:val="00FA66BF"/>
    <w:rsid w:val="00FA6A23"/>
    <w:rsid w:val="00FA6F45"/>
    <w:rsid w:val="00FA72FC"/>
    <w:rsid w:val="00FB074B"/>
    <w:rsid w:val="00FB0FB0"/>
    <w:rsid w:val="00FB1B66"/>
    <w:rsid w:val="00FB1EE2"/>
    <w:rsid w:val="00FB24EA"/>
    <w:rsid w:val="00FB3F53"/>
    <w:rsid w:val="00FB4144"/>
    <w:rsid w:val="00FB432D"/>
    <w:rsid w:val="00FB4423"/>
    <w:rsid w:val="00FB4447"/>
    <w:rsid w:val="00FB57BE"/>
    <w:rsid w:val="00FB705D"/>
    <w:rsid w:val="00FB76FF"/>
    <w:rsid w:val="00FB7FF2"/>
    <w:rsid w:val="00FC0FE3"/>
    <w:rsid w:val="00FC1466"/>
    <w:rsid w:val="00FC265B"/>
    <w:rsid w:val="00FC2CDC"/>
    <w:rsid w:val="00FC2DED"/>
    <w:rsid w:val="00FC3028"/>
    <w:rsid w:val="00FC318B"/>
    <w:rsid w:val="00FC321D"/>
    <w:rsid w:val="00FC3826"/>
    <w:rsid w:val="00FC3A4D"/>
    <w:rsid w:val="00FC4752"/>
    <w:rsid w:val="00FC48C7"/>
    <w:rsid w:val="00FC5A2B"/>
    <w:rsid w:val="00FC5A51"/>
    <w:rsid w:val="00FC5D67"/>
    <w:rsid w:val="00FC6086"/>
    <w:rsid w:val="00FC6469"/>
    <w:rsid w:val="00FC7467"/>
    <w:rsid w:val="00FC76E5"/>
    <w:rsid w:val="00FC7E86"/>
    <w:rsid w:val="00FD1F26"/>
    <w:rsid w:val="00FD1FBB"/>
    <w:rsid w:val="00FD2117"/>
    <w:rsid w:val="00FD25BA"/>
    <w:rsid w:val="00FD2F19"/>
    <w:rsid w:val="00FD3042"/>
    <w:rsid w:val="00FD315C"/>
    <w:rsid w:val="00FD44D6"/>
    <w:rsid w:val="00FD45A7"/>
    <w:rsid w:val="00FD4C85"/>
    <w:rsid w:val="00FD5931"/>
    <w:rsid w:val="00FD5D0B"/>
    <w:rsid w:val="00FD5E6A"/>
    <w:rsid w:val="00FD5FB3"/>
    <w:rsid w:val="00FD6B05"/>
    <w:rsid w:val="00FD7A63"/>
    <w:rsid w:val="00FE0310"/>
    <w:rsid w:val="00FE0313"/>
    <w:rsid w:val="00FE0480"/>
    <w:rsid w:val="00FE099E"/>
    <w:rsid w:val="00FE2545"/>
    <w:rsid w:val="00FE255C"/>
    <w:rsid w:val="00FE2628"/>
    <w:rsid w:val="00FE2873"/>
    <w:rsid w:val="00FE2AE6"/>
    <w:rsid w:val="00FE2CC5"/>
    <w:rsid w:val="00FE367E"/>
    <w:rsid w:val="00FE3E05"/>
    <w:rsid w:val="00FE442F"/>
    <w:rsid w:val="00FE4669"/>
    <w:rsid w:val="00FE48AD"/>
    <w:rsid w:val="00FE48B5"/>
    <w:rsid w:val="00FE4945"/>
    <w:rsid w:val="00FE4B59"/>
    <w:rsid w:val="00FE4CCD"/>
    <w:rsid w:val="00FE5548"/>
    <w:rsid w:val="00FE5967"/>
    <w:rsid w:val="00FF18D8"/>
    <w:rsid w:val="00FF18FC"/>
    <w:rsid w:val="00FF251A"/>
    <w:rsid w:val="00FF277B"/>
    <w:rsid w:val="00FF306B"/>
    <w:rsid w:val="00FF345F"/>
    <w:rsid w:val="00FF366F"/>
    <w:rsid w:val="00FF5FA1"/>
    <w:rsid w:val="00FF602C"/>
    <w:rsid w:val="00FF604A"/>
    <w:rsid w:val="00FF6DA3"/>
    <w:rsid w:val="00FF73FD"/>
    <w:rsid w:val="00FF7515"/>
    <w:rsid w:val="00FF7585"/>
    <w:rsid w:val="00FF7C58"/>
    <w:rsid w:val="00FF7F46"/>
    <w:rsid w:val="016E19A8"/>
    <w:rsid w:val="01E44CD0"/>
    <w:rsid w:val="01FB1A95"/>
    <w:rsid w:val="0203682D"/>
    <w:rsid w:val="022B42BD"/>
    <w:rsid w:val="0262604C"/>
    <w:rsid w:val="0292348F"/>
    <w:rsid w:val="03020C32"/>
    <w:rsid w:val="03C43E9F"/>
    <w:rsid w:val="046B75E4"/>
    <w:rsid w:val="047544D8"/>
    <w:rsid w:val="05D15877"/>
    <w:rsid w:val="05FA1A48"/>
    <w:rsid w:val="062B136D"/>
    <w:rsid w:val="06764670"/>
    <w:rsid w:val="06AF3D09"/>
    <w:rsid w:val="07262610"/>
    <w:rsid w:val="07422A11"/>
    <w:rsid w:val="0759798C"/>
    <w:rsid w:val="076E0E72"/>
    <w:rsid w:val="07806B5B"/>
    <w:rsid w:val="08386C69"/>
    <w:rsid w:val="08703B1D"/>
    <w:rsid w:val="08BA67FF"/>
    <w:rsid w:val="08DD16AC"/>
    <w:rsid w:val="09166F09"/>
    <w:rsid w:val="09FE7278"/>
    <w:rsid w:val="0A83424A"/>
    <w:rsid w:val="0AB47D7D"/>
    <w:rsid w:val="0AE00993"/>
    <w:rsid w:val="0B6F5436"/>
    <w:rsid w:val="0BB84DE3"/>
    <w:rsid w:val="0BC62ED7"/>
    <w:rsid w:val="0C824385"/>
    <w:rsid w:val="0DB47CC8"/>
    <w:rsid w:val="0DEA30FF"/>
    <w:rsid w:val="0E2828CA"/>
    <w:rsid w:val="0E3E7A2A"/>
    <w:rsid w:val="0E574197"/>
    <w:rsid w:val="0ECF630A"/>
    <w:rsid w:val="0EFA766A"/>
    <w:rsid w:val="0F3A3FF7"/>
    <w:rsid w:val="0FD81E68"/>
    <w:rsid w:val="0FDD6E00"/>
    <w:rsid w:val="100445B5"/>
    <w:rsid w:val="10171C53"/>
    <w:rsid w:val="101D6766"/>
    <w:rsid w:val="101E3FE2"/>
    <w:rsid w:val="106F0166"/>
    <w:rsid w:val="107F0602"/>
    <w:rsid w:val="10C87BA0"/>
    <w:rsid w:val="10F96D79"/>
    <w:rsid w:val="113625E8"/>
    <w:rsid w:val="117A1FBD"/>
    <w:rsid w:val="11912563"/>
    <w:rsid w:val="119C6B21"/>
    <w:rsid w:val="11E507AE"/>
    <w:rsid w:val="12A85D69"/>
    <w:rsid w:val="12C12B83"/>
    <w:rsid w:val="12D73EB3"/>
    <w:rsid w:val="13743D2E"/>
    <w:rsid w:val="138309AD"/>
    <w:rsid w:val="13BF75AD"/>
    <w:rsid w:val="142D5D30"/>
    <w:rsid w:val="14370A85"/>
    <w:rsid w:val="143B4620"/>
    <w:rsid w:val="14930823"/>
    <w:rsid w:val="14E94EF3"/>
    <w:rsid w:val="14F47B3E"/>
    <w:rsid w:val="151605A2"/>
    <w:rsid w:val="15257C70"/>
    <w:rsid w:val="15364AC0"/>
    <w:rsid w:val="15400301"/>
    <w:rsid w:val="15B34F99"/>
    <w:rsid w:val="15FA56EA"/>
    <w:rsid w:val="16870F53"/>
    <w:rsid w:val="168B4BDD"/>
    <w:rsid w:val="16AE6412"/>
    <w:rsid w:val="16C66DAA"/>
    <w:rsid w:val="17130215"/>
    <w:rsid w:val="17C61180"/>
    <w:rsid w:val="17CA0EC3"/>
    <w:rsid w:val="19622F5E"/>
    <w:rsid w:val="1A516B2E"/>
    <w:rsid w:val="1ADC512F"/>
    <w:rsid w:val="1AFF547D"/>
    <w:rsid w:val="1B917B2A"/>
    <w:rsid w:val="1C284B16"/>
    <w:rsid w:val="1CEB7570"/>
    <w:rsid w:val="1DDE3C11"/>
    <w:rsid w:val="1DF81251"/>
    <w:rsid w:val="1DFB50CA"/>
    <w:rsid w:val="1E032835"/>
    <w:rsid w:val="1E4E592A"/>
    <w:rsid w:val="1E5135CA"/>
    <w:rsid w:val="1E5261C1"/>
    <w:rsid w:val="1E733517"/>
    <w:rsid w:val="1E81189E"/>
    <w:rsid w:val="1F0F237B"/>
    <w:rsid w:val="1F31616E"/>
    <w:rsid w:val="1F34517D"/>
    <w:rsid w:val="1F6015F5"/>
    <w:rsid w:val="1F606C16"/>
    <w:rsid w:val="20224BDD"/>
    <w:rsid w:val="20471BF3"/>
    <w:rsid w:val="20623843"/>
    <w:rsid w:val="2072234B"/>
    <w:rsid w:val="20F841A8"/>
    <w:rsid w:val="21723CD1"/>
    <w:rsid w:val="21947636"/>
    <w:rsid w:val="21954CAB"/>
    <w:rsid w:val="2229302F"/>
    <w:rsid w:val="223B366A"/>
    <w:rsid w:val="22A16830"/>
    <w:rsid w:val="22B97C40"/>
    <w:rsid w:val="22BA621C"/>
    <w:rsid w:val="22CA4FDA"/>
    <w:rsid w:val="22EB5E9B"/>
    <w:rsid w:val="22F852A5"/>
    <w:rsid w:val="236773C3"/>
    <w:rsid w:val="23781159"/>
    <w:rsid w:val="237C2438"/>
    <w:rsid w:val="24260578"/>
    <w:rsid w:val="24555AEC"/>
    <w:rsid w:val="24584930"/>
    <w:rsid w:val="249914D8"/>
    <w:rsid w:val="24B83C43"/>
    <w:rsid w:val="25FE400E"/>
    <w:rsid w:val="26464661"/>
    <w:rsid w:val="266F3F4B"/>
    <w:rsid w:val="26AA0CA4"/>
    <w:rsid w:val="26E2490D"/>
    <w:rsid w:val="27064377"/>
    <w:rsid w:val="27450D73"/>
    <w:rsid w:val="27745647"/>
    <w:rsid w:val="27CD5619"/>
    <w:rsid w:val="2818512F"/>
    <w:rsid w:val="28F1037E"/>
    <w:rsid w:val="28F46272"/>
    <w:rsid w:val="298B44EB"/>
    <w:rsid w:val="29AC5E59"/>
    <w:rsid w:val="29D92194"/>
    <w:rsid w:val="29FF2103"/>
    <w:rsid w:val="2A60790E"/>
    <w:rsid w:val="2A823BD5"/>
    <w:rsid w:val="2A8C5B4B"/>
    <w:rsid w:val="2AD46197"/>
    <w:rsid w:val="2ADA5A84"/>
    <w:rsid w:val="2ADF6989"/>
    <w:rsid w:val="2AF56183"/>
    <w:rsid w:val="2B2C257D"/>
    <w:rsid w:val="2B750CC4"/>
    <w:rsid w:val="2BA9515B"/>
    <w:rsid w:val="2C0252FF"/>
    <w:rsid w:val="2C111364"/>
    <w:rsid w:val="2C822503"/>
    <w:rsid w:val="2D390C58"/>
    <w:rsid w:val="2D647313"/>
    <w:rsid w:val="2D724C29"/>
    <w:rsid w:val="2DE43DEE"/>
    <w:rsid w:val="2E416D43"/>
    <w:rsid w:val="2EAD2B99"/>
    <w:rsid w:val="2EEE5640"/>
    <w:rsid w:val="2F124861"/>
    <w:rsid w:val="2F262304"/>
    <w:rsid w:val="2FC056C3"/>
    <w:rsid w:val="301A579D"/>
    <w:rsid w:val="30227AED"/>
    <w:rsid w:val="3042533E"/>
    <w:rsid w:val="304277F9"/>
    <w:rsid w:val="30661219"/>
    <w:rsid w:val="30AE1969"/>
    <w:rsid w:val="30D83F84"/>
    <w:rsid w:val="31076AE0"/>
    <w:rsid w:val="314C2FDB"/>
    <w:rsid w:val="31647E94"/>
    <w:rsid w:val="31945786"/>
    <w:rsid w:val="31BC6543"/>
    <w:rsid w:val="31E74CDE"/>
    <w:rsid w:val="32193F7E"/>
    <w:rsid w:val="326A4E14"/>
    <w:rsid w:val="329D070B"/>
    <w:rsid w:val="32CA2987"/>
    <w:rsid w:val="32E36F4F"/>
    <w:rsid w:val="331949A4"/>
    <w:rsid w:val="334D0F51"/>
    <w:rsid w:val="33DD2692"/>
    <w:rsid w:val="342E54E5"/>
    <w:rsid w:val="342F1CEC"/>
    <w:rsid w:val="34B72E3F"/>
    <w:rsid w:val="35662515"/>
    <w:rsid w:val="35B12E07"/>
    <w:rsid w:val="366320A1"/>
    <w:rsid w:val="36D85DBD"/>
    <w:rsid w:val="36F47A6F"/>
    <w:rsid w:val="370641C2"/>
    <w:rsid w:val="370A20E7"/>
    <w:rsid w:val="37160A8C"/>
    <w:rsid w:val="3726133E"/>
    <w:rsid w:val="375C6DE7"/>
    <w:rsid w:val="37B37AC7"/>
    <w:rsid w:val="38367638"/>
    <w:rsid w:val="383B6C22"/>
    <w:rsid w:val="387D5266"/>
    <w:rsid w:val="38B06E04"/>
    <w:rsid w:val="38BE4A83"/>
    <w:rsid w:val="38D64C86"/>
    <w:rsid w:val="39561614"/>
    <w:rsid w:val="398305B1"/>
    <w:rsid w:val="39AD0507"/>
    <w:rsid w:val="39DD781D"/>
    <w:rsid w:val="3A4E1148"/>
    <w:rsid w:val="3A7F1A7E"/>
    <w:rsid w:val="3A7F2F02"/>
    <w:rsid w:val="3AB00402"/>
    <w:rsid w:val="3B16522C"/>
    <w:rsid w:val="3B5A63CE"/>
    <w:rsid w:val="3BB3392B"/>
    <w:rsid w:val="3BE610FE"/>
    <w:rsid w:val="3C025096"/>
    <w:rsid w:val="3C331353"/>
    <w:rsid w:val="3C4E4BE5"/>
    <w:rsid w:val="3CB21639"/>
    <w:rsid w:val="3CF60C61"/>
    <w:rsid w:val="3D0870C9"/>
    <w:rsid w:val="3D0C7570"/>
    <w:rsid w:val="3D104E34"/>
    <w:rsid w:val="3DBC4448"/>
    <w:rsid w:val="3DCB0822"/>
    <w:rsid w:val="3DD455A6"/>
    <w:rsid w:val="3DDF4D26"/>
    <w:rsid w:val="3E4D02E1"/>
    <w:rsid w:val="3E7910A1"/>
    <w:rsid w:val="3E854D02"/>
    <w:rsid w:val="3F0E00F3"/>
    <w:rsid w:val="3F615B53"/>
    <w:rsid w:val="3F8F0BD1"/>
    <w:rsid w:val="40930F46"/>
    <w:rsid w:val="4140013E"/>
    <w:rsid w:val="41490D9B"/>
    <w:rsid w:val="4192105F"/>
    <w:rsid w:val="41E94C48"/>
    <w:rsid w:val="42091D7F"/>
    <w:rsid w:val="421D1DFF"/>
    <w:rsid w:val="4243599A"/>
    <w:rsid w:val="42D113A5"/>
    <w:rsid w:val="4309668F"/>
    <w:rsid w:val="44626696"/>
    <w:rsid w:val="45091B37"/>
    <w:rsid w:val="450E0CAE"/>
    <w:rsid w:val="451E1594"/>
    <w:rsid w:val="457C0654"/>
    <w:rsid w:val="45DA57E0"/>
    <w:rsid w:val="45F424BE"/>
    <w:rsid w:val="46150282"/>
    <w:rsid w:val="461A5919"/>
    <w:rsid w:val="4645387A"/>
    <w:rsid w:val="464B1239"/>
    <w:rsid w:val="46554886"/>
    <w:rsid w:val="467A448B"/>
    <w:rsid w:val="46D12463"/>
    <w:rsid w:val="46EB00CE"/>
    <w:rsid w:val="47112FF9"/>
    <w:rsid w:val="478E6810"/>
    <w:rsid w:val="47EE4B0E"/>
    <w:rsid w:val="484713ED"/>
    <w:rsid w:val="48831CF9"/>
    <w:rsid w:val="48C52283"/>
    <w:rsid w:val="48FE63B7"/>
    <w:rsid w:val="491465B8"/>
    <w:rsid w:val="491E7598"/>
    <w:rsid w:val="49634005"/>
    <w:rsid w:val="49A10603"/>
    <w:rsid w:val="4A395A4C"/>
    <w:rsid w:val="4A613833"/>
    <w:rsid w:val="4AD351BA"/>
    <w:rsid w:val="4ADF554C"/>
    <w:rsid w:val="4B6B6A70"/>
    <w:rsid w:val="4B700765"/>
    <w:rsid w:val="4B7778F3"/>
    <w:rsid w:val="4C0270DE"/>
    <w:rsid w:val="4C07648F"/>
    <w:rsid w:val="4C1323A1"/>
    <w:rsid w:val="4DAD6DE5"/>
    <w:rsid w:val="4DC10006"/>
    <w:rsid w:val="4E3B5550"/>
    <w:rsid w:val="4EA75048"/>
    <w:rsid w:val="4EAC01FC"/>
    <w:rsid w:val="4EE3108F"/>
    <w:rsid w:val="4EFA3D89"/>
    <w:rsid w:val="4F150CA9"/>
    <w:rsid w:val="4F3B2459"/>
    <w:rsid w:val="4F6726AA"/>
    <w:rsid w:val="4FC255B8"/>
    <w:rsid w:val="4FE418E2"/>
    <w:rsid w:val="5076449B"/>
    <w:rsid w:val="50B85899"/>
    <w:rsid w:val="50BA79CF"/>
    <w:rsid w:val="513A6BFE"/>
    <w:rsid w:val="51965C5A"/>
    <w:rsid w:val="51E50A8C"/>
    <w:rsid w:val="520175A0"/>
    <w:rsid w:val="52540BCE"/>
    <w:rsid w:val="52C04276"/>
    <w:rsid w:val="52D65DBB"/>
    <w:rsid w:val="52D70926"/>
    <w:rsid w:val="53804432"/>
    <w:rsid w:val="53BA75F7"/>
    <w:rsid w:val="54993992"/>
    <w:rsid w:val="54AF0560"/>
    <w:rsid w:val="56110933"/>
    <w:rsid w:val="562156F5"/>
    <w:rsid w:val="56980C4E"/>
    <w:rsid w:val="572C5218"/>
    <w:rsid w:val="57492DEB"/>
    <w:rsid w:val="578014AE"/>
    <w:rsid w:val="57881CA5"/>
    <w:rsid w:val="57B40FFE"/>
    <w:rsid w:val="57E26A3C"/>
    <w:rsid w:val="58120B24"/>
    <w:rsid w:val="5820055E"/>
    <w:rsid w:val="5834580C"/>
    <w:rsid w:val="585846FF"/>
    <w:rsid w:val="5942582B"/>
    <w:rsid w:val="59441031"/>
    <w:rsid w:val="59EF71EF"/>
    <w:rsid w:val="59F93409"/>
    <w:rsid w:val="5A95451B"/>
    <w:rsid w:val="5ACF7B3C"/>
    <w:rsid w:val="5AF50101"/>
    <w:rsid w:val="5AF743CC"/>
    <w:rsid w:val="5B661732"/>
    <w:rsid w:val="5B960CA7"/>
    <w:rsid w:val="5BA46CE2"/>
    <w:rsid w:val="5BAE541D"/>
    <w:rsid w:val="5BF27097"/>
    <w:rsid w:val="5C9664F6"/>
    <w:rsid w:val="5CB473D1"/>
    <w:rsid w:val="5D2B715A"/>
    <w:rsid w:val="5D651B36"/>
    <w:rsid w:val="5D7842FF"/>
    <w:rsid w:val="5DA8305B"/>
    <w:rsid w:val="5E272947"/>
    <w:rsid w:val="5E317731"/>
    <w:rsid w:val="5E766130"/>
    <w:rsid w:val="5EC6739C"/>
    <w:rsid w:val="5FE053FD"/>
    <w:rsid w:val="606751B5"/>
    <w:rsid w:val="608C5C6B"/>
    <w:rsid w:val="612B336B"/>
    <w:rsid w:val="61EF28C6"/>
    <w:rsid w:val="621D2979"/>
    <w:rsid w:val="62AC4480"/>
    <w:rsid w:val="62CE3110"/>
    <w:rsid w:val="62F56C87"/>
    <w:rsid w:val="63180450"/>
    <w:rsid w:val="63422A85"/>
    <w:rsid w:val="64511B95"/>
    <w:rsid w:val="64E43618"/>
    <w:rsid w:val="650A0AD0"/>
    <w:rsid w:val="65416E6F"/>
    <w:rsid w:val="6594219A"/>
    <w:rsid w:val="65D73B62"/>
    <w:rsid w:val="660104B2"/>
    <w:rsid w:val="6604676D"/>
    <w:rsid w:val="663C41E9"/>
    <w:rsid w:val="66482160"/>
    <w:rsid w:val="6686712D"/>
    <w:rsid w:val="67E61C31"/>
    <w:rsid w:val="67F9777D"/>
    <w:rsid w:val="67FF7197"/>
    <w:rsid w:val="68D218D6"/>
    <w:rsid w:val="69085BD7"/>
    <w:rsid w:val="69144615"/>
    <w:rsid w:val="694B775E"/>
    <w:rsid w:val="698A138C"/>
    <w:rsid w:val="69CD0EEA"/>
    <w:rsid w:val="69FB3F76"/>
    <w:rsid w:val="6A342138"/>
    <w:rsid w:val="6A380706"/>
    <w:rsid w:val="6A4D1AC6"/>
    <w:rsid w:val="6A982EB2"/>
    <w:rsid w:val="6AF22EDD"/>
    <w:rsid w:val="6AF428B7"/>
    <w:rsid w:val="6B4A697B"/>
    <w:rsid w:val="6B642897"/>
    <w:rsid w:val="6BA9363B"/>
    <w:rsid w:val="6BAE1754"/>
    <w:rsid w:val="6BDA10A7"/>
    <w:rsid w:val="6BE02E3B"/>
    <w:rsid w:val="6BE40007"/>
    <w:rsid w:val="6C353107"/>
    <w:rsid w:val="6C9F2CF6"/>
    <w:rsid w:val="6CBA743A"/>
    <w:rsid w:val="6CE67CA5"/>
    <w:rsid w:val="6D382E4B"/>
    <w:rsid w:val="6D7F4455"/>
    <w:rsid w:val="6DEE7A91"/>
    <w:rsid w:val="6EA40D70"/>
    <w:rsid w:val="6F0E788F"/>
    <w:rsid w:val="6F94795E"/>
    <w:rsid w:val="6F9D38DB"/>
    <w:rsid w:val="6FEB2108"/>
    <w:rsid w:val="6FF25D4B"/>
    <w:rsid w:val="703A3886"/>
    <w:rsid w:val="70A97ADA"/>
    <w:rsid w:val="70DF7B65"/>
    <w:rsid w:val="70EF46AA"/>
    <w:rsid w:val="7111064A"/>
    <w:rsid w:val="71E14F9D"/>
    <w:rsid w:val="71FA3D1F"/>
    <w:rsid w:val="725220B9"/>
    <w:rsid w:val="728B1D53"/>
    <w:rsid w:val="72B30AB4"/>
    <w:rsid w:val="72BD4B98"/>
    <w:rsid w:val="72C834C6"/>
    <w:rsid w:val="73235F63"/>
    <w:rsid w:val="736C5D42"/>
    <w:rsid w:val="73816CB2"/>
    <w:rsid w:val="73CB3660"/>
    <w:rsid w:val="73DB7688"/>
    <w:rsid w:val="740A0FC4"/>
    <w:rsid w:val="741E1120"/>
    <w:rsid w:val="7453787F"/>
    <w:rsid w:val="74763967"/>
    <w:rsid w:val="74AF0F5C"/>
    <w:rsid w:val="74FC78C0"/>
    <w:rsid w:val="755C3532"/>
    <w:rsid w:val="75616B91"/>
    <w:rsid w:val="763E2968"/>
    <w:rsid w:val="76AF20F4"/>
    <w:rsid w:val="76C70055"/>
    <w:rsid w:val="76E86108"/>
    <w:rsid w:val="76EA11A0"/>
    <w:rsid w:val="76EF78DA"/>
    <w:rsid w:val="76F53C3E"/>
    <w:rsid w:val="7708668C"/>
    <w:rsid w:val="7759485A"/>
    <w:rsid w:val="77DA57A4"/>
    <w:rsid w:val="781B17CE"/>
    <w:rsid w:val="781C344D"/>
    <w:rsid w:val="78E90A4E"/>
    <w:rsid w:val="7919128C"/>
    <w:rsid w:val="79B17D96"/>
    <w:rsid w:val="79FE3DAF"/>
    <w:rsid w:val="7A1F78EE"/>
    <w:rsid w:val="7A27323D"/>
    <w:rsid w:val="7A2B3E1B"/>
    <w:rsid w:val="7A5F62EE"/>
    <w:rsid w:val="7AE412F1"/>
    <w:rsid w:val="7AEA2850"/>
    <w:rsid w:val="7B967BC4"/>
    <w:rsid w:val="7BE64A23"/>
    <w:rsid w:val="7C5473E8"/>
    <w:rsid w:val="7CD5207C"/>
    <w:rsid w:val="7D4A267A"/>
    <w:rsid w:val="7D526B00"/>
    <w:rsid w:val="7D621902"/>
    <w:rsid w:val="7D8732EE"/>
    <w:rsid w:val="7DA4646E"/>
    <w:rsid w:val="7DC13D49"/>
    <w:rsid w:val="7DCE4254"/>
    <w:rsid w:val="7E4E287E"/>
    <w:rsid w:val="7E7E441B"/>
    <w:rsid w:val="7EB264E4"/>
    <w:rsid w:val="7EDE26DA"/>
    <w:rsid w:val="7EF04B10"/>
    <w:rsid w:val="7F0231B1"/>
    <w:rsid w:val="7F5565A1"/>
    <w:rsid w:val="7FA11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qFormat="1" w:unhideWhenUsed="0" w:uiPriority="99" w:semiHidden="0" w:name="Body Text Indent 3"/>
    <w:lsdException w:qFormat="1" w:uiPriority="99" w:semiHidden="0"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sz w:val="24"/>
      <w:lang w:val="en-US" w:eastAsia="zh-CN" w:bidi="ar-SA"/>
    </w:rPr>
  </w:style>
  <w:style w:type="paragraph" w:styleId="2">
    <w:name w:val="heading 1"/>
    <w:basedOn w:val="1"/>
    <w:next w:val="1"/>
    <w:link w:val="52"/>
    <w:qFormat/>
    <w:uiPriority w:val="0"/>
    <w:pPr>
      <w:keepNext/>
      <w:keepLines/>
      <w:spacing w:before="120" w:after="120"/>
      <w:ind w:firstLine="0" w:firstLineChars="0"/>
      <w:jc w:val="left"/>
      <w:outlineLvl w:val="0"/>
    </w:pPr>
    <w:rPr>
      <w:b/>
      <w:bCs/>
      <w:kern w:val="44"/>
      <w:sz w:val="32"/>
      <w:szCs w:val="44"/>
    </w:rPr>
  </w:style>
  <w:style w:type="paragraph" w:styleId="3">
    <w:name w:val="heading 2"/>
    <w:basedOn w:val="1"/>
    <w:next w:val="1"/>
    <w:link w:val="53"/>
    <w:unhideWhenUsed/>
    <w:qFormat/>
    <w:uiPriority w:val="0"/>
    <w:pPr>
      <w:keepNext/>
      <w:keepLines/>
      <w:spacing w:before="120" w:after="120"/>
      <w:ind w:firstLine="0" w:firstLineChars="0"/>
      <w:jc w:val="left"/>
      <w:outlineLvl w:val="1"/>
    </w:pPr>
    <w:rPr>
      <w:rFonts w:cstheme="majorBidi"/>
      <w:b/>
      <w:bCs/>
      <w:sz w:val="30"/>
      <w:szCs w:val="32"/>
    </w:rPr>
  </w:style>
  <w:style w:type="paragraph" w:styleId="4">
    <w:name w:val="heading 3"/>
    <w:basedOn w:val="1"/>
    <w:next w:val="1"/>
    <w:link w:val="54"/>
    <w:unhideWhenUsed/>
    <w:qFormat/>
    <w:uiPriority w:val="0"/>
    <w:pPr>
      <w:keepNext/>
      <w:keepLines/>
      <w:spacing w:before="120" w:after="120"/>
      <w:ind w:firstLine="0" w:firstLineChars="0"/>
      <w:outlineLvl w:val="2"/>
    </w:pPr>
    <w:rPr>
      <w:b/>
      <w:bCs/>
      <w:sz w:val="28"/>
      <w:szCs w:val="32"/>
    </w:rPr>
  </w:style>
  <w:style w:type="paragraph" w:styleId="5">
    <w:name w:val="heading 4"/>
    <w:basedOn w:val="1"/>
    <w:next w:val="1"/>
    <w:link w:val="57"/>
    <w:unhideWhenUsed/>
    <w:qFormat/>
    <w:uiPriority w:val="0"/>
    <w:pPr>
      <w:keepNext/>
      <w:keepLines/>
      <w:spacing w:before="120" w:after="120"/>
      <w:outlineLvl w:val="3"/>
    </w:pPr>
    <w:rPr>
      <w:rFonts w:cstheme="majorBidi"/>
      <w:b/>
      <w:bCs/>
      <w:szCs w:val="28"/>
    </w:rPr>
  </w:style>
  <w:style w:type="paragraph" w:styleId="6">
    <w:name w:val="heading 5"/>
    <w:basedOn w:val="1"/>
    <w:next w:val="1"/>
    <w:link w:val="58"/>
    <w:unhideWhenUsed/>
    <w:qFormat/>
    <w:uiPriority w:val="9"/>
    <w:pPr>
      <w:keepNext/>
      <w:keepLines/>
      <w:spacing w:before="280" w:after="290" w:line="376" w:lineRule="auto"/>
      <w:outlineLvl w:val="4"/>
    </w:pPr>
    <w:rPr>
      <w:b/>
      <w:bCs/>
      <w:sz w:val="28"/>
      <w:szCs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spacing w:line="240" w:lineRule="auto"/>
      <w:ind w:left="2520" w:leftChars="1200" w:firstLine="0" w:firstLineChars="0"/>
    </w:pPr>
    <w:rPr>
      <w:rFonts w:asciiTheme="minorHAnsi" w:hAnsiTheme="minorHAnsi" w:eastAsiaTheme="minorEastAsia" w:cstheme="minorBidi"/>
      <w:kern w:val="2"/>
      <w:sz w:val="21"/>
      <w:szCs w:val="22"/>
    </w:rPr>
  </w:style>
  <w:style w:type="paragraph" w:styleId="8">
    <w:name w:val="Normal Indent"/>
    <w:basedOn w:val="1"/>
    <w:next w:val="9"/>
    <w:qFormat/>
    <w:uiPriority w:val="0"/>
    <w:pPr>
      <w:adjustRightInd w:val="0"/>
      <w:snapToGrid w:val="0"/>
      <w:spacing w:line="300" w:lineRule="auto"/>
      <w:ind w:firstLine="420" w:firstLineChars="0"/>
    </w:pPr>
    <w:rPr>
      <w:rFonts w:ascii="宋体" w:hAnsi="PMingLiU"/>
      <w:kern w:val="2"/>
      <w:sz w:val="21"/>
      <w:szCs w:val="24"/>
    </w:rPr>
  </w:style>
  <w:style w:type="paragraph" w:customStyle="1" w:styleId="9">
    <w:name w:val="Char Char Char Char Char Char Char Char Char1 Char"/>
    <w:basedOn w:val="1"/>
    <w:autoRedefine/>
    <w:qFormat/>
    <w:uiPriority w:val="0"/>
    <w:pPr>
      <w:spacing w:line="360" w:lineRule="auto"/>
      <w:ind w:firstLine="200" w:firstLineChars="200"/>
    </w:pPr>
    <w:rPr>
      <w:rFonts w:hAnsi="宋体" w:cs="宋体"/>
      <w:spacing w:val="0"/>
      <w:sz w:val="24"/>
      <w:szCs w:val="24"/>
    </w:rPr>
  </w:style>
  <w:style w:type="paragraph" w:styleId="10">
    <w:name w:val="caption"/>
    <w:basedOn w:val="1"/>
    <w:next w:val="1"/>
    <w:link w:val="164"/>
    <w:qFormat/>
    <w:uiPriority w:val="35"/>
    <w:pPr>
      <w:spacing w:before="120" w:after="120"/>
      <w:ind w:firstLine="0" w:firstLineChars="0"/>
      <w:jc w:val="center"/>
    </w:pPr>
    <w:rPr>
      <w:rFonts w:cstheme="majorBidi"/>
      <w:b/>
      <w:sz w:val="21"/>
    </w:rPr>
  </w:style>
  <w:style w:type="paragraph" w:styleId="11">
    <w:name w:val="annotation text"/>
    <w:basedOn w:val="1"/>
    <w:link w:val="94"/>
    <w:qFormat/>
    <w:uiPriority w:val="0"/>
    <w:pPr>
      <w:spacing w:line="320" w:lineRule="exact"/>
      <w:ind w:firstLine="0" w:firstLineChars="0"/>
      <w:jc w:val="left"/>
    </w:pPr>
    <w:rPr>
      <w:kern w:val="2"/>
      <w:sz w:val="21"/>
      <w:szCs w:val="22"/>
    </w:rPr>
  </w:style>
  <w:style w:type="paragraph" w:styleId="12">
    <w:name w:val="Body Text"/>
    <w:basedOn w:val="1"/>
    <w:next w:val="1"/>
    <w:link w:val="92"/>
    <w:qFormat/>
    <w:uiPriority w:val="0"/>
    <w:pPr>
      <w:widowControl/>
      <w:spacing w:after="200" w:line="240" w:lineRule="auto"/>
      <w:ind w:firstLine="0" w:firstLineChars="0"/>
      <w:jc w:val="center"/>
    </w:pPr>
    <w:rPr>
      <w:sz w:val="21"/>
      <w:szCs w:val="22"/>
      <w:lang w:eastAsia="en-US" w:bidi="en-US"/>
    </w:rPr>
  </w:style>
  <w:style w:type="paragraph" w:styleId="13">
    <w:name w:val="Body Text Indent"/>
    <w:basedOn w:val="1"/>
    <w:next w:val="14"/>
    <w:link w:val="95"/>
    <w:qFormat/>
    <w:uiPriority w:val="0"/>
    <w:pPr>
      <w:spacing w:line="480" w:lineRule="auto"/>
      <w:ind w:firstLine="480"/>
    </w:pPr>
    <w:rPr>
      <w:rFonts w:ascii="宋体"/>
      <w:kern w:val="2"/>
      <w:szCs w:val="22"/>
    </w:rPr>
  </w:style>
  <w:style w:type="paragraph" w:customStyle="1" w:styleId="14">
    <w:name w:val="样式 正文文本缩进 + 行距: 1.5 倍行距"/>
    <w:basedOn w:val="15"/>
    <w:next w:val="16"/>
    <w:qFormat/>
    <w:uiPriority w:val="0"/>
    <w:pPr>
      <w:spacing w:after="120"/>
      <w:ind w:left="90" w:leftChars="32" w:firstLine="560"/>
    </w:pPr>
    <w:rPr>
      <w:rFonts w:cs="宋体"/>
    </w:rPr>
  </w:style>
  <w:style w:type="paragraph" w:customStyle="1" w:styleId="15">
    <w:name w:val="正文文本缩进1"/>
    <w:basedOn w:val="1"/>
    <w:next w:val="14"/>
    <w:unhideWhenUsed/>
    <w:qFormat/>
    <w:uiPriority w:val="0"/>
    <w:pPr>
      <w:ind w:left="420" w:leftChars="200"/>
    </w:pPr>
    <w:rPr>
      <w:rFonts w:hint="eastAsia" w:eastAsia="Times New Roman"/>
    </w:rPr>
  </w:style>
  <w:style w:type="paragraph" w:styleId="16">
    <w:name w:val="header"/>
    <w:basedOn w:val="1"/>
    <w:next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Block Text"/>
    <w:basedOn w:val="1"/>
    <w:next w:val="1"/>
    <w:unhideWhenUsed/>
    <w:qFormat/>
    <w:uiPriority w:val="99"/>
    <w:pPr>
      <w:snapToGrid w:val="0"/>
      <w:spacing w:line="408" w:lineRule="auto"/>
      <w:ind w:left="-113" w:right="-510" w:firstLine="510"/>
    </w:pPr>
    <w:rPr>
      <w:szCs w:val="20"/>
    </w:rPr>
  </w:style>
  <w:style w:type="paragraph" w:styleId="18">
    <w:name w:val="toc 5"/>
    <w:basedOn w:val="1"/>
    <w:next w:val="1"/>
    <w:unhideWhenUsed/>
    <w:qFormat/>
    <w:uiPriority w:val="39"/>
    <w:pPr>
      <w:spacing w:line="240" w:lineRule="auto"/>
      <w:ind w:left="1680" w:leftChars="800" w:firstLine="0" w:firstLineChars="0"/>
    </w:pPr>
    <w:rPr>
      <w:rFonts w:asciiTheme="minorHAnsi" w:hAnsiTheme="minorHAnsi" w:eastAsiaTheme="minorEastAsia" w:cstheme="minorBidi"/>
      <w:kern w:val="2"/>
      <w:sz w:val="21"/>
      <w:szCs w:val="22"/>
    </w:rPr>
  </w:style>
  <w:style w:type="paragraph" w:styleId="19">
    <w:name w:val="toc 3"/>
    <w:basedOn w:val="1"/>
    <w:next w:val="1"/>
    <w:unhideWhenUsed/>
    <w:qFormat/>
    <w:uiPriority w:val="39"/>
    <w:pPr>
      <w:ind w:left="840" w:leftChars="400"/>
    </w:pPr>
  </w:style>
  <w:style w:type="paragraph" w:styleId="20">
    <w:name w:val="Plain Text"/>
    <w:basedOn w:val="1"/>
    <w:next w:val="21"/>
    <w:link w:val="96"/>
    <w:qFormat/>
    <w:uiPriority w:val="0"/>
    <w:pPr>
      <w:widowControl/>
      <w:spacing w:after="200" w:line="240" w:lineRule="auto"/>
      <w:ind w:firstLine="0" w:firstLineChars="0"/>
      <w:jc w:val="left"/>
    </w:pPr>
    <w:rPr>
      <w:rFonts w:ascii="宋体" w:hAnsi="Courier New"/>
      <w:sz w:val="28"/>
      <w:lang w:eastAsia="en-US" w:bidi="en-US"/>
    </w:rPr>
  </w:style>
  <w:style w:type="paragraph" w:customStyle="1" w:styleId="21">
    <w:name w:val="表内文字"/>
    <w:basedOn w:val="1"/>
    <w:qFormat/>
    <w:uiPriority w:val="0"/>
    <w:pPr>
      <w:spacing w:line="360" w:lineRule="atLeast"/>
      <w:ind w:firstLine="0" w:firstLineChars="0"/>
      <w:jc w:val="center"/>
    </w:pPr>
    <w:rPr>
      <w:kern w:val="2"/>
      <w:sz w:val="21"/>
      <w:szCs w:val="22"/>
    </w:rPr>
  </w:style>
  <w:style w:type="paragraph" w:styleId="22">
    <w:name w:val="toc 8"/>
    <w:basedOn w:val="1"/>
    <w:next w:val="1"/>
    <w:unhideWhenUsed/>
    <w:qFormat/>
    <w:uiPriority w:val="39"/>
    <w:pPr>
      <w:spacing w:line="240" w:lineRule="auto"/>
      <w:ind w:left="2940" w:leftChars="1400" w:firstLine="0" w:firstLineChars="0"/>
    </w:pPr>
    <w:rPr>
      <w:rFonts w:asciiTheme="minorHAnsi" w:hAnsiTheme="minorHAnsi" w:eastAsiaTheme="minorEastAsia" w:cstheme="minorBidi"/>
      <w:kern w:val="2"/>
      <w:sz w:val="21"/>
      <w:szCs w:val="22"/>
    </w:rPr>
  </w:style>
  <w:style w:type="paragraph" w:styleId="23">
    <w:name w:val="Body Text Indent 2"/>
    <w:basedOn w:val="1"/>
    <w:link w:val="97"/>
    <w:qFormat/>
    <w:uiPriority w:val="0"/>
    <w:pPr>
      <w:spacing w:line="540" w:lineRule="exact"/>
      <w:ind w:firstLine="480"/>
    </w:pPr>
    <w:rPr>
      <w:kern w:val="2"/>
      <w:sz w:val="21"/>
      <w:szCs w:val="22"/>
    </w:rPr>
  </w:style>
  <w:style w:type="paragraph" w:styleId="24">
    <w:name w:val="endnote text"/>
    <w:basedOn w:val="1"/>
    <w:qFormat/>
    <w:uiPriority w:val="0"/>
    <w:pPr>
      <w:autoSpaceDE w:val="0"/>
      <w:autoSpaceDN w:val="0"/>
      <w:snapToGrid w:val="0"/>
      <w:jc w:val="left"/>
    </w:pPr>
    <w:rPr>
      <w:rFonts w:ascii="Noto Sans CJK JP Regular" w:hAnsi="Noto Sans CJK JP Regular" w:eastAsia="Noto Sans CJK JP Regular" w:cs="Noto Sans CJK JP Regular"/>
      <w:kern w:val="0"/>
      <w:sz w:val="22"/>
      <w:lang w:eastAsia="en-US"/>
    </w:rPr>
  </w:style>
  <w:style w:type="paragraph" w:styleId="25">
    <w:name w:val="Balloon Text"/>
    <w:basedOn w:val="1"/>
    <w:link w:val="56"/>
    <w:semiHidden/>
    <w:unhideWhenUsed/>
    <w:qFormat/>
    <w:uiPriority w:val="0"/>
    <w:pPr>
      <w:spacing w:line="240" w:lineRule="auto"/>
    </w:pPr>
    <w:rPr>
      <w:sz w:val="18"/>
      <w:szCs w:val="18"/>
    </w:rPr>
  </w:style>
  <w:style w:type="paragraph" w:styleId="26">
    <w:name w:val="footer"/>
    <w:basedOn w:val="1"/>
    <w:link w:val="51"/>
    <w:unhideWhenUsed/>
    <w:qFormat/>
    <w:uiPriority w:val="99"/>
    <w:pPr>
      <w:tabs>
        <w:tab w:val="center" w:pos="4153"/>
        <w:tab w:val="right" w:pos="8306"/>
      </w:tabs>
      <w:snapToGrid w:val="0"/>
      <w:jc w:val="left"/>
    </w:pPr>
    <w:rPr>
      <w:sz w:val="18"/>
      <w:szCs w:val="18"/>
    </w:rPr>
  </w:style>
  <w:style w:type="paragraph" w:styleId="27">
    <w:name w:val="toc 1"/>
    <w:basedOn w:val="2"/>
    <w:next w:val="1"/>
    <w:unhideWhenUsed/>
    <w:qFormat/>
    <w:uiPriority w:val="39"/>
    <w:pPr>
      <w:tabs>
        <w:tab w:val="right" w:leader="dot" w:pos="8296"/>
      </w:tabs>
      <w:adjustRightInd w:val="0"/>
      <w:spacing w:before="0" w:after="0"/>
      <w:ind w:firstLine="480"/>
      <w:jc w:val="center"/>
    </w:pPr>
    <w:rPr>
      <w:b w:val="0"/>
      <w:sz w:val="28"/>
    </w:rPr>
  </w:style>
  <w:style w:type="paragraph" w:styleId="28">
    <w:name w:val="toc 4"/>
    <w:basedOn w:val="1"/>
    <w:next w:val="1"/>
    <w:unhideWhenUsed/>
    <w:qFormat/>
    <w:uiPriority w:val="39"/>
    <w:pPr>
      <w:spacing w:line="240" w:lineRule="auto"/>
      <w:ind w:left="1260" w:leftChars="600" w:firstLine="0" w:firstLineChars="0"/>
    </w:pPr>
    <w:rPr>
      <w:rFonts w:asciiTheme="minorHAnsi" w:hAnsiTheme="minorHAnsi" w:eastAsiaTheme="minorEastAsia" w:cstheme="minorBidi"/>
      <w:kern w:val="2"/>
      <w:sz w:val="21"/>
      <w:szCs w:val="22"/>
    </w:rPr>
  </w:style>
  <w:style w:type="paragraph" w:styleId="29">
    <w:name w:val="List"/>
    <w:basedOn w:val="1"/>
    <w:qFormat/>
    <w:uiPriority w:val="0"/>
    <w:pPr>
      <w:spacing w:line="320" w:lineRule="exact"/>
      <w:ind w:left="200" w:hanging="200" w:hangingChars="200"/>
    </w:pPr>
    <w:rPr>
      <w:kern w:val="2"/>
      <w:sz w:val="21"/>
      <w:szCs w:val="24"/>
    </w:rPr>
  </w:style>
  <w:style w:type="paragraph" w:styleId="30">
    <w:name w:val="toc 6"/>
    <w:basedOn w:val="1"/>
    <w:next w:val="1"/>
    <w:unhideWhenUsed/>
    <w:qFormat/>
    <w:uiPriority w:val="39"/>
    <w:pPr>
      <w:spacing w:line="240" w:lineRule="auto"/>
      <w:ind w:left="2100" w:leftChars="1000" w:firstLine="0" w:firstLineChars="0"/>
    </w:pPr>
    <w:rPr>
      <w:rFonts w:asciiTheme="minorHAnsi" w:hAnsiTheme="minorHAnsi" w:eastAsiaTheme="minorEastAsia" w:cstheme="minorBidi"/>
      <w:kern w:val="2"/>
      <w:sz w:val="21"/>
      <w:szCs w:val="22"/>
    </w:rPr>
  </w:style>
  <w:style w:type="paragraph" w:styleId="31">
    <w:name w:val="Body Text Indent 3"/>
    <w:basedOn w:val="1"/>
    <w:link w:val="98"/>
    <w:qFormat/>
    <w:uiPriority w:val="99"/>
    <w:pPr>
      <w:widowControl/>
      <w:spacing w:after="120" w:line="240" w:lineRule="auto"/>
      <w:ind w:left="420" w:leftChars="200" w:firstLine="0" w:firstLineChars="0"/>
      <w:jc w:val="left"/>
    </w:pPr>
    <w:rPr>
      <w:sz w:val="16"/>
      <w:szCs w:val="16"/>
      <w:lang w:eastAsia="en-US" w:bidi="en-US"/>
    </w:rPr>
  </w:style>
  <w:style w:type="paragraph" w:styleId="32">
    <w:name w:val="toc 2"/>
    <w:basedOn w:val="3"/>
    <w:next w:val="1"/>
    <w:unhideWhenUsed/>
    <w:qFormat/>
    <w:uiPriority w:val="39"/>
    <w:pPr>
      <w:spacing w:before="0" w:after="0"/>
      <w:ind w:firstLine="200" w:firstLineChars="200"/>
      <w:jc w:val="both"/>
    </w:pPr>
    <w:rPr>
      <w:b w:val="0"/>
      <w:sz w:val="24"/>
    </w:rPr>
  </w:style>
  <w:style w:type="paragraph" w:styleId="33">
    <w:name w:val="toc 9"/>
    <w:basedOn w:val="1"/>
    <w:next w:val="1"/>
    <w:unhideWhenUsed/>
    <w:qFormat/>
    <w:uiPriority w:val="39"/>
    <w:pPr>
      <w:spacing w:line="240" w:lineRule="auto"/>
      <w:ind w:left="3360" w:leftChars="1600" w:firstLine="0" w:firstLineChars="0"/>
    </w:pPr>
    <w:rPr>
      <w:rFonts w:asciiTheme="minorHAnsi" w:hAnsiTheme="minorHAnsi" w:eastAsiaTheme="minorEastAsia" w:cstheme="minorBidi"/>
      <w:kern w:val="2"/>
      <w:sz w:val="21"/>
      <w:szCs w:val="22"/>
    </w:rPr>
  </w:style>
  <w:style w:type="paragraph" w:styleId="34">
    <w:name w:val="Body Text 2"/>
    <w:basedOn w:val="1"/>
    <w:link w:val="93"/>
    <w:unhideWhenUsed/>
    <w:qFormat/>
    <w:uiPriority w:val="99"/>
    <w:pPr>
      <w:spacing w:after="120" w:line="480" w:lineRule="auto"/>
      <w:ind w:firstLine="0" w:firstLineChars="0"/>
    </w:pPr>
    <w:rPr>
      <w:kern w:val="2"/>
      <w:sz w:val="21"/>
      <w:szCs w:val="22"/>
    </w:rPr>
  </w:style>
  <w:style w:type="paragraph" w:styleId="35">
    <w:name w:val="HTML Preformatted"/>
    <w:basedOn w:val="1"/>
    <w:link w:val="16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jc w:val="left"/>
    </w:pPr>
    <w:rPr>
      <w:rFonts w:ascii="Arial" w:hAnsi="Arial" w:cs="Arial"/>
      <w:szCs w:val="24"/>
    </w:rPr>
  </w:style>
  <w:style w:type="paragraph" w:styleId="36">
    <w:name w:val="Normal (Web)"/>
    <w:basedOn w:val="1"/>
    <w:qFormat/>
    <w:uiPriority w:val="0"/>
    <w:pPr>
      <w:widowControl/>
      <w:spacing w:before="100" w:beforeAutospacing="1" w:after="100" w:afterAutospacing="1" w:line="240" w:lineRule="auto"/>
      <w:ind w:firstLine="480" w:firstLineChars="0"/>
      <w:jc w:val="left"/>
    </w:pPr>
    <w:rPr>
      <w:rFonts w:ascii="宋体" w:hAnsi="宋体" w:cs="宋体"/>
      <w:sz w:val="22"/>
      <w:szCs w:val="22"/>
      <w:lang w:eastAsia="en-US" w:bidi="en-US"/>
    </w:rPr>
  </w:style>
  <w:style w:type="paragraph" w:styleId="37">
    <w:name w:val="Body Text First Indent"/>
    <w:basedOn w:val="12"/>
    <w:link w:val="99"/>
    <w:qFormat/>
    <w:uiPriority w:val="0"/>
    <w:pPr>
      <w:widowControl w:val="0"/>
      <w:spacing w:after="120"/>
      <w:ind w:firstLine="420" w:firstLineChars="100"/>
      <w:jc w:val="both"/>
    </w:pPr>
    <w:rPr>
      <w:kern w:val="2"/>
      <w:szCs w:val="24"/>
      <w:lang w:eastAsia="zh-CN" w:bidi="ar-SA"/>
    </w:rPr>
  </w:style>
  <w:style w:type="paragraph" w:styleId="38">
    <w:name w:val="Body Text First Indent 2"/>
    <w:basedOn w:val="13"/>
    <w:next w:val="1"/>
    <w:link w:val="100"/>
    <w:qFormat/>
    <w:uiPriority w:val="0"/>
    <w:pPr>
      <w:spacing w:after="120" w:line="240" w:lineRule="auto"/>
      <w:ind w:left="420" w:leftChars="200" w:firstLine="420" w:firstLineChars="0"/>
    </w:pPr>
    <w:rPr>
      <w:kern w:val="2"/>
      <w:sz w:val="21"/>
      <w:szCs w:val="24"/>
    </w:rPr>
  </w:style>
  <w:style w:type="table" w:styleId="40">
    <w:name w:val="Table Grid"/>
    <w:basedOn w:val="3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page number"/>
    <w:qFormat/>
    <w:uiPriority w:val="0"/>
  </w:style>
  <w:style w:type="character" w:styleId="43">
    <w:name w:val="Hyperlink"/>
    <w:basedOn w:val="41"/>
    <w:unhideWhenUsed/>
    <w:qFormat/>
    <w:uiPriority w:val="99"/>
    <w:rPr>
      <w:color w:val="0000FF" w:themeColor="hyperlink"/>
      <w:u w:val="single"/>
      <w14:textFill>
        <w14:solidFill>
          <w14:schemeClr w14:val="hlink"/>
        </w14:solidFill>
      </w14:textFill>
    </w:rPr>
  </w:style>
  <w:style w:type="character" w:styleId="44">
    <w:name w:val="annotation reference"/>
    <w:qFormat/>
    <w:uiPriority w:val="0"/>
    <w:rPr>
      <w:sz w:val="21"/>
      <w:szCs w:val="21"/>
    </w:rPr>
  </w:style>
  <w:style w:type="paragraph" w:customStyle="1" w:styleId="45">
    <w:name w:val="Default"/>
    <w:basedOn w:val="46"/>
    <w:next w:val="1"/>
    <w:qFormat/>
    <w:uiPriority w:val="0"/>
    <w:pPr>
      <w:autoSpaceDE w:val="0"/>
      <w:autoSpaceDN w:val="0"/>
    </w:pPr>
    <w:rPr>
      <w:rFonts w:ascii="黑体" w:eastAsia="黑体" w:cs="黑体"/>
      <w:sz w:val="24"/>
      <w:szCs w:val="24"/>
    </w:rPr>
  </w:style>
  <w:style w:type="paragraph" w:customStyle="1" w:styleId="46">
    <w:name w:val="纯文本1"/>
    <w:basedOn w:val="1"/>
    <w:qFormat/>
    <w:uiPriority w:val="0"/>
    <w:pPr>
      <w:spacing w:line="520" w:lineRule="atLeast"/>
    </w:pPr>
    <w:rPr>
      <w:rFonts w:ascii="宋体" w:hAnsi="Courier New"/>
      <w:sz w:val="28"/>
      <w:szCs w:val="20"/>
    </w:rPr>
  </w:style>
  <w:style w:type="paragraph" w:customStyle="1" w:styleId="47">
    <w:name w:val="样式5"/>
    <w:basedOn w:val="48"/>
    <w:next w:val="24"/>
    <w:qFormat/>
    <w:uiPriority w:val="0"/>
    <w:pPr>
      <w:widowControl/>
      <w:tabs>
        <w:tab w:val="left" w:pos="567"/>
        <w:tab w:val="center" w:pos="4153"/>
        <w:tab w:val="right" w:pos="8306"/>
      </w:tabs>
      <w:spacing w:line="355" w:lineRule="auto"/>
      <w:ind w:firstLine="360"/>
    </w:pPr>
    <w:rPr>
      <w:rFonts w:ascii="楷体_GB2312" w:eastAsia="楷体_GB2312"/>
    </w:rPr>
  </w:style>
  <w:style w:type="paragraph" w:customStyle="1" w:styleId="48">
    <w:name w:val="正文1"/>
    <w:basedOn w:val="49"/>
    <w:next w:val="1"/>
    <w:qFormat/>
    <w:uiPriority w:val="0"/>
    <w:pPr>
      <w:widowControl w:val="0"/>
      <w:tabs>
        <w:tab w:val="left" w:pos="567"/>
      </w:tabs>
      <w:adjustRightInd w:val="0"/>
      <w:spacing w:line="360" w:lineRule="atLeast"/>
    </w:pPr>
    <w:rPr>
      <w:rFonts w:ascii="宋体" w:hAnsi="Times New Roman" w:eastAsia="宋体" w:cs="Times New Roman"/>
      <w:sz w:val="24"/>
      <w:lang w:val="en-US" w:eastAsia="zh-CN" w:bidi="ar-SA"/>
    </w:rPr>
  </w:style>
  <w:style w:type="paragraph" w:customStyle="1" w:styleId="49">
    <w:name w:val="正文11"/>
    <w:link w:val="167"/>
    <w:qFormat/>
    <w:uiPriority w:val="0"/>
    <w:pPr>
      <w:widowControl w:val="0"/>
      <w:tabs>
        <w:tab w:val="left" w:pos="567"/>
      </w:tabs>
      <w:adjustRightInd w:val="0"/>
      <w:spacing w:line="360" w:lineRule="atLeast"/>
      <w:ind w:left="567" w:hanging="567"/>
      <w:textAlignment w:val="baseline"/>
    </w:pPr>
    <w:rPr>
      <w:rFonts w:ascii="宋体" w:hAnsi="Times New Roman" w:eastAsia="Times New Roman" w:cs="Times New Roman"/>
      <w:sz w:val="24"/>
      <w:lang w:val="en-US" w:eastAsia="zh-CN" w:bidi="ar-SA"/>
    </w:rPr>
  </w:style>
  <w:style w:type="character" w:customStyle="1" w:styleId="50">
    <w:name w:val="页眉 字符"/>
    <w:basedOn w:val="41"/>
    <w:link w:val="16"/>
    <w:qFormat/>
    <w:uiPriority w:val="99"/>
    <w:rPr>
      <w:kern w:val="0"/>
      <w:sz w:val="18"/>
      <w:szCs w:val="18"/>
    </w:rPr>
  </w:style>
  <w:style w:type="character" w:customStyle="1" w:styleId="51">
    <w:name w:val="页脚 字符"/>
    <w:basedOn w:val="41"/>
    <w:link w:val="26"/>
    <w:qFormat/>
    <w:uiPriority w:val="99"/>
    <w:rPr>
      <w:kern w:val="0"/>
      <w:sz w:val="18"/>
      <w:szCs w:val="18"/>
    </w:rPr>
  </w:style>
  <w:style w:type="character" w:customStyle="1" w:styleId="52">
    <w:name w:val="标题 1 字符"/>
    <w:basedOn w:val="41"/>
    <w:link w:val="2"/>
    <w:qFormat/>
    <w:uiPriority w:val="9"/>
    <w:rPr>
      <w:b/>
      <w:bCs/>
      <w:kern w:val="44"/>
      <w:sz w:val="32"/>
      <w:szCs w:val="44"/>
    </w:rPr>
  </w:style>
  <w:style w:type="character" w:customStyle="1" w:styleId="53">
    <w:name w:val="标题 2 字符"/>
    <w:basedOn w:val="41"/>
    <w:link w:val="3"/>
    <w:qFormat/>
    <w:uiPriority w:val="9"/>
    <w:rPr>
      <w:rFonts w:cstheme="majorBidi"/>
      <w:b/>
      <w:bCs/>
      <w:kern w:val="0"/>
      <w:sz w:val="30"/>
      <w:szCs w:val="32"/>
    </w:rPr>
  </w:style>
  <w:style w:type="character" w:customStyle="1" w:styleId="54">
    <w:name w:val="标题 3 字符"/>
    <w:basedOn w:val="41"/>
    <w:link w:val="4"/>
    <w:qFormat/>
    <w:uiPriority w:val="9"/>
    <w:rPr>
      <w:b/>
      <w:bCs/>
      <w:kern w:val="0"/>
      <w:sz w:val="28"/>
      <w:szCs w:val="32"/>
    </w:rPr>
  </w:style>
  <w:style w:type="paragraph" w:customStyle="1" w:styleId="55">
    <w:name w:val="TOC 标题1"/>
    <w:basedOn w:val="2"/>
    <w:next w:val="1"/>
    <w:semiHidden/>
    <w:unhideWhenUsed/>
    <w:qFormat/>
    <w:uiPriority w:val="39"/>
    <w:pPr>
      <w:widowControl/>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56">
    <w:name w:val="批注框文本 字符"/>
    <w:basedOn w:val="41"/>
    <w:link w:val="25"/>
    <w:semiHidden/>
    <w:qFormat/>
    <w:uiPriority w:val="99"/>
    <w:rPr>
      <w:kern w:val="0"/>
      <w:sz w:val="18"/>
      <w:szCs w:val="18"/>
    </w:rPr>
  </w:style>
  <w:style w:type="character" w:customStyle="1" w:styleId="57">
    <w:name w:val="标题 4 字符"/>
    <w:basedOn w:val="41"/>
    <w:link w:val="5"/>
    <w:qFormat/>
    <w:uiPriority w:val="9"/>
    <w:rPr>
      <w:rFonts w:cstheme="majorBidi"/>
      <w:b/>
      <w:bCs/>
      <w:kern w:val="0"/>
      <w:sz w:val="24"/>
      <w:szCs w:val="28"/>
    </w:rPr>
  </w:style>
  <w:style w:type="character" w:customStyle="1" w:styleId="58">
    <w:name w:val="标题 5 字符"/>
    <w:basedOn w:val="41"/>
    <w:link w:val="6"/>
    <w:qFormat/>
    <w:uiPriority w:val="9"/>
    <w:rPr>
      <w:b/>
      <w:bCs/>
      <w:kern w:val="0"/>
      <w:sz w:val="28"/>
      <w:szCs w:val="28"/>
    </w:rPr>
  </w:style>
  <w:style w:type="paragraph" w:customStyle="1" w:styleId="59">
    <w:name w:val="正文A"/>
    <w:basedOn w:val="1"/>
    <w:link w:val="179"/>
    <w:qFormat/>
    <w:uiPriority w:val="0"/>
    <w:pPr>
      <w:spacing w:line="500" w:lineRule="exact"/>
      <w:ind w:firstLine="480"/>
    </w:pPr>
    <w:rPr>
      <w:rFonts w:ascii="华文仿宋" w:hAnsi="华文仿宋" w:eastAsia="华文仿宋" w:cs="华文仿宋"/>
      <w:kern w:val="2"/>
      <w:szCs w:val="24"/>
    </w:rPr>
  </w:style>
  <w:style w:type="table" w:customStyle="1" w:styleId="60">
    <w:name w:val="三线1"/>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1">
    <w:name w:val="Char"/>
    <w:basedOn w:val="1"/>
    <w:qFormat/>
    <w:uiPriority w:val="0"/>
    <w:pPr>
      <w:spacing w:line="320" w:lineRule="exact"/>
      <w:ind w:firstLine="0" w:firstLineChars="0"/>
    </w:pPr>
    <w:rPr>
      <w:kern w:val="2"/>
      <w:sz w:val="21"/>
      <w:szCs w:val="22"/>
    </w:rPr>
  </w:style>
  <w:style w:type="table" w:customStyle="1" w:styleId="62">
    <w:name w:val="网格型1"/>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3">
    <w:name w:val="网格型2"/>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4">
    <w:name w:val="网格型3"/>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5">
    <w:name w:val="网格型4"/>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6">
    <w:name w:val="网格型5"/>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7">
    <w:name w:val="网格型6"/>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8">
    <w:name w:val="网格型7"/>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9">
    <w:name w:val="网格型8"/>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0">
    <w:name w:val="网格型9"/>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网格型10"/>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
    <w:name w:val="网格型11"/>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3">
    <w:name w:val="网格型12"/>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4">
    <w:name w:val="网格型13"/>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5">
    <w:name w:val="网格型14"/>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6">
    <w:name w:val="网格型15"/>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7">
    <w:name w:val="网格型16"/>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8">
    <w:name w:val="网格型17"/>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9">
    <w:name w:val="网格型18"/>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0">
    <w:name w:val="网格型19"/>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1">
    <w:name w:val="网格型20"/>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2">
    <w:name w:val="Char1"/>
    <w:basedOn w:val="1"/>
    <w:qFormat/>
    <w:uiPriority w:val="0"/>
    <w:pPr>
      <w:spacing w:line="320" w:lineRule="exact"/>
      <w:ind w:firstLine="0" w:firstLineChars="0"/>
    </w:pPr>
    <w:rPr>
      <w:kern w:val="2"/>
      <w:sz w:val="21"/>
      <w:szCs w:val="22"/>
    </w:rPr>
  </w:style>
  <w:style w:type="table" w:customStyle="1" w:styleId="83">
    <w:name w:val="网格型21"/>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4">
    <w:name w:val="网格型22"/>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5">
    <w:name w:val="网格型23"/>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6">
    <w:name w:val="网格型24"/>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7">
    <w:name w:val="网格型25"/>
    <w:basedOn w:val="3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88">
    <w:name w:val="网格型26"/>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9">
    <w:name w:val="三线2"/>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0">
    <w:name w:val="Char2"/>
    <w:basedOn w:val="1"/>
    <w:qFormat/>
    <w:uiPriority w:val="0"/>
    <w:pPr>
      <w:spacing w:line="320" w:lineRule="exact"/>
      <w:ind w:firstLine="0" w:firstLineChars="0"/>
    </w:pPr>
    <w:rPr>
      <w:kern w:val="2"/>
      <w:sz w:val="21"/>
      <w:szCs w:val="22"/>
    </w:rPr>
  </w:style>
  <w:style w:type="paragraph" w:customStyle="1" w:styleId="91">
    <w:name w:val="Char3"/>
    <w:basedOn w:val="1"/>
    <w:qFormat/>
    <w:uiPriority w:val="0"/>
    <w:pPr>
      <w:spacing w:line="320" w:lineRule="exact"/>
      <w:ind w:firstLine="0" w:firstLineChars="0"/>
    </w:pPr>
    <w:rPr>
      <w:kern w:val="2"/>
      <w:sz w:val="21"/>
      <w:szCs w:val="22"/>
    </w:rPr>
  </w:style>
  <w:style w:type="character" w:customStyle="1" w:styleId="92">
    <w:name w:val="正文文本 字符"/>
    <w:basedOn w:val="41"/>
    <w:link w:val="12"/>
    <w:qFormat/>
    <w:uiPriority w:val="0"/>
    <w:rPr>
      <w:kern w:val="0"/>
      <w:szCs w:val="22"/>
      <w:lang w:eastAsia="en-US" w:bidi="en-US"/>
    </w:rPr>
  </w:style>
  <w:style w:type="character" w:customStyle="1" w:styleId="93">
    <w:name w:val="正文文本 2 字符"/>
    <w:basedOn w:val="41"/>
    <w:link w:val="34"/>
    <w:qFormat/>
    <w:uiPriority w:val="99"/>
    <w:rPr>
      <w:szCs w:val="22"/>
    </w:rPr>
  </w:style>
  <w:style w:type="character" w:customStyle="1" w:styleId="94">
    <w:name w:val="批注文字 字符"/>
    <w:basedOn w:val="41"/>
    <w:link w:val="11"/>
    <w:qFormat/>
    <w:uiPriority w:val="0"/>
    <w:rPr>
      <w:szCs w:val="22"/>
    </w:rPr>
  </w:style>
  <w:style w:type="character" w:customStyle="1" w:styleId="95">
    <w:name w:val="正文文本缩进 字符"/>
    <w:basedOn w:val="41"/>
    <w:link w:val="13"/>
    <w:qFormat/>
    <w:uiPriority w:val="0"/>
    <w:rPr>
      <w:rFonts w:ascii="宋体"/>
      <w:sz w:val="24"/>
      <w:szCs w:val="22"/>
    </w:rPr>
  </w:style>
  <w:style w:type="character" w:customStyle="1" w:styleId="96">
    <w:name w:val="纯文本 字符"/>
    <w:basedOn w:val="41"/>
    <w:link w:val="20"/>
    <w:qFormat/>
    <w:uiPriority w:val="0"/>
    <w:rPr>
      <w:rFonts w:ascii="宋体" w:hAnsi="Courier New"/>
      <w:kern w:val="0"/>
      <w:sz w:val="28"/>
      <w:szCs w:val="20"/>
      <w:lang w:eastAsia="en-US" w:bidi="en-US"/>
    </w:rPr>
  </w:style>
  <w:style w:type="character" w:customStyle="1" w:styleId="97">
    <w:name w:val="正文文本缩进 2 字符"/>
    <w:basedOn w:val="41"/>
    <w:link w:val="23"/>
    <w:qFormat/>
    <w:uiPriority w:val="0"/>
    <w:rPr>
      <w:szCs w:val="22"/>
    </w:rPr>
  </w:style>
  <w:style w:type="character" w:customStyle="1" w:styleId="98">
    <w:name w:val="正文文本缩进 3 字符"/>
    <w:basedOn w:val="41"/>
    <w:link w:val="31"/>
    <w:qFormat/>
    <w:uiPriority w:val="99"/>
    <w:rPr>
      <w:kern w:val="0"/>
      <w:sz w:val="16"/>
      <w:szCs w:val="16"/>
      <w:lang w:eastAsia="en-US" w:bidi="en-US"/>
    </w:rPr>
  </w:style>
  <w:style w:type="character" w:customStyle="1" w:styleId="99">
    <w:name w:val="正文文本首行缩进 字符"/>
    <w:basedOn w:val="92"/>
    <w:link w:val="37"/>
    <w:qFormat/>
    <w:uiPriority w:val="0"/>
    <w:rPr>
      <w:kern w:val="0"/>
      <w:szCs w:val="24"/>
      <w:lang w:eastAsia="en-US" w:bidi="en-US"/>
    </w:rPr>
  </w:style>
  <w:style w:type="character" w:customStyle="1" w:styleId="100">
    <w:name w:val="正文文本首行缩进 2 字符"/>
    <w:basedOn w:val="95"/>
    <w:link w:val="38"/>
    <w:qFormat/>
    <w:uiPriority w:val="0"/>
    <w:rPr>
      <w:rFonts w:ascii="宋体"/>
      <w:sz w:val="24"/>
      <w:szCs w:val="24"/>
    </w:rPr>
  </w:style>
  <w:style w:type="paragraph" w:customStyle="1" w:styleId="101">
    <w:name w:val="1 表头"/>
    <w:basedOn w:val="1"/>
    <w:qFormat/>
    <w:uiPriority w:val="0"/>
    <w:pPr>
      <w:adjustRightInd w:val="0"/>
      <w:snapToGrid w:val="0"/>
      <w:spacing w:line="240" w:lineRule="auto"/>
      <w:ind w:firstLine="0" w:firstLineChars="0"/>
      <w:jc w:val="center"/>
    </w:pPr>
    <w:rPr>
      <w:b/>
      <w:color w:val="000000"/>
      <w:kern w:val="2"/>
      <w:sz w:val="21"/>
      <w:szCs w:val="21"/>
    </w:rPr>
  </w:style>
  <w:style w:type="paragraph" w:customStyle="1" w:styleId="102">
    <w:name w:val="表格内"/>
    <w:basedOn w:val="1"/>
    <w:qFormat/>
    <w:uiPriority w:val="0"/>
    <w:pPr>
      <w:adjustRightInd w:val="0"/>
      <w:spacing w:line="240" w:lineRule="atLeast"/>
      <w:ind w:firstLine="0" w:firstLineChars="0"/>
      <w:jc w:val="center"/>
      <w:textAlignment w:val="baseline"/>
    </w:pPr>
    <w:rPr>
      <w:rFonts w:ascii="宋体"/>
      <w:sz w:val="28"/>
    </w:rPr>
  </w:style>
  <w:style w:type="character" w:customStyle="1" w:styleId="103">
    <w:name w:val="Body text + Spacing 0 pt"/>
    <w:qFormat/>
    <w:uiPriority w:val="0"/>
    <w:rPr>
      <w:rFonts w:ascii="MingLiU" w:hAnsi="MingLiU" w:eastAsia="MingLiU" w:cs="MingLiU"/>
      <w:color w:val="000000"/>
      <w:spacing w:val="-10"/>
      <w:w w:val="100"/>
      <w:position w:val="0"/>
      <w:sz w:val="22"/>
      <w:szCs w:val="22"/>
      <w:u w:val="none"/>
      <w:lang w:val="en-US"/>
    </w:rPr>
  </w:style>
  <w:style w:type="paragraph" w:customStyle="1" w:styleId="104">
    <w:name w:val="正文格式"/>
    <w:basedOn w:val="37"/>
    <w:qFormat/>
    <w:uiPriority w:val="0"/>
    <w:pPr>
      <w:spacing w:after="0" w:line="360" w:lineRule="auto"/>
      <w:ind w:firstLine="200" w:firstLineChars="200"/>
    </w:pPr>
    <w:rPr>
      <w:rFonts w:ascii="宋体"/>
      <w:sz w:val="24"/>
    </w:rPr>
  </w:style>
  <w:style w:type="paragraph" w:customStyle="1" w:styleId="105">
    <w:name w:val="报告正文"/>
    <w:basedOn w:val="106"/>
    <w:qFormat/>
    <w:uiPriority w:val="0"/>
    <w:pPr>
      <w:widowControl w:val="0"/>
      <w:snapToGrid w:val="0"/>
      <w:spacing w:line="360" w:lineRule="auto"/>
      <w:ind w:firstLine="200" w:firstLineChars="200"/>
    </w:pPr>
    <w:rPr>
      <w:rFonts w:ascii="Times New Roman" w:hAnsi="Times New Roman" w:cs="Times New Roman"/>
      <w:snapToGrid w:val="0"/>
      <w:sz w:val="24"/>
      <w:szCs w:val="28"/>
    </w:rPr>
  </w:style>
  <w:style w:type="paragraph" w:customStyle="1" w:styleId="106">
    <w:name w:val="p17"/>
    <w:basedOn w:val="1"/>
    <w:qFormat/>
    <w:uiPriority w:val="0"/>
    <w:pPr>
      <w:widowControl/>
      <w:spacing w:line="320" w:lineRule="exact"/>
      <w:ind w:firstLine="0" w:firstLineChars="0"/>
    </w:pPr>
    <w:rPr>
      <w:rFonts w:ascii="宋体" w:hAnsi="宋体" w:cs="宋体"/>
      <w:sz w:val="21"/>
      <w:szCs w:val="21"/>
    </w:rPr>
  </w:style>
  <w:style w:type="paragraph" w:customStyle="1" w:styleId="107">
    <w:name w:val="标题三A"/>
    <w:basedOn w:val="4"/>
    <w:qFormat/>
    <w:uiPriority w:val="0"/>
    <w:pPr>
      <w:keepNext w:val="0"/>
      <w:keepLines w:val="0"/>
      <w:spacing w:before="0" w:after="0" w:line="500" w:lineRule="exact"/>
    </w:pPr>
    <w:rPr>
      <w:kern w:val="2"/>
      <w:szCs w:val="28"/>
    </w:rPr>
  </w:style>
  <w:style w:type="paragraph" w:customStyle="1" w:styleId="108">
    <w:name w:val="正文!!!!!!!!!!!"/>
    <w:basedOn w:val="109"/>
    <w:qFormat/>
    <w:uiPriority w:val="0"/>
    <w:pPr>
      <w:ind w:firstLine="480"/>
    </w:pPr>
    <w:rPr>
      <w:rFonts w:ascii="华文仿宋" w:hAnsi="华文仿宋" w:eastAsia="华文仿宋" w:cs="华文仿宋"/>
    </w:rPr>
  </w:style>
  <w:style w:type="paragraph" w:customStyle="1" w:styleId="109">
    <w:name w:val="正文 楷体"/>
    <w:basedOn w:val="1"/>
    <w:qFormat/>
    <w:uiPriority w:val="0"/>
    <w:pPr>
      <w:spacing w:line="500" w:lineRule="exact"/>
    </w:pPr>
    <w:rPr>
      <w:rFonts w:ascii="楷体_GB2312" w:hAnsi="楷体_GB2312" w:eastAsia="楷体_GB2312" w:cs="宋体"/>
      <w:kern w:val="2"/>
      <w:szCs w:val="24"/>
    </w:rPr>
  </w:style>
  <w:style w:type="paragraph" w:customStyle="1" w:styleId="110">
    <w:name w:val="表中文字"/>
    <w:qFormat/>
    <w:uiPriority w:val="0"/>
    <w:pPr>
      <w:widowControl w:val="0"/>
      <w:adjustRightInd w:val="0"/>
      <w:spacing w:line="280" w:lineRule="exact"/>
      <w:jc w:val="center"/>
      <w:textAlignment w:val="center"/>
    </w:pPr>
    <w:rPr>
      <w:rFonts w:ascii="Times New Roman" w:hAnsi="Times New Roman" w:eastAsia="宋体" w:cs="Times New Roman"/>
      <w:sz w:val="21"/>
      <w:szCs w:val="15"/>
      <w:lang w:val="de-DE" w:eastAsia="zh-CN" w:bidi="ar-SA"/>
    </w:rPr>
  </w:style>
  <w:style w:type="paragraph" w:customStyle="1" w:styleId="111">
    <w:name w:val="三级标题"/>
    <w:basedOn w:val="20"/>
    <w:next w:val="105"/>
    <w:qFormat/>
    <w:uiPriority w:val="0"/>
    <w:pPr>
      <w:spacing w:line="360" w:lineRule="auto"/>
      <w:outlineLvl w:val="2"/>
    </w:pPr>
    <w:rPr>
      <w:b/>
      <w:snapToGrid w:val="0"/>
      <w:sz w:val="24"/>
      <w:szCs w:val="28"/>
    </w:rPr>
  </w:style>
  <w:style w:type="paragraph" w:customStyle="1" w:styleId="112">
    <w:name w:val="Body text|1"/>
    <w:basedOn w:val="1"/>
    <w:qFormat/>
    <w:uiPriority w:val="0"/>
    <w:pPr>
      <w:spacing w:line="408" w:lineRule="auto"/>
      <w:ind w:firstLine="400" w:firstLineChars="0"/>
    </w:pPr>
    <w:rPr>
      <w:rFonts w:ascii="MingLiU" w:hAnsi="MingLiU" w:eastAsia="MingLiU" w:cs="MingLiU"/>
      <w:kern w:val="2"/>
      <w:sz w:val="19"/>
      <w:szCs w:val="19"/>
      <w:lang w:val="zh-TW" w:eastAsia="zh-TW" w:bidi="zh-TW"/>
    </w:rPr>
  </w:style>
  <w:style w:type="paragraph" w:customStyle="1" w:styleId="113">
    <w:name w:val="Table Paragraph"/>
    <w:basedOn w:val="1"/>
    <w:qFormat/>
    <w:uiPriority w:val="1"/>
    <w:pPr>
      <w:autoSpaceDE w:val="0"/>
      <w:autoSpaceDN w:val="0"/>
      <w:spacing w:line="240" w:lineRule="auto"/>
      <w:ind w:firstLine="0" w:firstLineChars="0"/>
      <w:jc w:val="center"/>
    </w:pPr>
    <w:rPr>
      <w:rFonts w:ascii="宋体" w:hAnsi="宋体" w:cs="宋体"/>
      <w:sz w:val="22"/>
      <w:szCs w:val="22"/>
      <w:lang w:val="zh-CN" w:bidi="zh-CN"/>
    </w:rPr>
  </w:style>
  <w:style w:type="paragraph" w:customStyle="1" w:styleId="114">
    <w:name w:val="表格表题"/>
    <w:basedOn w:val="1"/>
    <w:qFormat/>
    <w:uiPriority w:val="0"/>
    <w:pPr>
      <w:autoSpaceDE w:val="0"/>
      <w:autoSpaceDN w:val="0"/>
      <w:adjustRightInd w:val="0"/>
      <w:spacing w:line="480" w:lineRule="atLeast"/>
      <w:ind w:firstLine="0" w:firstLineChars="0"/>
      <w:jc w:val="center"/>
      <w:textAlignment w:val="baseline"/>
    </w:pPr>
    <w:rPr>
      <w:rFonts w:ascii="黑体" w:eastAsia="黑体"/>
      <w:kern w:val="16"/>
      <w:sz w:val="21"/>
      <w:szCs w:val="22"/>
    </w:rPr>
  </w:style>
  <w:style w:type="paragraph" w:customStyle="1" w:styleId="115">
    <w:name w:val="标题四A"/>
    <w:basedOn w:val="1"/>
    <w:qFormat/>
    <w:uiPriority w:val="0"/>
    <w:pPr>
      <w:spacing w:line="500" w:lineRule="exact"/>
      <w:ind w:firstLine="0" w:firstLineChars="0"/>
      <w:outlineLvl w:val="3"/>
    </w:pPr>
    <w:rPr>
      <w:b/>
      <w:szCs w:val="24"/>
    </w:rPr>
  </w:style>
  <w:style w:type="paragraph" w:customStyle="1" w:styleId="116">
    <w:name w:val="标题二A"/>
    <w:basedOn w:val="1"/>
    <w:qFormat/>
    <w:uiPriority w:val="0"/>
    <w:pPr>
      <w:spacing w:before="120" w:after="120" w:line="500" w:lineRule="exact"/>
      <w:ind w:firstLine="0" w:firstLineChars="0"/>
      <w:outlineLvl w:val="1"/>
    </w:pPr>
    <w:rPr>
      <w:rFonts w:cs="楷体_GB2312"/>
      <w:b/>
      <w:bCs/>
      <w:kern w:val="2"/>
      <w:sz w:val="30"/>
      <w:szCs w:val="30"/>
    </w:rPr>
  </w:style>
  <w:style w:type="paragraph" w:customStyle="1" w:styleId="117">
    <w:name w:val="表格"/>
    <w:basedOn w:val="29"/>
    <w:next w:val="1"/>
    <w:link w:val="178"/>
    <w:qFormat/>
    <w:uiPriority w:val="0"/>
    <w:pPr>
      <w:spacing w:beforeLines="50" w:afterLines="50" w:line="360" w:lineRule="auto"/>
      <w:ind w:firstLine="480" w:firstLineChars="200"/>
      <w:jc w:val="center"/>
    </w:pPr>
    <w:rPr>
      <w:rFonts w:ascii="Arial" w:hAnsi="Arial" w:cs="Arial"/>
      <w:szCs w:val="21"/>
    </w:rPr>
  </w:style>
  <w:style w:type="paragraph" w:customStyle="1" w:styleId="118">
    <w:name w:val="表格标题"/>
    <w:basedOn w:val="1"/>
    <w:next w:val="12"/>
    <w:link w:val="180"/>
    <w:qFormat/>
    <w:uiPriority w:val="0"/>
    <w:pPr>
      <w:autoSpaceDE w:val="0"/>
      <w:autoSpaceDN w:val="0"/>
      <w:adjustRightInd w:val="0"/>
      <w:snapToGrid w:val="0"/>
      <w:spacing w:line="320" w:lineRule="exact"/>
      <w:ind w:firstLine="0" w:firstLineChars="0"/>
      <w:jc w:val="center"/>
      <w:textAlignment w:val="baseline"/>
    </w:pPr>
    <w:rPr>
      <w:sz w:val="21"/>
      <w:szCs w:val="22"/>
    </w:rPr>
  </w:style>
  <w:style w:type="paragraph" w:customStyle="1" w:styleId="119">
    <w:name w:val="表后空格"/>
    <w:basedOn w:val="109"/>
    <w:qFormat/>
    <w:uiPriority w:val="0"/>
    <w:pPr>
      <w:spacing w:line="240" w:lineRule="exact"/>
      <w:ind w:firstLine="480"/>
    </w:pPr>
  </w:style>
  <w:style w:type="paragraph" w:customStyle="1" w:styleId="120">
    <w:name w:val="！正文"/>
    <w:basedOn w:val="1"/>
    <w:qFormat/>
    <w:uiPriority w:val="0"/>
    <w:pPr>
      <w:spacing w:line="500" w:lineRule="exact"/>
      <w:ind w:firstLine="0" w:firstLineChars="0"/>
    </w:pPr>
    <w:rPr>
      <w:rFonts w:eastAsia="Times New Roman"/>
      <w:kern w:val="2"/>
      <w:sz w:val="21"/>
      <w:szCs w:val="24"/>
    </w:rPr>
  </w:style>
  <w:style w:type="paragraph" w:customStyle="1" w:styleId="121">
    <w:name w:val="表头"/>
    <w:basedOn w:val="8"/>
    <w:next w:val="1"/>
    <w:qFormat/>
    <w:uiPriority w:val="0"/>
    <w:pPr>
      <w:spacing w:line="500" w:lineRule="exact"/>
      <w:jc w:val="center"/>
    </w:pPr>
    <w:rPr>
      <w:rFonts w:ascii="楷体_GB2312" w:hAnsi="楷体_GB2312" w:eastAsia="楷体_GB2312" w:cs="楷体_GB2312"/>
      <w:b/>
      <w:sz w:val="24"/>
    </w:rPr>
  </w:style>
  <w:style w:type="paragraph" w:customStyle="1" w:styleId="122">
    <w:name w:val="兴化美联正文样式"/>
    <w:basedOn w:val="1"/>
    <w:qFormat/>
    <w:uiPriority w:val="0"/>
    <w:pPr>
      <w:widowControl/>
      <w:spacing w:line="560" w:lineRule="exact"/>
      <w:ind w:firstLine="480"/>
      <w:jc w:val="left"/>
    </w:pPr>
    <w:rPr>
      <w:rFonts w:ascii="宋体" w:hAnsi="宋体" w:cs="宋体"/>
      <w:color w:val="000000"/>
      <w:szCs w:val="24"/>
    </w:rPr>
  </w:style>
  <w:style w:type="paragraph" w:customStyle="1" w:styleId="123">
    <w:name w:val="表格文字样式14"/>
    <w:basedOn w:val="118"/>
    <w:qFormat/>
    <w:uiPriority w:val="0"/>
    <w:pPr>
      <w:overflowPunct w:val="0"/>
      <w:autoSpaceDE/>
      <w:autoSpaceDN/>
      <w:spacing w:line="240" w:lineRule="auto"/>
      <w:textAlignment w:val="auto"/>
    </w:pPr>
    <w:rPr>
      <w:rFonts w:ascii="宋体" w:hAnsi="宋体"/>
      <w:bCs/>
      <w:snapToGrid w:val="0"/>
      <w:szCs w:val="21"/>
    </w:rPr>
  </w:style>
  <w:style w:type="paragraph" w:customStyle="1" w:styleId="124">
    <w:name w:val="正文-ls"/>
    <w:basedOn w:val="1"/>
    <w:qFormat/>
    <w:uiPriority w:val="0"/>
    <w:rPr>
      <w:rFonts w:hAnsi="宋体" w:cs="宋体"/>
      <w:kern w:val="2"/>
    </w:rPr>
  </w:style>
  <w:style w:type="paragraph" w:customStyle="1" w:styleId="125">
    <w:name w:val="缩进"/>
    <w:basedOn w:val="1"/>
    <w:qFormat/>
    <w:uiPriority w:val="0"/>
    <w:rPr>
      <w:kern w:val="2"/>
      <w:szCs w:val="24"/>
    </w:rPr>
  </w:style>
  <w:style w:type="paragraph" w:customStyle="1" w:styleId="126">
    <w:name w:val="表内字"/>
    <w:basedOn w:val="1"/>
    <w:qFormat/>
    <w:uiPriority w:val="0"/>
    <w:pPr>
      <w:spacing w:line="320" w:lineRule="exact"/>
      <w:ind w:firstLine="0" w:firstLineChars="0"/>
      <w:jc w:val="center"/>
    </w:pPr>
    <w:rPr>
      <w:sz w:val="21"/>
      <w:szCs w:val="24"/>
    </w:rPr>
  </w:style>
  <w:style w:type="paragraph" w:customStyle="1" w:styleId="127">
    <w:name w:val="Body text|2"/>
    <w:basedOn w:val="1"/>
    <w:qFormat/>
    <w:uiPriority w:val="0"/>
    <w:pPr>
      <w:spacing w:after="80" w:line="394" w:lineRule="exact"/>
      <w:ind w:firstLine="480" w:firstLineChars="0"/>
    </w:pPr>
    <w:rPr>
      <w:rFonts w:eastAsia="Times New Roman"/>
      <w:b/>
      <w:bCs/>
      <w:color w:val="000000"/>
      <w:kern w:val="2"/>
      <w:sz w:val="19"/>
      <w:szCs w:val="19"/>
    </w:rPr>
  </w:style>
  <w:style w:type="paragraph" w:customStyle="1" w:styleId="128">
    <w:name w:val="标题四"/>
    <w:next w:val="120"/>
    <w:qFormat/>
    <w:uiPriority w:val="0"/>
    <w:pPr>
      <w:numPr>
        <w:ilvl w:val="3"/>
        <w:numId w:val="1"/>
      </w:numPr>
      <w:spacing w:line="360" w:lineRule="auto"/>
      <w:jc w:val="both"/>
      <w:outlineLvl w:val="3"/>
    </w:pPr>
    <w:rPr>
      <w:rFonts w:ascii="宋体" w:hAnsi="Calibri" w:eastAsia="宋体" w:cs="宋体"/>
      <w:b/>
      <w:kern w:val="2"/>
      <w:sz w:val="24"/>
      <w:szCs w:val="24"/>
      <w:lang w:val="en-US" w:eastAsia="zh-CN" w:bidi="ar-SA"/>
    </w:rPr>
  </w:style>
  <w:style w:type="paragraph" w:customStyle="1" w:styleId="129">
    <w:name w:val="样式 正文首行缩进 + 首行缩进:  2 字符1"/>
    <w:basedOn w:val="37"/>
    <w:qFormat/>
    <w:uiPriority w:val="0"/>
    <w:pPr>
      <w:spacing w:after="0" w:line="360" w:lineRule="auto"/>
      <w:ind w:firstLine="480" w:firstLineChars="200"/>
    </w:pPr>
    <w:rPr>
      <w:sz w:val="24"/>
    </w:rPr>
  </w:style>
  <w:style w:type="paragraph" w:customStyle="1" w:styleId="130">
    <w:name w:val="农贸市场表格表头"/>
    <w:basedOn w:val="1"/>
    <w:qFormat/>
    <w:uiPriority w:val="0"/>
    <w:pPr>
      <w:spacing w:line="240" w:lineRule="auto"/>
      <w:ind w:firstLine="0" w:firstLineChars="0"/>
      <w:jc w:val="center"/>
    </w:pPr>
    <w:rPr>
      <w:rFonts w:ascii="宋体" w:hAnsi="宋体" w:cs="仿宋_GB2312"/>
      <w:b/>
      <w:sz w:val="21"/>
      <w:szCs w:val="21"/>
    </w:rPr>
  </w:style>
  <w:style w:type="paragraph" w:customStyle="1" w:styleId="131">
    <w:name w:val="表格文字"/>
    <w:basedOn w:val="12"/>
    <w:next w:val="1"/>
    <w:qFormat/>
    <w:uiPriority w:val="0"/>
    <w:pPr>
      <w:widowControl w:val="0"/>
      <w:tabs>
        <w:tab w:val="left" w:pos="1119"/>
      </w:tabs>
      <w:spacing w:after="0"/>
      <w:ind w:left="-90" w:leftChars="-43"/>
    </w:pPr>
    <w:rPr>
      <w:snapToGrid w:val="0"/>
      <w:color w:val="000000"/>
      <w:sz w:val="18"/>
      <w:szCs w:val="18"/>
      <w:lang w:eastAsia="zh-CN" w:bidi="ar-SA"/>
    </w:rPr>
  </w:style>
  <w:style w:type="paragraph" w:customStyle="1" w:styleId="132">
    <w:name w:val="表头标题格式"/>
    <w:basedOn w:val="1"/>
    <w:qFormat/>
    <w:uiPriority w:val="0"/>
    <w:pPr>
      <w:tabs>
        <w:tab w:val="left" w:pos="360"/>
        <w:tab w:val="left" w:pos="1620"/>
      </w:tabs>
      <w:ind w:firstLine="0" w:firstLineChars="0"/>
      <w:jc w:val="center"/>
    </w:pPr>
    <w:rPr>
      <w:rFonts w:ascii="黑体" w:hAnsi="宋体" w:eastAsia="黑体" w:cs="宋体"/>
      <w:b/>
      <w:bCs/>
      <w:kern w:val="2"/>
    </w:rPr>
  </w:style>
  <w:style w:type="paragraph" w:customStyle="1" w:styleId="133">
    <w:name w:val="样式 表格标题 + 段前: 0.5 行2"/>
    <w:basedOn w:val="1"/>
    <w:qFormat/>
    <w:uiPriority w:val="0"/>
    <w:pPr>
      <w:autoSpaceDE w:val="0"/>
      <w:autoSpaceDN w:val="0"/>
      <w:adjustRightInd w:val="0"/>
      <w:spacing w:beforeLines="50" w:line="400" w:lineRule="exact"/>
      <w:ind w:firstLine="0" w:firstLineChars="0"/>
      <w:jc w:val="center"/>
    </w:pPr>
    <w:rPr>
      <w:rFonts w:ascii="宋体" w:eastAsia="黑体" w:cs="宋体"/>
      <w:kern w:val="2"/>
      <w:lang w:val="zh-CN"/>
    </w:rPr>
  </w:style>
  <w:style w:type="paragraph" w:customStyle="1" w:styleId="134">
    <w:name w:val="样式 正文缩进正文缩进2正文缩进 Char Char正文缩进 Char Char Char Char正文缩进 Char ..."/>
    <w:basedOn w:val="8"/>
    <w:qFormat/>
    <w:uiPriority w:val="0"/>
    <w:pPr>
      <w:spacing w:line="360" w:lineRule="auto"/>
      <w:ind w:firstLine="200"/>
    </w:pPr>
    <w:rPr>
      <w:rFonts w:cs="宋体"/>
      <w:sz w:val="24"/>
    </w:rPr>
  </w:style>
  <w:style w:type="paragraph" w:styleId="135">
    <w:name w:val="List Paragraph"/>
    <w:basedOn w:val="1"/>
    <w:next w:val="20"/>
    <w:qFormat/>
    <w:uiPriority w:val="99"/>
    <w:pPr>
      <w:spacing w:line="320" w:lineRule="exact"/>
      <w:ind w:firstLine="0" w:firstLineChars="0"/>
    </w:pPr>
    <w:rPr>
      <w:kern w:val="2"/>
      <w:sz w:val="21"/>
    </w:rPr>
  </w:style>
  <w:style w:type="paragraph" w:customStyle="1" w:styleId="136">
    <w:name w:val="表文字"/>
    <w:basedOn w:val="1"/>
    <w:qFormat/>
    <w:uiPriority w:val="0"/>
    <w:pPr>
      <w:overflowPunct w:val="0"/>
      <w:autoSpaceDE w:val="0"/>
      <w:autoSpaceDN w:val="0"/>
      <w:adjustRightInd w:val="0"/>
      <w:spacing w:line="240" w:lineRule="atLeast"/>
      <w:ind w:firstLine="0" w:firstLineChars="0"/>
      <w:jc w:val="center"/>
      <w:textAlignment w:val="baseline"/>
    </w:pPr>
    <w:rPr>
      <w:szCs w:val="22"/>
    </w:rPr>
  </w:style>
  <w:style w:type="paragraph" w:customStyle="1" w:styleId="137">
    <w:name w:val="正文部分"/>
    <w:semiHidden/>
    <w:qFormat/>
    <w:uiPriority w:val="0"/>
    <w:pPr>
      <w:widowControl w:val="0"/>
      <w:ind w:firstLine="200" w:firstLineChars="200"/>
      <w:jc w:val="both"/>
    </w:pPr>
    <w:rPr>
      <w:rFonts w:ascii="宋体" w:hAnsi="宋体" w:eastAsia="宋体" w:cs="Times New Roman"/>
      <w:sz w:val="24"/>
      <w:szCs w:val="24"/>
      <w:lang w:val="en-US" w:eastAsia="zh-CN" w:bidi="ar-SA"/>
    </w:rPr>
  </w:style>
  <w:style w:type="paragraph" w:customStyle="1" w:styleId="138">
    <w:name w:val="标题一A"/>
    <w:basedOn w:val="1"/>
    <w:qFormat/>
    <w:uiPriority w:val="0"/>
    <w:pPr>
      <w:widowControl/>
      <w:spacing w:line="480" w:lineRule="auto"/>
      <w:ind w:firstLine="0" w:firstLineChars="0"/>
      <w:jc w:val="center"/>
      <w:outlineLvl w:val="0"/>
    </w:pPr>
    <w:rPr>
      <w:b/>
      <w:kern w:val="2"/>
      <w:sz w:val="32"/>
      <w:szCs w:val="32"/>
    </w:rPr>
  </w:style>
  <w:style w:type="paragraph" w:customStyle="1" w:styleId="139">
    <w:name w:val="表头A"/>
    <w:basedOn w:val="121"/>
    <w:qFormat/>
    <w:uiPriority w:val="0"/>
    <w:pPr>
      <w:spacing w:line="400" w:lineRule="exact"/>
    </w:pPr>
    <w:rPr>
      <w:rFonts w:ascii="Times New Roman" w:hAnsi="Times New Roman" w:eastAsia="宋体" w:cs="Times New Roman"/>
    </w:rPr>
  </w:style>
  <w:style w:type="paragraph" w:customStyle="1" w:styleId="140">
    <w:name w:val="二级标题"/>
    <w:basedOn w:val="20"/>
    <w:qFormat/>
    <w:uiPriority w:val="0"/>
    <w:pPr>
      <w:spacing w:before="100" w:beforeAutospacing="1" w:after="100" w:afterAutospacing="1"/>
      <w:outlineLvl w:val="1"/>
    </w:pPr>
    <w:rPr>
      <w:b/>
      <w:snapToGrid w:val="0"/>
      <w:szCs w:val="28"/>
    </w:rPr>
  </w:style>
  <w:style w:type="paragraph" w:customStyle="1" w:styleId="141">
    <w:name w:val="6-表中文字"/>
    <w:basedOn w:val="1"/>
    <w:qFormat/>
    <w:uiPriority w:val="0"/>
    <w:pPr>
      <w:adjustRightInd w:val="0"/>
      <w:snapToGrid w:val="0"/>
      <w:spacing w:line="240" w:lineRule="auto"/>
      <w:ind w:firstLine="0" w:firstLineChars="0"/>
      <w:jc w:val="center"/>
      <w:textAlignment w:val="center"/>
    </w:pPr>
    <w:rPr>
      <w:rFonts w:eastAsia="华文中宋"/>
      <w:sz w:val="21"/>
      <w:szCs w:val="21"/>
    </w:rPr>
  </w:style>
  <w:style w:type="paragraph" w:customStyle="1" w:styleId="142">
    <w:name w:val="表格标题 五号"/>
    <w:basedOn w:val="133"/>
    <w:qFormat/>
    <w:uiPriority w:val="0"/>
    <w:pPr>
      <w:spacing w:beforeLines="0" w:after="120"/>
    </w:pPr>
    <w:rPr>
      <w:rFonts w:eastAsia="宋体"/>
      <w:b/>
      <w:snapToGrid w:val="0"/>
      <w:sz w:val="21"/>
    </w:rPr>
  </w:style>
  <w:style w:type="paragraph" w:customStyle="1" w:styleId="143">
    <w:name w:val="Body text|221"/>
    <w:basedOn w:val="1"/>
    <w:qFormat/>
    <w:uiPriority w:val="0"/>
    <w:pPr>
      <w:shd w:val="clear" w:color="auto" w:fill="FFFFFF"/>
      <w:spacing w:before="240" w:line="451" w:lineRule="exact"/>
      <w:ind w:hanging="620" w:firstLineChars="0"/>
      <w:jc w:val="distribute"/>
    </w:pPr>
    <w:rPr>
      <w:rFonts w:ascii="PMingLiU" w:hAnsi="PMingLiU" w:eastAsia="PMingLiU" w:cs="PMingLiU"/>
      <w:spacing w:val="10"/>
      <w:kern w:val="2"/>
      <w:sz w:val="22"/>
      <w:szCs w:val="22"/>
    </w:rPr>
  </w:style>
  <w:style w:type="paragraph" w:customStyle="1" w:styleId="144">
    <w:name w:val="正文邓"/>
    <w:basedOn w:val="145"/>
    <w:qFormat/>
    <w:uiPriority w:val="0"/>
    <w:pPr>
      <w:adjustRightInd w:val="0"/>
      <w:ind w:firstLine="600" w:firstLineChars="250"/>
    </w:pPr>
    <w:rPr>
      <w:rFonts w:ascii="仿宋" w:hAnsi="仿宋" w:eastAsia="仿宋"/>
      <w:bCs/>
      <w:kern w:val="0"/>
    </w:rPr>
  </w:style>
  <w:style w:type="paragraph" w:customStyle="1" w:styleId="145">
    <w:name w:val="邓正文"/>
    <w:basedOn w:val="1"/>
    <w:qFormat/>
    <w:uiPriority w:val="0"/>
    <w:pPr>
      <w:snapToGrid w:val="0"/>
      <w:ind w:firstLine="360" w:firstLineChars="150"/>
      <w:jc w:val="left"/>
    </w:pPr>
    <w:rPr>
      <w:rFonts w:ascii="宋体" w:hAnsi="宋体" w:eastAsia="仿宋_GB2312"/>
      <w:color w:val="000000"/>
      <w:kern w:val="2"/>
      <w:szCs w:val="24"/>
    </w:rPr>
  </w:style>
  <w:style w:type="paragraph" w:customStyle="1" w:styleId="146">
    <w:name w:val="邓表格文字"/>
    <w:basedOn w:val="147"/>
    <w:qFormat/>
    <w:uiPriority w:val="0"/>
    <w:pPr>
      <w:spacing w:line="220" w:lineRule="exact"/>
    </w:pPr>
    <w:rPr>
      <w:rFonts w:eastAsia="宋体"/>
      <w:kern w:val="0"/>
      <w:sz w:val="15"/>
      <w:szCs w:val="15"/>
    </w:rPr>
  </w:style>
  <w:style w:type="paragraph" w:customStyle="1" w:styleId="147">
    <w:name w:val="表格文字邓"/>
    <w:basedOn w:val="1"/>
    <w:qFormat/>
    <w:uiPriority w:val="0"/>
    <w:pPr>
      <w:widowControl/>
      <w:snapToGrid w:val="0"/>
      <w:spacing w:line="200" w:lineRule="exact"/>
      <w:ind w:firstLine="0" w:firstLineChars="0"/>
      <w:jc w:val="center"/>
    </w:pPr>
    <w:rPr>
      <w:rFonts w:ascii="宋体" w:hAnsi="宋体" w:eastAsia="华文中宋"/>
      <w:color w:val="000000"/>
      <w:kern w:val="2"/>
      <w:sz w:val="18"/>
      <w:szCs w:val="18"/>
    </w:rPr>
  </w:style>
  <w:style w:type="paragraph" w:customStyle="1" w:styleId="148">
    <w:name w:val="付正文"/>
    <w:basedOn w:val="1"/>
    <w:semiHidden/>
    <w:qFormat/>
    <w:uiPriority w:val="0"/>
    <w:rPr>
      <w:rFonts w:ascii="宋体"/>
      <w:color w:val="000000"/>
      <w:kern w:val="2"/>
      <w:szCs w:val="21"/>
    </w:rPr>
  </w:style>
  <w:style w:type="paragraph" w:customStyle="1" w:styleId="149">
    <w:name w:val="我"/>
    <w:basedOn w:val="1"/>
    <w:qFormat/>
    <w:uiPriority w:val="0"/>
    <w:pPr>
      <w:spacing w:line="320" w:lineRule="exact"/>
      <w:ind w:firstLine="640" w:firstLineChars="0"/>
    </w:pPr>
    <w:rPr>
      <w:sz w:val="21"/>
    </w:rPr>
  </w:style>
  <w:style w:type="paragraph" w:customStyle="1" w:styleId="150">
    <w:name w:val="正文小四首缩1.3行距"/>
    <w:basedOn w:val="1"/>
    <w:qFormat/>
    <w:uiPriority w:val="0"/>
    <w:rPr>
      <w:rFonts w:ascii="宋体" w:hAnsi="宋体" w:cs="宋体"/>
      <w:kern w:val="2"/>
      <w:szCs w:val="22"/>
    </w:rPr>
  </w:style>
  <w:style w:type="paragraph" w:customStyle="1" w:styleId="151">
    <w:name w:val="表格内容"/>
    <w:basedOn w:val="8"/>
    <w:qFormat/>
    <w:uiPriority w:val="0"/>
    <w:pPr>
      <w:ind w:firstLine="0"/>
      <w:jc w:val="center"/>
    </w:pPr>
    <w:rPr>
      <w:sz w:val="18"/>
      <w:szCs w:val="20"/>
    </w:rPr>
  </w:style>
  <w:style w:type="paragraph" w:customStyle="1" w:styleId="152">
    <w:name w:val="样式 样式 报告正文 + 宋体 五号 黑色 + 五号"/>
    <w:basedOn w:val="1"/>
    <w:link w:val="157"/>
    <w:qFormat/>
    <w:uiPriority w:val="0"/>
    <w:pPr>
      <w:adjustRightInd w:val="0"/>
      <w:snapToGrid w:val="0"/>
      <w:spacing w:line="500" w:lineRule="exact"/>
    </w:pPr>
    <w:rPr>
      <w:b/>
      <w:bCs/>
      <w:color w:val="000000"/>
      <w:kern w:val="2"/>
      <w:sz w:val="21"/>
      <w:szCs w:val="22"/>
    </w:rPr>
  </w:style>
  <w:style w:type="paragraph" w:customStyle="1" w:styleId="153">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lang w:val="en-US" w:eastAsia="zh-CN" w:bidi="ar-SA"/>
    </w:rPr>
  </w:style>
  <w:style w:type="character" w:customStyle="1" w:styleId="154">
    <w:name w:val="纯文本 字符1"/>
    <w:qFormat/>
    <w:uiPriority w:val="0"/>
    <w:rPr>
      <w:rFonts w:hint="eastAsia" w:ascii="宋体" w:hAnsi="Courier New" w:eastAsia="宋体" w:cs="宋体"/>
      <w:sz w:val="28"/>
    </w:rPr>
  </w:style>
  <w:style w:type="paragraph" w:customStyle="1" w:styleId="155">
    <w:name w:val="样式 标题 1标题 1 Char标1 + 段前: 0.5 行 段后: 0.5 行1"/>
    <w:basedOn w:val="2"/>
    <w:semiHidden/>
    <w:qFormat/>
    <w:uiPriority w:val="0"/>
    <w:pPr>
      <w:keepLines w:val="0"/>
      <w:autoSpaceDE w:val="0"/>
      <w:autoSpaceDN w:val="0"/>
      <w:adjustRightInd w:val="0"/>
      <w:spacing w:beforeLines="50" w:afterLines="50" w:line="240" w:lineRule="auto"/>
      <w:ind w:left="153" w:leftChars="153" w:firstLine="50" w:firstLineChars="50"/>
      <w:textAlignment w:val="bottom"/>
    </w:pPr>
    <w:rPr>
      <w:rFonts w:ascii="黑体" w:hAnsi="Arial" w:eastAsia="黑体" w:cs="宋体"/>
      <w:b w:val="0"/>
      <w:bCs w:val="0"/>
      <w:kern w:val="0"/>
      <w:sz w:val="28"/>
      <w:szCs w:val="20"/>
      <w:lang w:val="zh-CN"/>
    </w:rPr>
  </w:style>
  <w:style w:type="paragraph" w:customStyle="1" w:styleId="156">
    <w:name w:val="xl63"/>
    <w:basedOn w:val="1"/>
    <w:qFormat/>
    <w:uiPriority w:val="0"/>
    <w:pPr>
      <w:widowControl/>
      <w:pBdr>
        <w:top w:val="single" w:color="auto" w:sz="8" w:space="0"/>
      </w:pBdr>
      <w:spacing w:before="100" w:after="100" w:line="240" w:lineRule="auto"/>
      <w:ind w:firstLine="0" w:firstLineChars="0"/>
      <w:jc w:val="center"/>
      <w:textAlignment w:val="top"/>
    </w:pPr>
    <w:rPr>
      <w:rFonts w:ascii="宋体"/>
    </w:rPr>
  </w:style>
  <w:style w:type="character" w:customStyle="1" w:styleId="157">
    <w:name w:val="样式 样式 报告正文 + 宋体 五号 黑色 + 五号 Char"/>
    <w:link w:val="152"/>
    <w:qFormat/>
    <w:uiPriority w:val="0"/>
    <w:rPr>
      <w:b/>
      <w:bCs/>
      <w:color w:val="000000"/>
      <w:szCs w:val="22"/>
    </w:rPr>
  </w:style>
  <w:style w:type="paragraph" w:customStyle="1" w:styleId="158">
    <w:name w:val="样式 (西文) Times New Roman (中文) 黑体 居中 行距: 1.5 倍行距"/>
    <w:basedOn w:val="1"/>
    <w:qFormat/>
    <w:uiPriority w:val="0"/>
    <w:pPr>
      <w:ind w:firstLine="0" w:firstLineChars="0"/>
      <w:jc w:val="center"/>
    </w:pPr>
    <w:rPr>
      <w:rFonts w:eastAsia="黑体" w:cs="宋体"/>
    </w:rPr>
  </w:style>
  <w:style w:type="paragraph" w:customStyle="1" w:styleId="159">
    <w:name w:val="样式 标题 3 + 黑体 小四 行距: 多倍行距 3 字行"/>
    <w:basedOn w:val="4"/>
    <w:qFormat/>
    <w:uiPriority w:val="0"/>
    <w:pPr>
      <w:keepLines w:val="0"/>
      <w:tabs>
        <w:tab w:val="left" w:pos="3600"/>
      </w:tabs>
      <w:spacing w:before="0" w:after="0" w:line="720" w:lineRule="auto"/>
      <w:textAlignment w:val="center"/>
    </w:pPr>
    <w:rPr>
      <w:rFonts w:ascii="黑体" w:hAnsi="宋体" w:eastAsia="黑体" w:cs="宋体"/>
      <w:b w:val="0"/>
      <w:bCs w:val="0"/>
      <w:sz w:val="24"/>
      <w:szCs w:val="20"/>
    </w:rPr>
  </w:style>
  <w:style w:type="paragraph" w:customStyle="1" w:styleId="160">
    <w:name w:val="样式 标题 4 + (西文) Times New Roman 行距: 固定值 25 磅"/>
    <w:basedOn w:val="5"/>
    <w:qFormat/>
    <w:uiPriority w:val="0"/>
    <w:pPr>
      <w:keepNext w:val="0"/>
      <w:tabs>
        <w:tab w:val="left" w:pos="851"/>
      </w:tabs>
      <w:spacing w:before="0" w:after="0"/>
      <w:ind w:left="851" w:hanging="851" w:firstLineChars="0"/>
    </w:pPr>
    <w:rPr>
      <w:rFonts w:eastAsia="黑体" w:cs="宋体"/>
      <w:b w:val="0"/>
      <w:bCs w:val="0"/>
      <w:snapToGrid w:val="0"/>
      <w:szCs w:val="24"/>
    </w:rPr>
  </w:style>
  <w:style w:type="paragraph" w:customStyle="1" w:styleId="161">
    <w:name w:val="列出段落1"/>
    <w:basedOn w:val="1"/>
    <w:qFormat/>
    <w:uiPriority w:val="99"/>
    <w:pPr>
      <w:spacing w:line="240" w:lineRule="auto"/>
      <w:ind w:firstLine="420"/>
    </w:pPr>
    <w:rPr>
      <w:rFonts w:ascii="Calibri" w:hAnsi="Calibri"/>
      <w:sz w:val="28"/>
      <w:szCs w:val="22"/>
    </w:rPr>
  </w:style>
  <w:style w:type="character" w:customStyle="1" w:styleId="162">
    <w:name w:val="0-正文 Char"/>
    <w:link w:val="163"/>
    <w:qFormat/>
    <w:uiPriority w:val="0"/>
    <w:rPr>
      <w:sz w:val="24"/>
    </w:rPr>
  </w:style>
  <w:style w:type="paragraph" w:customStyle="1" w:styleId="163">
    <w:name w:val="0-正文"/>
    <w:link w:val="162"/>
    <w:qFormat/>
    <w:uiPriority w:val="0"/>
    <w:pPr>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character" w:customStyle="1" w:styleId="164">
    <w:name w:val="题注 字符"/>
    <w:link w:val="10"/>
    <w:qFormat/>
    <w:uiPriority w:val="35"/>
    <w:rPr>
      <w:rFonts w:cstheme="majorBidi"/>
      <w:b/>
      <w:sz w:val="21"/>
    </w:rPr>
  </w:style>
  <w:style w:type="character" w:customStyle="1" w:styleId="165">
    <w:name w:val="HTML 预设格式 字符1"/>
    <w:link w:val="35"/>
    <w:qFormat/>
    <w:uiPriority w:val="0"/>
    <w:rPr>
      <w:rFonts w:ascii="Arial" w:hAnsi="Arial" w:cs="Arial"/>
      <w:sz w:val="24"/>
      <w:szCs w:val="24"/>
    </w:rPr>
  </w:style>
  <w:style w:type="character" w:customStyle="1" w:styleId="166">
    <w:name w:val="HTML 预设格式 字符"/>
    <w:basedOn w:val="41"/>
    <w:semiHidden/>
    <w:qFormat/>
    <w:uiPriority w:val="99"/>
    <w:rPr>
      <w:rFonts w:ascii="Courier New" w:hAnsi="Courier New" w:cs="Courier New"/>
    </w:rPr>
  </w:style>
  <w:style w:type="character" w:customStyle="1" w:styleId="167">
    <w:name w:val="正文1 Char1"/>
    <w:link w:val="49"/>
    <w:qFormat/>
    <w:uiPriority w:val="0"/>
    <w:rPr>
      <w:rFonts w:ascii="宋体" w:eastAsia="Times New Roman"/>
      <w:sz w:val="24"/>
    </w:rPr>
  </w:style>
  <w:style w:type="character" w:customStyle="1" w:styleId="168">
    <w:name w:val="⑤-图表标题 Char"/>
    <w:link w:val="169"/>
    <w:qFormat/>
    <w:uiPriority w:val="0"/>
    <w:rPr>
      <w:rFonts w:cs="Chicago"/>
      <w:b/>
      <w:sz w:val="24"/>
      <w:szCs w:val="21"/>
      <w:lang w:val="zh-CN"/>
    </w:rPr>
  </w:style>
  <w:style w:type="paragraph" w:customStyle="1" w:styleId="169">
    <w:name w:val="⑤-图表标题"/>
    <w:basedOn w:val="1"/>
    <w:link w:val="168"/>
    <w:qFormat/>
    <w:uiPriority w:val="0"/>
    <w:pPr>
      <w:widowControl/>
      <w:tabs>
        <w:tab w:val="left" w:pos="903"/>
      </w:tabs>
      <w:ind w:firstLine="0" w:firstLineChars="0"/>
      <w:jc w:val="center"/>
      <w:outlineLvl w:val="1"/>
    </w:pPr>
    <w:rPr>
      <w:rFonts w:cs="Chicago"/>
      <w:b/>
      <w:szCs w:val="21"/>
      <w:lang w:val="zh-CN"/>
    </w:rPr>
  </w:style>
  <w:style w:type="paragraph" w:customStyle="1" w:styleId="170">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376092" w:themeColor="accent1" w:themeShade="BF"/>
      <w:kern w:val="0"/>
      <w:szCs w:val="32"/>
    </w:rPr>
  </w:style>
  <w:style w:type="character" w:customStyle="1" w:styleId="171">
    <w:name w:val="Unresolved Mention"/>
    <w:basedOn w:val="41"/>
    <w:semiHidden/>
    <w:unhideWhenUsed/>
    <w:qFormat/>
    <w:uiPriority w:val="99"/>
    <w:rPr>
      <w:color w:val="605E5C"/>
      <w:shd w:val="clear" w:color="auto" w:fill="E1DFDD"/>
    </w:rPr>
  </w:style>
  <w:style w:type="paragraph" w:customStyle="1" w:styleId="172">
    <w:name w:val="⑥-表文"/>
    <w:basedOn w:val="1"/>
    <w:link w:val="173"/>
    <w:qFormat/>
    <w:uiPriority w:val="0"/>
    <w:pPr>
      <w:spacing w:line="240" w:lineRule="auto"/>
      <w:ind w:firstLine="0" w:firstLineChars="0"/>
      <w:jc w:val="center"/>
    </w:pPr>
    <w:rPr>
      <w:kern w:val="2"/>
      <w:sz w:val="21"/>
      <w:lang w:val="zh-CN"/>
    </w:rPr>
  </w:style>
  <w:style w:type="character" w:customStyle="1" w:styleId="173">
    <w:name w:val="⑥-表文 Char"/>
    <w:link w:val="172"/>
    <w:qFormat/>
    <w:uiPriority w:val="0"/>
    <w:rPr>
      <w:kern w:val="2"/>
      <w:sz w:val="21"/>
      <w:lang w:val="zh-CN"/>
    </w:rPr>
  </w:style>
  <w:style w:type="character" w:customStyle="1" w:styleId="174">
    <w:name w:val="正文文本_"/>
    <w:basedOn w:val="41"/>
    <w:link w:val="175"/>
    <w:qFormat/>
    <w:uiPriority w:val="0"/>
    <w:rPr>
      <w:rFonts w:ascii="宋体" w:hAnsi="宋体" w:cs="宋体"/>
      <w:sz w:val="22"/>
      <w:szCs w:val="22"/>
    </w:rPr>
  </w:style>
  <w:style w:type="paragraph" w:customStyle="1" w:styleId="175">
    <w:name w:val="正文文本1"/>
    <w:basedOn w:val="1"/>
    <w:link w:val="174"/>
    <w:qFormat/>
    <w:uiPriority w:val="0"/>
    <w:pPr>
      <w:spacing w:line="427" w:lineRule="auto"/>
      <w:ind w:firstLine="400" w:firstLineChars="0"/>
      <w:jc w:val="left"/>
    </w:pPr>
    <w:rPr>
      <w:rFonts w:ascii="宋体" w:hAnsi="宋体" w:cs="宋体"/>
      <w:sz w:val="22"/>
      <w:szCs w:val="22"/>
    </w:rPr>
  </w:style>
  <w:style w:type="character" w:customStyle="1" w:styleId="176">
    <w:name w:val="页眉或页脚_"/>
    <w:basedOn w:val="41"/>
    <w:link w:val="177"/>
    <w:qFormat/>
    <w:uiPriority w:val="0"/>
    <w:rPr>
      <w:rFonts w:ascii="宋体" w:hAnsi="宋体" w:cs="宋体"/>
      <w:sz w:val="18"/>
      <w:szCs w:val="18"/>
    </w:rPr>
  </w:style>
  <w:style w:type="paragraph" w:customStyle="1" w:styleId="177">
    <w:name w:val="页眉或页脚"/>
    <w:basedOn w:val="1"/>
    <w:link w:val="176"/>
    <w:qFormat/>
    <w:uiPriority w:val="0"/>
    <w:pPr>
      <w:spacing w:line="240" w:lineRule="auto"/>
      <w:ind w:firstLine="0" w:firstLineChars="0"/>
      <w:jc w:val="left"/>
    </w:pPr>
    <w:rPr>
      <w:rFonts w:ascii="宋体" w:hAnsi="宋体" w:cs="宋体"/>
      <w:sz w:val="18"/>
      <w:szCs w:val="18"/>
    </w:rPr>
  </w:style>
  <w:style w:type="character" w:customStyle="1" w:styleId="178">
    <w:name w:val="表格 Char"/>
    <w:link w:val="117"/>
    <w:qFormat/>
    <w:uiPriority w:val="0"/>
    <w:rPr>
      <w:rFonts w:ascii="Arial" w:hAnsi="Arial" w:cs="Arial"/>
      <w:kern w:val="2"/>
      <w:sz w:val="21"/>
      <w:szCs w:val="21"/>
    </w:rPr>
  </w:style>
  <w:style w:type="character" w:customStyle="1" w:styleId="179">
    <w:name w:val="正文A Char"/>
    <w:link w:val="59"/>
    <w:qFormat/>
    <w:uiPriority w:val="0"/>
    <w:rPr>
      <w:rFonts w:ascii="华文仿宋" w:hAnsi="华文仿宋" w:eastAsia="华文仿宋" w:cs="华文仿宋"/>
      <w:kern w:val="2"/>
      <w:sz w:val="24"/>
      <w:szCs w:val="24"/>
    </w:rPr>
  </w:style>
  <w:style w:type="character" w:customStyle="1" w:styleId="180">
    <w:name w:val="表格标题_"/>
    <w:basedOn w:val="41"/>
    <w:link w:val="118"/>
    <w:qFormat/>
    <w:uiPriority w:val="0"/>
    <w:rPr>
      <w:sz w:val="21"/>
      <w:szCs w:val="22"/>
    </w:rPr>
  </w:style>
  <w:style w:type="character" w:customStyle="1" w:styleId="181">
    <w:name w:val="其他_"/>
    <w:basedOn w:val="41"/>
    <w:link w:val="182"/>
    <w:qFormat/>
    <w:uiPriority w:val="0"/>
    <w:rPr>
      <w:rFonts w:ascii="宋体" w:hAnsi="宋体" w:cs="宋体"/>
    </w:rPr>
  </w:style>
  <w:style w:type="paragraph" w:customStyle="1" w:styleId="182">
    <w:name w:val="其他"/>
    <w:basedOn w:val="1"/>
    <w:link w:val="181"/>
    <w:qFormat/>
    <w:uiPriority w:val="0"/>
    <w:pPr>
      <w:spacing w:line="269" w:lineRule="exact"/>
      <w:ind w:firstLine="0" w:firstLineChars="0"/>
      <w:jc w:val="left"/>
    </w:pPr>
    <w:rPr>
      <w:rFonts w:ascii="宋体" w:hAnsi="宋体" w:cs="宋体"/>
      <w:sz w:val="20"/>
    </w:rPr>
  </w:style>
  <w:style w:type="table" w:customStyle="1" w:styleId="183">
    <w:name w:val="Table Normal"/>
    <w:semiHidden/>
    <w:unhideWhenUsed/>
    <w:qFormat/>
    <w:uiPriority w:val="0"/>
    <w:tblPr>
      <w:tblCellMar>
        <w:top w:w="0" w:type="dxa"/>
        <w:left w:w="0" w:type="dxa"/>
        <w:bottom w:w="0" w:type="dxa"/>
        <w:right w:w="0" w:type="dxa"/>
      </w:tblCellMar>
    </w:tblPr>
  </w:style>
  <w:style w:type="paragraph" w:customStyle="1" w:styleId="184">
    <w:name w:val="表格1"/>
    <w:basedOn w:val="1"/>
    <w:autoRedefine/>
    <w:qFormat/>
    <w:uiPriority w:val="0"/>
    <w:pPr>
      <w:adjustRightInd w:val="0"/>
      <w:snapToGrid w:val="0"/>
      <w:jc w:val="center"/>
    </w:pPr>
    <w:rPr>
      <w:rFonts w:ascii="Times New Roman" w:hAnsi="Times New Roman" w:eastAsia="方正仿宋_GBK"/>
      <w:color w:val="000000"/>
      <w:kern w:val="0"/>
      <w:szCs w:val="24"/>
    </w:rPr>
  </w:style>
  <w:style w:type="paragraph" w:customStyle="1" w:styleId="185">
    <w:name w:val="表中字体"/>
    <w:basedOn w:val="8"/>
    <w:autoRedefine/>
    <w:qFormat/>
    <w:uiPriority w:val="0"/>
    <w:pPr>
      <w:tabs>
        <w:tab w:val="left" w:pos="8176"/>
      </w:tabs>
      <w:spacing w:line="280" w:lineRule="exact"/>
      <w:ind w:firstLine="0" w:firstLineChars="0"/>
      <w:jc w:val="center"/>
    </w:pPr>
    <w:rPr>
      <w:rFonts w:ascii="宋体" w:hAnsi="宋体"/>
      <w:kern w:val="0"/>
      <w:sz w:val="20"/>
    </w:rPr>
  </w:style>
  <w:style w:type="paragraph" w:customStyle="1" w:styleId="186">
    <w:name w:val="Table Text"/>
    <w:basedOn w:val="1"/>
    <w:semiHidden/>
    <w:qFormat/>
    <w:uiPriority w:val="0"/>
    <w:rPr>
      <w:rFonts w:ascii="宋体" w:hAnsi="宋体" w:eastAsia="宋体" w:cs="宋体"/>
      <w:sz w:val="24"/>
      <w:szCs w:val="24"/>
      <w:lang w:val="en-US" w:eastAsia="en-US" w:bidi="ar-SA"/>
    </w:rPr>
  </w:style>
  <w:style w:type="character" w:customStyle="1" w:styleId="187">
    <w:name w:val="font61"/>
    <w:qFormat/>
    <w:uiPriority w:val="0"/>
    <w:rPr>
      <w:rFonts w:hint="eastAsia" w:ascii="宋体" w:hAnsi="宋体" w:eastAsia="宋体" w:cs="宋体"/>
      <w:color w:val="000000"/>
      <w:sz w:val="22"/>
      <w:szCs w:val="22"/>
      <w:u w:val="none"/>
    </w:rPr>
  </w:style>
  <w:style w:type="character" w:customStyle="1" w:styleId="188">
    <w:name w:val="font41"/>
    <w:qFormat/>
    <w:uiPriority w:val="0"/>
    <w:rPr>
      <w:rFonts w:hint="eastAsia" w:ascii="宋体" w:hAnsi="宋体" w:eastAsia="宋体" w:cs="宋体"/>
      <w:color w:val="000000"/>
      <w:sz w:val="22"/>
      <w:szCs w:val="22"/>
      <w:u w:val="none"/>
      <w:vertAlign w:val="superscript"/>
    </w:rPr>
  </w:style>
  <w:style w:type="character" w:customStyle="1" w:styleId="189">
    <w:name w:val="font31"/>
    <w:qFormat/>
    <w:uiPriority w:val="0"/>
    <w:rPr>
      <w:rFonts w:hint="eastAsia" w:ascii="宋体" w:hAnsi="宋体" w:eastAsia="宋体" w:cs="宋体"/>
      <w:color w:val="000000"/>
      <w:sz w:val="22"/>
      <w:szCs w:val="22"/>
      <w:u w:val="none"/>
    </w:rPr>
  </w:style>
  <w:style w:type="character" w:customStyle="1" w:styleId="190">
    <w:name w:val="font21"/>
    <w:basedOn w:val="41"/>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5" Type="http://schemas.openxmlformats.org/officeDocument/2006/relationships/fontTable" Target="fontTable.xml"/><Relationship Id="rId84" Type="http://schemas.openxmlformats.org/officeDocument/2006/relationships/customXml" Target="../customXml/item3.xml"/><Relationship Id="rId83" Type="http://schemas.openxmlformats.org/officeDocument/2006/relationships/customXml" Target="../customXml/item2.xml"/><Relationship Id="rId82" Type="http://schemas.openxmlformats.org/officeDocument/2006/relationships/numbering" Target="numbering.xml"/><Relationship Id="rId81" Type="http://schemas.openxmlformats.org/officeDocument/2006/relationships/customXml" Target="../customXml/item1.xml"/><Relationship Id="rId80" Type="http://schemas.openxmlformats.org/officeDocument/2006/relationships/image" Target="media/image40.png"/><Relationship Id="rId8" Type="http://schemas.openxmlformats.org/officeDocument/2006/relationships/footer" Target="footer1.xml"/><Relationship Id="rId79" Type="http://schemas.openxmlformats.org/officeDocument/2006/relationships/image" Target="media/image39.png"/><Relationship Id="rId78" Type="http://schemas.openxmlformats.org/officeDocument/2006/relationships/image" Target="media/image38.png"/><Relationship Id="rId77" Type="http://schemas.openxmlformats.org/officeDocument/2006/relationships/image" Target="media/image37.wmf"/><Relationship Id="rId76" Type="http://schemas.openxmlformats.org/officeDocument/2006/relationships/oleObject" Target="embeddings/oleObject14.bin"/><Relationship Id="rId75" Type="http://schemas.openxmlformats.org/officeDocument/2006/relationships/image" Target="media/image36.png"/><Relationship Id="rId74" Type="http://schemas.openxmlformats.org/officeDocument/2006/relationships/image" Target="media/image35.png"/><Relationship Id="rId73" Type="http://schemas.openxmlformats.org/officeDocument/2006/relationships/image" Target="media/image34.wmf"/><Relationship Id="rId72" Type="http://schemas.openxmlformats.org/officeDocument/2006/relationships/image" Target="media/image33.wmf"/><Relationship Id="rId71" Type="http://schemas.openxmlformats.org/officeDocument/2006/relationships/oleObject" Target="embeddings/oleObject13.bin"/><Relationship Id="rId70" Type="http://schemas.openxmlformats.org/officeDocument/2006/relationships/image" Target="media/image32.wmf"/><Relationship Id="rId7" Type="http://schemas.openxmlformats.org/officeDocument/2006/relationships/header" Target="header3.xml"/><Relationship Id="rId69" Type="http://schemas.openxmlformats.org/officeDocument/2006/relationships/image" Target="media/image31.wmf"/><Relationship Id="rId68" Type="http://schemas.openxmlformats.org/officeDocument/2006/relationships/image" Target="media/image30.wmf"/><Relationship Id="rId67" Type="http://schemas.openxmlformats.org/officeDocument/2006/relationships/image" Target="media/image29.wmf"/><Relationship Id="rId66" Type="http://schemas.openxmlformats.org/officeDocument/2006/relationships/image" Target="media/image28.wmf"/><Relationship Id="rId65" Type="http://schemas.openxmlformats.org/officeDocument/2006/relationships/image" Target="media/image27.wmf"/><Relationship Id="rId64" Type="http://schemas.openxmlformats.org/officeDocument/2006/relationships/image" Target="media/image26.wmf"/><Relationship Id="rId63" Type="http://schemas.openxmlformats.org/officeDocument/2006/relationships/image" Target="media/image25.wmf"/><Relationship Id="rId62" Type="http://schemas.openxmlformats.org/officeDocument/2006/relationships/image" Target="media/image24.wmf"/><Relationship Id="rId61" Type="http://schemas.openxmlformats.org/officeDocument/2006/relationships/image" Target="media/image23.wmf"/><Relationship Id="rId60" Type="http://schemas.openxmlformats.org/officeDocument/2006/relationships/image" Target="media/image22.wmf"/><Relationship Id="rId6" Type="http://schemas.openxmlformats.org/officeDocument/2006/relationships/header" Target="header2.xml"/><Relationship Id="rId59" Type="http://schemas.openxmlformats.org/officeDocument/2006/relationships/image" Target="media/image21.wmf"/><Relationship Id="rId58" Type="http://schemas.openxmlformats.org/officeDocument/2006/relationships/oleObject" Target="embeddings/oleObject12.bin"/><Relationship Id="rId57" Type="http://schemas.openxmlformats.org/officeDocument/2006/relationships/image" Target="media/image20.wmf"/><Relationship Id="rId56" Type="http://schemas.openxmlformats.org/officeDocument/2006/relationships/oleObject" Target="embeddings/oleObject11.bin"/><Relationship Id="rId55" Type="http://schemas.openxmlformats.org/officeDocument/2006/relationships/image" Target="media/image19.wmf"/><Relationship Id="rId54" Type="http://schemas.openxmlformats.org/officeDocument/2006/relationships/oleObject" Target="embeddings/oleObject10.bin"/><Relationship Id="rId53" Type="http://schemas.openxmlformats.org/officeDocument/2006/relationships/image" Target="media/image18.wmf"/><Relationship Id="rId52" Type="http://schemas.openxmlformats.org/officeDocument/2006/relationships/oleObject" Target="embeddings/oleObject9.bin"/><Relationship Id="rId51" Type="http://schemas.openxmlformats.org/officeDocument/2006/relationships/image" Target="media/image17.wmf"/><Relationship Id="rId50" Type="http://schemas.openxmlformats.org/officeDocument/2006/relationships/oleObject" Target="embeddings/oleObject8.bin"/><Relationship Id="rId5" Type="http://schemas.openxmlformats.org/officeDocument/2006/relationships/header" Target="header1.xml"/><Relationship Id="rId49" Type="http://schemas.openxmlformats.org/officeDocument/2006/relationships/image" Target="media/image16.wmf"/><Relationship Id="rId48" Type="http://schemas.openxmlformats.org/officeDocument/2006/relationships/image" Target="media/image15.png"/><Relationship Id="rId47" Type="http://schemas.openxmlformats.org/officeDocument/2006/relationships/image" Target="media/image14.png"/><Relationship Id="rId46" Type="http://schemas.openxmlformats.org/officeDocument/2006/relationships/image" Target="media/image13.png"/><Relationship Id="rId45" Type="http://schemas.openxmlformats.org/officeDocument/2006/relationships/image" Target="media/image12.png"/><Relationship Id="rId44" Type="http://schemas.openxmlformats.org/officeDocument/2006/relationships/image" Target="media/image11.wmf"/><Relationship Id="rId43" Type="http://schemas.openxmlformats.org/officeDocument/2006/relationships/oleObject" Target="embeddings/oleObject7.bin"/><Relationship Id="rId42" Type="http://schemas.openxmlformats.org/officeDocument/2006/relationships/image" Target="media/image10.wmf"/><Relationship Id="rId41" Type="http://schemas.openxmlformats.org/officeDocument/2006/relationships/oleObject" Target="embeddings/oleObject6.bin"/><Relationship Id="rId40" Type="http://schemas.openxmlformats.org/officeDocument/2006/relationships/image" Target="media/image9.wmf"/><Relationship Id="rId4" Type="http://schemas.openxmlformats.org/officeDocument/2006/relationships/endnotes" Target="endnotes.xml"/><Relationship Id="rId39" Type="http://schemas.openxmlformats.org/officeDocument/2006/relationships/oleObject" Target="embeddings/oleObject5.bin"/><Relationship Id="rId38" Type="http://schemas.openxmlformats.org/officeDocument/2006/relationships/image" Target="media/image8.wmf"/><Relationship Id="rId37" Type="http://schemas.openxmlformats.org/officeDocument/2006/relationships/oleObject" Target="embeddings/oleObject4.bin"/><Relationship Id="rId36" Type="http://schemas.openxmlformats.org/officeDocument/2006/relationships/image" Target="media/image7.png"/><Relationship Id="rId35" Type="http://schemas.openxmlformats.org/officeDocument/2006/relationships/image" Target="media/image6.wmf"/><Relationship Id="rId34" Type="http://schemas.openxmlformats.org/officeDocument/2006/relationships/oleObject" Target="embeddings/oleObject3.bin"/><Relationship Id="rId33" Type="http://schemas.openxmlformats.org/officeDocument/2006/relationships/oleObject" Target="embeddings/oleObject2.bin"/><Relationship Id="rId32" Type="http://schemas.openxmlformats.org/officeDocument/2006/relationships/image" Target="media/image5.png"/><Relationship Id="rId31" Type="http://schemas.openxmlformats.org/officeDocument/2006/relationships/image" Target="media/image4.png"/><Relationship Id="rId30" Type="http://schemas.openxmlformats.org/officeDocument/2006/relationships/image" Target="media/image3.png"/><Relationship Id="rId3" Type="http://schemas.openxmlformats.org/officeDocument/2006/relationships/footnotes" Target="footnotes.xml"/><Relationship Id="rId29" Type="http://schemas.openxmlformats.org/officeDocument/2006/relationships/image" Target="media/image2.wmf"/><Relationship Id="rId28" Type="http://schemas.openxmlformats.org/officeDocument/2006/relationships/oleObject" Target="embeddings/oleObject1.bin"/><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2079"/>
    <customShpInfo spid="_x0000_s2081"/>
    <customShpInfo spid="_x0000_s2080"/>
    <customShpInfo spid="_x0000_s2074"/>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1EQWxNa01sTWpKemFHOTNSM0pwWkNVeU1pVXpRWFJ5ZFdVbE1rTWxNakp5YVdOb1ZHVjRkQ1V5TWlVelFYUnlkV1VsTWtNbE1qSm9aV2xuYUhRbE1qSWxNMEV4TURBd0pUZEVKVEpESlRJeVpXeGxiV1Z1ZEhNbE1qSWxNMEVsTjBJbE1qSkxiWGRpU2s1TFJIcEhNREUyTkRRekpUSXlKVE5CSlRkQ0pUSXlhV1FsTWpJbE0wRWxNakpMYlhkaVNrNUxSSHBITURFMk5EUXp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scDNWbGQ0VmtOSWFuTXdNVE0xTWpVbE1qSWxOMFFsTWtNbE4wSWxNakp1WVcxbEpUSXlKVE5CSlRJeUpVVTFKVGt3SlRoRUpVVTNKVUUzSlVJd0pUSXlKVEpESlRJeWRIbHdaU1V5TWlVelFTVXlNbk4wY21sdVp5VXlNaVV5UXlVeU1uWmhiSFZsSlRJeUpUTkJKVEl5SlRJeUpUSkRKVEl5WTJGMFpXZHZjbmtsTWpJbE0wRWxNakprWldaaGRXeDBKVEl5SlRKREpUSXlhV1FsTWpJbE0wRWxNakoyVEc1QmRrZEtWWGRsT0RreU16RXh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Y2xPVFFsT1VZbFJUWWxRalFsUWtJbFJUY2xPVFFsUVRnbFJUWWxRakFsUWpReE5EWX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ptVnRkVzlGVm1wYVp6Z3pPVFF3TXlVeU1pVXpRU1UzUWlVeU1tbGtKVEl5SlROQkpUSXlabVZ0ZFc5RlZtcGFaemd6T1RRd01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bmJuUnFiWHB6Y0hSSE9ESTNNak0ySlRJeUpUZEVKVEpESlRkQ0pUSXlibUZ0WlNVeU1pVXpRU1V5TWlWRk5TVTVNQ1U0UkNWRk55VkJOeVZDTUNVeU1pVXlReVV5TW5SNWNHVWxNaklsTTBFbE1qSnpkSEpwYm1jbE1qSWxNa01sTWpKMllXeDFaU1V5TWlVelFTVXlNaVV5TWlVeVF5VXlNbU5oZEdWbmIzSjVKVEl5SlROQkpUSXlaR1ZtWVhWc2RDVXlNaVV5UXlVeU1tbGtKVEl5SlROQkpUSXlaRlJNU21sSmFWUlpRVGM1TmpjME1p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9TVkJRU1U0TmlWRk9TVkJPU1ZDUXlWRk9TVkJOU1ZCUlNWRk55VTVOQ1ZCT0NWRk5pVkNNQ1ZDTkRJNU5qTXVP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VlZZbTlYU0dSbFdra3lPRE0yTlRZbE1qSWxNMEVsTjBJbE1qSnBaQ1V5TWlVelFTVXlNbVZWWW05WFNHUmxXa2t5T0RNMk5UW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drMWtXWGRCZDAxNGJ6YzFNVEEyTlNVeU1pVTNSQ1V5UXlVM1FpVXlNbTVoYldVbE1qSWxNMEVsTWpJbFJUVWxPVEFsT0VRbFJUY2xRVGNsUWpBbE1qSWxNa01sTWpKMGVYQmxKVEl5SlROQkpUSXljM1J5YVc1bkpUSXlKVEpESlRJeWRtRnNkV1VsTWpJbE0wRWxNaklsTWpJbE1rTWxNakpqWVhSbFoyOXllU1V5TWlVelFTVXlNbVJsWm1GMWJIUWxNaklsTWtNbE1qSnBaQ1V5TWlVelFTVXlNbUpKUzNCeFIxcDRRWFEzTmpNeE56V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WWxRallsT0RnbFJUWWxRVVlsT1RJbFJUY2xPVFFsUVRnbFJUWWxRakFsUWpReE9DNHlO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tbDRWMGx4YVhOeFQwTXdPVEl4TVRFbE1qSWxNMEVsTjBJbE1qSnBaQ1V5TWlVelFTVXlNbWw0VjBseGFYTnhUME13T1RJeE1UR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RrMUxkRWxuVDJsNmNEZzVORFUzT1NVeU1pVTNSQ1V5UXlVM1FpVXlNbTVoYldVbE1qSWxNMEVsTWpJbFJUVWxPVEFsT0VRbFJUY2xRVGNsUWpBbE1qSWxNa01sTWpKMGVYQmxKVEl5SlROQkpUSXljM1J5YVc1bkpUSXlKVEpESlRJeWRtRnNkV1VsTWpJbE0wRWxNaklsTWpJbE1rTWxNakpqWVhSbFoyOXllU1V5TWlVelFTVXlNbVJsWm1GMWJIUWxNaklsTWtNbE1qSnBaQ1V5TWlVelFTVXlNbHA2YjJWelozcHZXVlF6TnpFd05UR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WWxPRU1sUVRRbFJUVWxRVFVsUWpZbFJUVWxPRVVsT0RVbFJVWWxRa01sT0RnbFJUVWxRa1VsT0RVbFJUWWxPRU1sUVRRbFJUVWxPRU1sUWtFbFJVWWxRa01sT0RrbFJUWWxRamdsT0RVbFJUWWxRalFsT1RjbFJUY2xPVFFsUVRnbFJUWWxRakFsUWpReE5UTXp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TNSQ1V5UXlVeU1uUmxlSFJDYkc5amF5VXlNaVV6UVNVMVFpVTNRaVV5TW5CdmMybDBhVzl1SlRJeUpUTkJKVGRDSlRJeWVDVXlNaVV6UVRFd0pUSkRKVEl5ZVNVeU1pVXpRVEFsTWtNbE1qSjNKVEl5SlROQkpUSXlkeTB5TUNVeU1pVXlReVV5TW1nbE1qSWxNMEVsTWpKb0pUSXlKVGRFSlRKREpUSXlkR1Y0ZENVeU1pVXpRU1V5TWlWRk5pVTRReVZCTkNWRk5TVkJOU1ZDTmlWRk9DVkJSU1ZDUlNWRk5TVkJOQ1U0TnlWRk5pVkNPQ1U0TlNWRk5pVkNOQ1U1TnlWRk55VTVOQ1ZCT0NWRk5pVkNNQ1ZDTkRFME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5OSmJGRjRaWFI0VVdnNU5qTTRNREFsTWpJbE0wRWxOMElsTWpKcFpDVXlNaVV6UVNVeU1uTkpiRkY0WlhSNFVXZzVOak00TURB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jJGM1VYcExhRkZNVVRnMU1UQXpNeVV5TWlVM1JDVXlReVUzUWlVeU1tNWhiV1VsTWpJbE0wRWxNaklsUlRVbE9UQWxPRVFsUlRjbFFUY2xRakFsTWpJbE1rTWxNakowZVhCbEpUSXlKVE5CSlRJeWMzUnlhVzVuSlRJeUpUSkRKVEl5ZG1Gc2RXVWxNaklsTTBFbE1qSWxNaklsTWtNbE1qSmpZWFJsWjI5eWVTVXlNaVV6UVNVeU1tUmxabUYxYkhRbE1qSWxNa01sTWpKcFpDVXlNaVV6UVNVeU1rWnVTRkY1YmxkTFpub3hORGd5TXp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VNU5pVkNNQ1ZGT1NWQ01pVTVReVZGTmlWQ01DVkNORFl4TWpFdU5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1bWExRndWMjlCYVU4d05UTTBNRGNsTWpJbE0wRWxOMElsTWpKcFpDVXlNaVV6UVNVeU1tNW1hMUZ3VjI5QmFVOHdOVE0wTURj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1VKQmMzRm9iMkZQVmpVek56UTBOU1V5TWlVM1JDVXlReVUzUWlVeU1tNWhiV1VsTWpJbE0wRWxNaklsUlRVbE9UQWxPRVFsUlRjbFFUY2xRakFsTWpJbE1rTWxNakowZVhCbEpUSXlKVE5CSlRJeWMzUnlhVzVuSlRJeUpUSkRKVEl5ZG1Gc2RXVWxNaklsTTBFbE1qSWxNaklsTWtNbE1qSmpZWFJsWjI5eWVTVXlNaVV6UVNVeU1tUmxabUYxYkhRbE1qSWxNa01sTWpKcFpDVXlNaVV6UVNVeU1rdHZSRVpDY1cxRlJrZzRPVGs1T0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nlVNU5DVTVSaVZGTmlWQ05DVkNRaVZGTmlWQ01TVkJNU1ZGTmlWQ01DVkNOREV4Tmp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sWVdsQ2JYVkVUbE4zTnpJeE1UTTRKVEl5SlROQkpUZENKVEl5YVdRbE1qSWxNMEVsTWpKbFlXbENiWFZFVGxOM056SXhNVE00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EpuVG1OelpYVjRUbVV4TXprMk56SWxNaklsTjBRbE1rTWxOMElsTWpKdVlXMWxKVEl5SlROQkpUSXlKVVUxSlRrd0pUaEVKVVUzSlVFM0pVSXdKVEl5SlRKREpUSXlkSGx3WlNVeU1pVXpRU1V5TW5OMGNtbHVaeVV5TWlVeVF5VXlNblpoYkhWbEpUSXlKVE5CSlRJeUpUSXlKVEpESlRJeVkyRjBaV2R2Y25rbE1qSWxNMEVsTWpKa1pXWmhkV3gwSlRJeUpUSkRKVEl5YVdRbE1qSWxNMEVsTWpKdVEwUlpZV1pIYWt4bk1UQXhNalUz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1SlVGQkpUZzJKVVU1SlVFNUpVSkRKVVUxSlVJd0pVSkdOelF3TGprMU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U0dwVFJIUm1URk5WU2pBd01USTVNeVV5TWlVelFTVTNRaVV5TW1sa0pUSXlKVE5CSlRJeVNHcFRSSFJtVEZOVlNqQXdNVEk1TXl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qVjJ4b1NtSkRjR1JaTWprME1qUTBKVEl5SlRkRUpUSkRKVGRDSlRJeWJtRnRaU1V5TWlVelFTVXlNaVZGTlNVNU1DVTRSQ1ZGTnlWQk55VkNNQ1V5TWlVeVF5VXlNblI1Y0dVbE1qSWxNMEVsTWpKemRISnBibWNsTWpJbE1rTWxNakoyWVd4MVpTVXlNaVV6UVNVeU1pVXlNaVV5UXlVeU1tTmhkR1ZuYjNKNUpUSXlKVE5CSlRJeVpHVm1ZWFZzZENVeU1pVXlReVV5TW1sa0pUSXlKVE5CSlRJeWRYTnpaV1ZwVmxWS1JEZzBOVFE1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mlVNFF5VkJOQ1ZGTlNWQk5TVkNOaVZGTlNVNFJTVTROU1ZGUmlWQ1F5VTRPQ1ZGTlNWQ1JTVTROU1ZGTmlVNFF5VkJOQ1ZGTlNVNFF5VkNRU1ZGUmlWQ1F5VTRPU1ZGTmlWQ09DVTROU1ZGTmlWQ05DVTVOeVZGTlNWQ1FTVTVSaVZGTmlWQ01DVkNOREV5TWpZdU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aallWcFhRVWx0YVZBek56TTBNemdsTWpJbE0wRWxOMElsTWpKcFpDVXlNaVV6UVNVeU1sWmpZVnBYUVVsdGFWQXpOek0wTXpn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ZWt0M1kxVjRTMkZDVWpBek9EUXpNQ1V5TWlVM1JDVXlReVUzUWlVeU1tNWhiV1VsTWpJbE0wRWxNaklsUlRVbE9UQWxPRVFsUlRjbFFUY2xRakFsTWpJbE1rTWxNakowZVhCbEpUSXlKVE5CSlRJeWMzUnlhVzVuSlRJeUpUSkRKVEl5ZG1Gc2RXVWxNaklsTTBFbE1qSWxNaklsTWtNbE1qSmpZWFJsWjI5eWVTVXlNaVV6UVNVeU1tUmxabUYxYkhRbE1qSWxNa01sTWpKcFpDVXlNaVV6UVNVeU1rSnlXVzVZZVZoTmVWQXhNREUyTkRn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4TUNVeVF5VXlNbmtsTWpJbE0wRXdKVEpESlRJeWR5VXlNaVV6UVNVeU1uY3RNakFsTWpJbE1rTWxNakpvSlRJeUpUTkJKVEl5YUNVeU1pVTNSQ1V5UXlVeU1uUmxlSFFsTWpJbE0wRWxNaklsUlRZbE9FTWxRVFFsUlRVbFFUVWxRallsUlRnbFFVVWxRa1VsUlRVbFFUUWxPRGNsUlRZbFFqZ2xPRFVsUlRZbFFqUWxPVGNsUlRVbFFrRWxPVVlsUlRZbFFqQWxRalF4TVRZdU9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waVIwOWhhV1JCYW1ZeU16ZzJNeklsTWpJbE0wRWxOMElsTWpKcFpDVXlNaVV6UVNVeU1scGlSMDloYVdSQmFtWXlNemcyTXpJ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zJkcFpYcFJjMFpsVXpBMk16ZzNNeVV5TWlVM1JDVXlReVUzUWlVeU1tNWhiV1VsTWpJbE0wRWxNaklsUlRVbE9UQWxPRVFsUlRjbFFUY2xRakFsTWpJbE1rTWxNakowZVhCbEpUSXlKVE5CSlRJeWMzUnlhVzVuSlRJeUpUSkRKVEl5ZG1Gc2RXVWxNaklsTTBFbE1qSWxNaklsTWtNbE1qSmpZWFJsWjI5eWVTVXlNaVV6UVNVeU1tUmxabUYxYkhRbE1qSWxNa01sTWpKcFpDVXlNaVV6UVNVeU1tRm9RVVJZWjBKV1MwTTRNRFF3TXpR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a2xRa0lsT1RFbFJUZ2xPRFlsT1VNbFJUWWxRakVsUVRBbFJUVWxPRVlsT1RFbFJUa2xPRFVsUWpVeU5URXhM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EJPV0c1S2FWaDVVVkUwTnpFd056QWxNaklsTjBRbE1rTWxOMElsTWpKdVlXMWxKVEl5SlROQkpUSXlKVVUxSlRrd0pUaEVKVVUzSlVFM0pVSXdKVEl5SlRKREpUSXlkSGx3WlNVeU1pVXpRU1V5TW5OMGNtbHVaeVV5TWlVeVF5VXlNblpoYkhWbEpUSXlKVE5CSlRJeUpUSXlKVEpESlRJeVkyRjBaV2R2Y25rbE1qSWxNMEVsTWpKa1pXWmhkV3gwSlRJeUpUSkRKVEl5YVdRbE1qSWxNMEVsTWpKV1EwcHphR2RYZGtoTU16QTNPRGt5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YkdsdVpWTjBlV3hsSlRJeUpUTkJKVGRDSlRJeWJHbHVaVmRwWkhSb0pUSXlKVE5CTUNVM1JDVXlReVV5TW1acGJHeFRkSGxzWlNVeU1pVXpRU1UzUWlVeU1uUjVjR1VsTWpJbE0wRWxNakp1YjI1bEpUSXlKVGRFSlRKRE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d0pUSkRKVEl5ZVNVeU1pVXpRVEFsTWtNbE1qSjNKVEl5SlROQkpUSXlkeVV5TWlVeVF5VXlNbWdsTWpJbE0wRWxNakpvSlRJeUpUZEVKVEpESlRJeWRHVjRkQ1V5TWlVelFTVXlNaVZGTnlWQ1FpVkNSaVZGTlNVNFF5VTVO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UzUkNVeVF5VXlNbU52YlcxbGJuUnpKVEl5SlROQkpUVkNKVFZFSlRKREpUSXljR3gxWjJsdWN5VXlNaVV6UVNVM1FpVTNSQ1V5UXlVeU1tRnBRMjl1ZEdGcGJtVnljeVV5TWlVelFTVTNRaVUzUkNVeVF5VXlNbWx1YzJWeWRGQmhaMlZQY0hSekpUSXlKVE5CSlRkQ0pUZEVKVEpESlRJeWNHOXpkRkJoZVcxbGJuUWxNaklsTTBFbE4wSWxOMFFsTWtNbE1qSjBhR1Z0WlNVeU1pVXpRU1UzUWlVeU1uQmhaMlVsTWpJbE0wRWxOMElsTWpKaVlXTnJaM0p2ZFc1a1EyOXNiM0lsTWpJbE0wRWxNakowY21GdWMzQmhjbVZ1ZENVeU1pVTNSQ1UzUkNVM1JBPT0iLAoJIkZpbGVJZCIgOiAiZDBlZjE0ZjQtNGUxYS00NWI1LWE2YzAtZmRiMTliNDVkMTJiIgp9Cg=="/>
    </extobj>
  </extobj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1bc513ac-cc08-4349-928f-1b4e3c4cefc3</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5C56C708</paraID>
      <start>8</start>
      <end>11</end>
      <status>unmodified</status>
      <modifiedWord/>
      <trackRevisions>false</trackRevisions>
    </reviewItem>
    <reviewItem>
      <errorID>dff4d7e5-6b1d-40c7-8941-e1908e4bb954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5C56C708</paraID>
      <start>42</start>
      <end>45</end>
      <status>unmodified</status>
      <modifiedWord/>
      <trackRevisions>false</trackRevisions>
    </reviewItem>
    <reviewItem>
      <errorID>a7b7c85c-9cf8-4f58-9cd7-46ed11962ca3</errorID>
      <errorWord>促使</errorWord>
      <group>L1_Word</group>
      <groupName>字词问题</groupName>
      <ability>L2_Typo</ability>
      <abilityName>字词错误</abilityName>
      <candidateList>
        <item>将</item>
      </candidateList>
      <explain/>
      <paraID>5C56C708</paraID>
      <start>84</start>
      <end>86</end>
      <status>unmodified</status>
      <modifiedWord/>
      <trackRevisions>false</trackRevisions>
    </reviewItem>
    <reviewItem>
      <errorID>a9f580de-1de9-49e8-a083-4727a7082418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19B4A6EC</paraID>
      <start>6</start>
      <end>9</end>
      <status>unmodified</status>
      <modifiedWord/>
      <trackRevisions>false</trackRevisions>
    </reviewItem>
    <reviewItem>
      <errorID>8e35487b-b3e0-449a-9075-53cc9c0b007b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2AC9AA2</paraID>
      <start>15</start>
      <end>18</end>
      <status>unmodified</status>
      <modifiedWord/>
      <trackRevisions>false</trackRevisions>
    </reviewItem>
    <reviewItem>
      <errorID>983a19c4-3041-4367-940d-801b768e69a6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2AC9AA2</paraID>
      <start>30</start>
      <end>33</end>
      <status>unmodified</status>
      <modifiedWord/>
      <trackRevisions>false</trackRevisions>
    </reviewItem>
    <reviewItem>
      <errorID>75b11a94-d09c-4e3c-9942-ceddc0814f05</errorID>
      <errorWord>、</errorWord>
      <group>L1_Word</group>
      <groupName>字词问题</groupName>
      <ability>L2_Typo</ability>
      <abilityName>字词错误</abilityName>
      <candidateList>
        <item>以及</item>
      </candidateList>
      <explain/>
      <paraID> 2AC9AA2</paraID>
      <start>48</start>
      <end>49</end>
      <status>unmodified</status>
      <modifiedWord/>
      <trackRevisions>false</trackRevisions>
    </reviewItem>
    <reviewItem>
      <errorID>98f13fda-149e-494f-bd6e-03d53adcfb43</errorID>
      <errorWord>&lt;设项目</errorWord>
      <group>L1_Word</group>
      <groupName>字词问题</groupName>
      <ability>L2_Typo</ability>
      <abilityName>字词错误</abilityName>
      <candidateList>
        <item>〈建设项目</item>
      </candidateList>
      <explain/>
      <paraID> 2AC9AA2</paraID>
      <start>57</start>
      <end>61</end>
      <status>unmodified</status>
      <modifiedWord/>
      <trackRevisions>false</trackRevisions>
    </reviewItem>
    <reviewItem>
      <errorID>c2bb2ff1-43fc-4d10-a56b-1f80f6971b9c</errorID>
      <errorWord>&gt;</errorWord>
      <group>L1_Punc</group>
      <groupName>标点问题</groupName>
      <ability>L2_Punc_CN</ability>
      <abilityName>标点符号问题</abilityName>
      <candidateList>
        <item>〉</item>
      </candidateList>
      <explain/>
      <paraID> 2AC9AA2</paraID>
      <start>69</start>
      <end>70</end>
      <status>unmodified</status>
      <modifiedWord/>
      <trackRevisions>false</trackRevisions>
    </reviewItem>
    <reviewItem>
      <errorID>aaae7eea-a058-4c02-a998-b186d81587cc</errorID>
      <errorWord>有关</errorWord>
      <group>L1_Word</group>
      <groupName>字词问题</groupName>
      <ability>L2_Typo</ability>
      <abilityName>字词错误</abilityName>
      <candidateList>
        <item>的有关</item>
      </candidateList>
      <explain/>
      <paraID> 2AC9AA2</paraID>
      <start>86</start>
      <end>88</end>
      <status>unmodified</status>
      <modifiedWord/>
      <trackRevisions>false</trackRevisions>
    </reviewItem>
    <reviewItem>
      <errorID>cfa3c343-6b8f-4c32-ae8e-96dee5c33515</errorID>
      <errorWord>草地学报</errorWord>
      <group>L1_Punc</group>
      <groupName>标点问题</groupName>
      <ability>L2_Punc_CN</ability>
      <abilityName>标点符号问题</abilityName>
      <candidateList>
        <item>《草地学报》</item>
      </candidateList>
      <explain/>
      <paraID>6B7B6DED</paraID>
      <start>33</start>
      <end>37</end>
      <status>unmodified</status>
      <modifiedWord/>
      <trackRevisions>false</trackRevisions>
    </reviewItem>
    <reviewItem>
      <errorID>d0112b95-09e6-4cf5-a40e-c3088183495c</errorID>
      <errorWord>程序</errorWord>
      <group>L1_Punc</group>
      <groupName>标点问题</groupName>
      <ability>L2_Punc_CN</ability>
      <abilityName>标点符号问题</abilityName>
      <candidateList>
        <item>程序。</item>
      </candidateList>
      <explain/>
      <paraID>231E59A3</paraID>
      <start>69</start>
      <end>71</end>
      <status>unmodified</status>
      <modifiedWord/>
      <trackRevisions>false</trackRevisions>
    </reviewItem>
    <reviewItem>
      <errorID>0cc1f0b3-cc17-4f19-9f3b-a46ced1263d1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54D26AC8</paraID>
      <start>4</start>
      <end>7</end>
      <status>unmodified</status>
      <modifiedWord/>
      <trackRevisions>false</trackRevisions>
    </reviewItem>
    <reviewItem>
      <errorID>e8b470b4-620b-4f18-87ba-7d1504f9f907</errorID>
      <errorWord>法律、法规</errorWord>
      <group>L1_Word</group>
      <groupName>字词问题</groupName>
      <ability>L2_Typo</ability>
      <abilityName>字词错误</abilityName>
      <candidateList>
        <item>法律法规</item>
      </candidateList>
      <explain/>
      <paraID>66197E95</paraID>
      <start>147</start>
      <end>152</end>
      <status>unmodified</status>
      <modifiedWord/>
      <trackRevisions>false</trackRevisions>
    </reviewItem>
    <reviewItem>
      <errorID>81c72254-9bb1-4845-8d9a-70ee1858eca3</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78B8B58F</paraID>
      <start>50</start>
      <end>52</end>
      <status>unmodified</status>
      <modifiedWord/>
      <trackRevisions>false</trackRevisions>
    </reviewItem>
    <reviewItem>
      <errorID>d2c76120-86fe-4357-a3af-d2d28e996aef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62D6D89E</paraID>
      <start>34</start>
      <end>35</end>
      <status>unmodified</status>
      <modifiedWord/>
      <trackRevisions>false</trackRevisions>
    </reviewItem>
    <reviewItem>
      <errorID>d4d51165-a3dd-40eb-b182-75b08d7cebf9</errorID>
      <errorWord>》的通知</errorWord>
      <group>L1_Grammar</group>
      <groupName>语法问题</groupName>
      <ability>L2_Grammar</ability>
      <abilityName>语法错误</abilityName>
      <candidateList>
        <item>》</item>
      </candidateList>
      <explain/>
      <paraID>31404862</paraID>
      <start>34</start>
      <end>38</end>
      <status>unmodified</status>
      <modifiedWord/>
      <trackRevisions>false</trackRevisions>
    </reviewItem>
    <reviewItem>
      <errorID>70ceaa08-1226-4cdf-8a8f-7aa1761cdd45</errorID>
      <errorWord>生态红线保护</errorWord>
      <group>L1_Word</group>
      <groupName>字词问题</groupName>
      <ability>L2_Typo</ability>
      <abilityName>字词错误</abilityName>
      <candidateList>
        <item>生态保护红线</item>
      </candidateList>
      <explain/>
      <paraID> 8AE755C</paraID>
      <start>102</start>
      <end>108</end>
      <status>unmodified</status>
      <modifiedWord/>
      <trackRevisions>false</trackRevisions>
    </reviewItem>
    <reviewItem>
      <errorID>1da68387-51c3-4439-ab71-4d0bd992016e</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29E8E9C3</paraID>
      <start>111</start>
      <end>114</end>
      <status>unmodified</status>
      <modifiedWord/>
      <trackRevisions>false</trackRevisions>
    </reviewItem>
    <reviewItem>
      <errorID>2a33ba42-6ca8-4a9d-8c5a-a59edbefdf15</errorID>
      <errorWord>上线</errorWord>
      <group>L1_Word</group>
      <groupName>字词问题</groupName>
      <ability>L2_Typo</ability>
      <abilityName>字词错误</abilityName>
      <candidateList>
        <item>上限</item>
      </candidateList>
      <explain/>
      <paraID>29E8E9C3</paraID>
      <start>144</start>
      <end>146</end>
      <status>unmodified</status>
      <modifiedWord/>
      <trackRevisions>false</trackRevisions>
    </reviewItem>
    <reviewItem>
      <errorID>c3d32bdb-4858-43a2-b765-fe585762cbaf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1C5541BD</paraID>
      <start>5</start>
      <end>8</end>
      <status>unmodified</status>
      <modifiedWord/>
      <trackRevisions>false</trackRevisions>
    </reviewItem>
    <reviewItem>
      <errorID>b26c53fb-fb66-41b3-8c2b-7c4c772d2078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8CC25E0</paraID>
      <start>5</start>
      <end>8</end>
      <status>unmodified</status>
      <modifiedWord/>
      <trackRevisions>false</trackRevisions>
    </reviewItem>
    <reviewItem>
      <errorID>d2e655e6-f3f5-4431-8a95-01a22877c3d8</errorID>
      <errorWord>木垒哈萨 克自治县 </errorWord>
      <group>L1_Grammar</group>
      <groupName>语法问题</groupName>
      <ability>L2_Grammar</ability>
      <abilityName>语法错误</abilityName>
      <candidateList>
        <item>木垒哈萨克自治县</item>
      </candidateList>
      <explain/>
      <paraID>2BF039E1</paraID>
      <start>0</start>
      <end>10</end>
      <status>unmodified</status>
      <modifiedWord/>
      <trackRevisions>false</trackRevisions>
    </reviewItem>
    <reviewItem>
      <errorID>cdfe0faf-4dff-438d-bab0-235c37dc34b4</errorID>
      <errorWord> </errorWord>
      <group>L1_Punc</group>
      <groupName>标点问题</groupName>
      <ability>L2_Punc_CN</ability>
      <abilityName>标点符号问题</abilityName>
      <candidateList>
        <item/>
      </candidateList>
      <explain>此处空格冗余，建议删除。</explain>
      <paraID>2BF039E1</paraID>
      <start>14</start>
      <end>15</end>
      <status>unmodified</status>
      <modifiedWord/>
      <trackRevisions>false</trackRevisions>
    </reviewItem>
    <reviewItem>
      <errorID>f3913532-44e5-475b-a475-d528d844d8c6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1F5FDC0F</paraID>
      <start>0</start>
      <end>2</end>
      <status>unmodified</status>
      <modifiedWord/>
      <trackRevisions>false</trackRevisions>
    </reviewItem>
    <reviewItem>
      <errorID>8c7b9510-d0c2-4f7f-af45-fb1509247b40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784B603A</paraID>
      <start>0</start>
      <end>2</end>
      <status>unmodified</status>
      <modifiedWord/>
      <trackRevisions>false</trackRevisions>
    </reviewItem>
    <reviewItem>
      <errorID>c09e1027-5b92-44ec-9137-0412cc4a874a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FD178B1</paraID>
      <start>0</start>
      <end>2</end>
      <status>unmodified</status>
      <modifiedWord/>
      <trackRevisions>false</trackRevisions>
    </reviewItem>
    <reviewItem>
      <errorID>3df17754-8f40-4a44-a074-4a1c7bfb6f85</errorID>
      <errorWord>施工</errorWord>
      <group>L1_Word</group>
      <groupName>字词问题</groupName>
      <ability>L2_Typo</ability>
      <abilityName>字词错误</abilityName>
      <candidateList>
        <item>即施工</item>
      </candidateList>
      <explain/>
      <paraID>29B815E3</paraID>
      <start>82</start>
      <end>84</end>
      <status>unmodified</status>
      <modifiedWord/>
      <trackRevisions>false</trackRevisions>
    </reviewItem>
    <reviewItem>
      <errorID>35eda89c-335c-471f-92db-706432df0a3f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A7ABD08</paraID>
      <start>0</start>
      <end>2</end>
      <status>unmodified</status>
      <modifiedWord/>
      <trackRevisions>false</trackRevisions>
    </reviewItem>
    <reviewItem>
      <errorID>1cb2e414-cd15-490b-ab96-55c8b0765e23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3C7615F7</paraID>
      <start>0</start>
      <end>2</end>
      <status>unmodified</status>
      <modifiedWord/>
      <trackRevisions>false</trackRevisions>
    </reviewItem>
    <reviewItem>
      <errorID>1fe41930-1c87-47f8-9937-675dafa8e686</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7D3C9B50</paraID>
      <start>5</start>
      <end>8</end>
      <status>unmodified</status>
      <modifiedWord/>
      <trackRevisions>false</trackRevisions>
    </reviewItem>
    <reviewItem>
      <errorID>31c38f0c-f6d9-479e-8ec1-7446017aa164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4E38024C</paraID>
      <start>0</start>
      <end>2</end>
      <status>unmodified</status>
      <modifiedWord/>
      <trackRevisions>false</trackRevisions>
    </reviewItem>
    <reviewItem>
      <errorID>52d05dc4-213c-4d7a-ad12-2eaa2b215983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7CE4377C</paraID>
      <start>0</start>
      <end>2</end>
      <status>unmodified</status>
      <modifiedWord/>
      <trackRevisions>false</trackRevisions>
    </reviewItem>
    <reviewItem>
      <errorID>178b0257-f9fb-4804-8527-d3b020c77640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BA5080C</paraID>
      <start>0</start>
      <end>2</end>
      <status>unmodified</status>
      <modifiedWord/>
      <trackRevisions>false</trackRevisions>
    </reviewItem>
    <reviewItem>
      <errorID>e0c5a8c3-9af0-466d-af13-b48750c66f4a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4876D7AD</paraID>
      <start>0</start>
      <end>2</end>
      <status>unmodified</status>
      <modifiedWord/>
      <trackRevisions>false</trackRevisions>
    </reviewItem>
    <reviewItem>
      <errorID>d0a8f514-5cc2-4af2-9cd3-1ec808a4524a</errorID>
      <errorWord>&lt;</errorWord>
      <group>L1_Format</group>
      <groupName>格式问题</groupName>
      <ability>L2_HalfPunc_CN</ability>
      <abilityName>全半角问题</abilityName>
      <candidateList>
        <item>〈</item>
      </candidateList>
      <explain>文本全半角错误。</explain>
      <paraID>40E7958F</paraID>
      <start>16</start>
      <end>17</end>
      <status>unmodified</status>
      <modifiedWord/>
      <trackRevisions>false</trackRevisions>
    </reviewItem>
    <reviewItem>
      <errorID>3f8bb706-0bf6-4a31-a3f9-7f92d7c2f95c</errorID>
      <errorWord>&gt;的通知》</errorWord>
      <group>L1_Punc</group>
      <groupName>标点问题</groupName>
      <ability>L2_Punc_CN</ability>
      <abilityName>标点符号问题</abilityName>
      <candidateList>
        <item>〉的通知》</item>
      </candidateList>
      <explain/>
      <paraID>40E7958F</paraID>
      <start>39</start>
      <end>44</end>
      <status>unmodified</status>
      <modifiedWord/>
      <trackRevisions>false</trackRevisions>
    </reviewItem>
    <reviewItem>
      <errorID>30806d10-902b-43cb-955a-a4f39c471181</errorID>
      <errorWord>》</errorWord>
      <group>L1_Word</group>
      <groupName>字词问题</groupName>
      <ability>L2_Typo</ability>
      <abilityName>字词错误</abilityName>
      <candidateList>
        <item>》等</item>
      </candidateList>
      <explain/>
      <paraID>40E7958F</paraID>
      <start>122</start>
      <end>123</end>
      <status>unmodified</status>
      <modifiedWord/>
      <trackRevisions>false</trackRevisions>
    </reviewItem>
    <reviewItem>
      <errorID>7159c03e-6749-4b6a-acb8-f4005366b510</errorID>
      <errorWord>法律、法规</errorWord>
      <group>L1_Word</group>
      <groupName>字词问题</groupName>
      <ability>L2_Typo</ability>
      <abilityName>字词错误</abilityName>
      <candidateList>
        <item>法律法规</item>
      </candidateList>
      <explain/>
      <paraID> 28F4E61</paraID>
      <start>1</start>
      <end>6</end>
      <status>unmodified</status>
      <modifiedWord/>
      <trackRevisions>false</trackRevisions>
    </reviewItem>
    <reviewItem>
      <errorID>2b1f721e-af61-4e0b-87cd-945b7a8c1f86</errorID>
      <errorWord>法律、法规</errorWord>
      <group>L1_Word</group>
      <groupName>字词问题</groupName>
      <ability>L2_Typo</ability>
      <abilityName>字词错误</abilityName>
      <candidateList>
        <item>法律法规</item>
      </candidateList>
      <explain/>
      <paraID> 3870871</paraID>
      <start>116</start>
      <end>121</end>
      <status>unmodified</status>
      <modifiedWord/>
      <trackRevisions>false</trackRevisions>
    </reviewItem>
    <reviewItem>
      <errorID>4de305c1-e69e-4fd4-81f7-13ae1c0c845d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E730A6C</paraID>
      <start>6</start>
      <end>9</end>
      <status>unmodified</status>
      <modifiedWord/>
      <trackRevisions>false</trackRevisions>
    </reviewItem>
    <reviewItem>
      <errorID>a70caeaf-e37f-459f-99c6-802262fcceac</errorID>
      <errorWord>运营</errorWord>
      <group>L1_Grammar</group>
      <groupName>语法问题</groupName>
      <ability>L2_Grammar</ability>
      <abilityName>语法错误</abilityName>
      <candidateList>
        <item>以及运营</item>
      </candidateList>
      <explain/>
      <paraID>7990DD9B</paraID>
      <start>92</start>
      <end>94</end>
      <status>unmodified</status>
      <modifiedWord/>
      <trackRevisions>false</trackRevisions>
    </reviewItem>
    <reviewItem>
      <errorID>90421866-683e-422d-9e05-a15d137842a9</errorID>
      <errorWord>（4）</errorWord>
      <group>L1_Format</group>
      <groupName>格式问题</groupName>
      <ability>L2_Ordinal</ability>
      <abilityName>序号格式</abilityName>
      <candidateList>
        <item>（3）</item>
      </candidateList>
      <explain>标题顺序错误，请检查标题顺序是否合理。</explain>
      <paraID>3D20FA47</paraID>
      <start>0</start>
      <end>3</end>
      <status>modified</status>
      <modifiedWord>（3）</modifiedWord>
      <trackRevisions>false</trackRevisions>
    </reviewItem>
    <reviewItem>
      <errorID>3acc4884-f8d6-4847-adfc-21445f6cb8f7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677BC801</paraID>
      <start>105</start>
      <end>108</end>
      <status>unmodified</status>
      <modifiedWord/>
      <trackRevisions>false</trackRevisions>
    </reviewItem>
    <reviewItem>
      <errorID>69186fa6-ca08-47d6-bb27-a453389d3494</errorID>
      <errorWord>”三农”问题</errorWord>
      <group>L1_Political</group>
      <groupName>政治性问题</groupName>
      <ability>L2_Keyword</ability>
      <abilityName>固定表述</abilityName>
      <candidateList>
        <item>“三农”问题</item>
      </candidateList>
      <explain>此处内容疑似含有固定表述相关错误，建议核查。</explain>
      <paraID>677BC801</paraID>
      <start>139</start>
      <end>145</end>
      <status>unmodified</status>
      <modifiedWord/>
      <trackRevisions>false</trackRevisions>
    </reviewItem>
    <reviewItem>
      <errorID>322d1334-29fe-4bca-9897-47487a1807df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41523284</paraID>
      <start>0</start>
      <end>2</end>
      <status>unmodified</status>
      <modifiedWord/>
      <trackRevisions>false</trackRevisions>
    </reviewItem>
    <reviewItem>
      <errorID>20b69442-e3ba-4e7e-b1dd-770777c2c645</errorID>
      <errorWord>法律、法规</errorWord>
      <group>L1_Word</group>
      <groupName>字词问题</groupName>
      <ability>L2_Typo</ability>
      <abilityName>字词错误</abilityName>
      <candidateList>
        <item>法律法规</item>
      </candidateList>
      <explain/>
      <paraID>54B68098</paraID>
      <start>7</start>
      <end>12</end>
      <status>unmodified</status>
      <modifiedWord/>
      <trackRevisions>false</trackRevisions>
    </reviewItem>
    <reviewItem>
      <errorID>0548f947-e8f2-4773-a57e-1ef0dc5f756f</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 D5530C2</paraID>
      <start>4</start>
      <end>20</end>
      <status>unmodified</status>
      <modifiedWord/>
      <trackRevisions>false</trackRevisions>
    </reviewItem>
    <reviewItem>
      <errorID>52dd18b7-1063-40e6-8278-719375448392</errorID>
      <errorWord>农办</errorWord>
      <group>L1_Punc</group>
      <groupName>标点问题</groupName>
      <ability>L2_Punc_CN</ability>
      <abilityName>标点符号问题</abilityName>
      <candidateList>
        <item>（农办</item>
      </candidateList>
      <explain/>
      <paraID> 54CCA29</paraID>
      <start>33</start>
      <end>35</end>
      <status>unmodified</status>
      <modifiedWord/>
      <trackRevisions>false</trackRevisions>
    </reviewItem>
    <reviewItem>
      <errorID>404665ed-6080-4649-afc2-45755c112f56</errorID>
      <errorWord>农业农村部</errorWord>
      <group>L1_Political</group>
      <groupName>政治性问题</groupName>
      <ability>L2_Keyword</ability>
      <abilityName>固定表述</abilityName>
      <candidateList>
        <item>，农业农村部</item>
      </candidateList>
      <explain>此处内容疑似含有固定表述相关错误，建议核查。</explain>
      <paraID> 54CCA29</paraID>
      <start>45</start>
      <end>50</end>
      <status>unmodified</status>
      <modifiedWord/>
      <trackRevisions>false</trackRevisions>
    </reviewItem>
    <reviewItem>
      <errorID>2d71c2e1-d793-45e0-a1d9-41ced2310628</errorID>
      <errorWord>生态环境部</errorWord>
      <group>L1_Political</group>
      <groupName>政治性问题</groupName>
      <ability>L2_Keyword</ability>
      <abilityName>固定表述</abilityName>
      <candidateList>
        <item>、生态环境部</item>
      </candidateList>
      <explain>此处内容疑似含有固定表述相关错误，建议核查。</explain>
      <paraID> 54CCA29</paraID>
      <start>53</start>
      <end>58</end>
      <status>unmodified</status>
      <modifiedWord/>
      <trackRevisions>false</trackRevisions>
    </reviewItem>
    <reviewItem>
      <errorID>6e248a7d-6d77-4a23-99fc-b50dc982f66f</errorID>
      <errorWord>&lt;</errorWord>
      <group>L1_Punc</group>
      <groupName>标点问题</groupName>
      <ability>L2_Punc_CN</ability>
      <abilityName>标点符号问题</abilityName>
      <candidateList>
        <item>〈</item>
      </candidateList>
      <explain/>
      <paraID>243AF817</paraID>
      <start>9</start>
      <end>10</end>
      <status>unmodified</status>
      <modifiedWord/>
      <trackRevisions>false</trackRevisions>
    </reviewItem>
    <reviewItem>
      <errorID>9860afdb-67ca-4615-9322-119457337c59</errorID>
      <errorWord>&gt;的通知》</errorWord>
      <group>L1_Punc</group>
      <groupName>标点问题</groupName>
      <ability>L2_Punc_CN</ability>
      <abilityName>标点符号问题</abilityName>
      <candidateList>
        <item>〉的通知》</item>
      </candidateList>
      <explain/>
      <paraID>243AF817</paraID>
      <start>30</start>
      <end>35</end>
      <status>unmodified</status>
      <modifiedWord/>
      <trackRevisions>false</trackRevisions>
    </reviewItem>
    <reviewItem>
      <errorID>e6791331-549a-4f8e-83d3-a36ffc537068</errorID>
      <errorWord>地方法规</errorWord>
      <group>L1_Political</group>
      <groupName>政治性问题</groupName>
      <ability>L2_Unpolitical</ability>
      <abilityName>政治敏感错误</abilityName>
      <candidateList>
        <item>地方性法规</item>
      </candidateList>
      <explain/>
      <paraID>3265911C</paraID>
      <start>5</start>
      <end>9</end>
      <status>unmodified</status>
      <modifiedWord/>
      <trackRevisions>false</trackRevisions>
    </reviewItem>
    <reviewItem>
      <errorID>4a9c102e-07ce-469c-8cfd-d571a5f3250e</errorID>
      <errorWord>第11届</errorWord>
      <group>L1_Grammar</group>
      <groupName>语法问题</groupName>
      <ability>L2_Grammar</ability>
      <abilityName>语法错误</abilityName>
      <candidateList>
        <item>自治区十一届</item>
      </candidateList>
      <explain/>
      <paraID>52A70DC2</paraID>
      <start>26</start>
      <end>30</end>
      <status>unmodified</status>
      <modifiedWord/>
      <trackRevisions>false</trackRevisions>
    </reviewItem>
    <reviewItem>
      <errorID>d69cb425-d6a0-4eb4-aaf5-b9abc37d0209</errorID>
      <errorWord>第9次</errorWord>
      <group>L1_Word</group>
      <groupName>字词问题</groupName>
      <ability>L2_Typo</ability>
      <abilityName>字词错误</abilityName>
      <candidateList>
        <item>第九次</item>
      </candidateList>
      <explain/>
      <paraID>52A70DC2</paraID>
      <start>32</start>
      <end>35</end>
      <status>unmodified</status>
      <modifiedWord/>
      <trackRevisions>false</trackRevisions>
    </reviewItem>
    <reviewItem>
      <errorID>11bf5d35-1f20-4783-9f20-083eb00139c4</errorID>
      <errorWord>）</errorWord>
      <group>L1_Word</group>
      <groupName>字词问题</groupName>
      <ability>L2_Typo</ability>
      <abilityName>字词错误</abilityName>
      <candidateList>
        <item>日）</item>
      </candidateList>
      <explain/>
      <paraID>25B7838B</paraID>
      <start>60</start>
      <end>61</end>
      <status>unmodified</status>
      <modifiedWord/>
      <trackRevisions>false</trackRevisions>
    </reviewItem>
    <reviewItem>
      <errorID>fde23d15-8326-46e4-8103-584f549c2643</errorID>
      <errorWord>环保</errorWord>
      <group>L1_Grammar</group>
      <groupName>语法问题</groupName>
      <ability>L2_Grammar</ability>
      <abilityName>语法错误</abilityName>
      <candidateList>
        <item>环境保护</item>
      </candidateList>
      <explain/>
      <paraID>711A09C9</paraID>
      <start>31</start>
      <end>33</end>
      <status>unmodified</status>
      <modifiedWord/>
      <trackRevisions>false</trackRevisions>
    </reviewItem>
    <reviewItem>
      <errorID>ef35b1a0-1369-4578-bb02-66074b5212d2</errorID>
      <errorWord>&lt;</errorWord>
      <group>L1_Format</group>
      <groupName>格式问题</groupName>
      <ability>L2_HalfPunc_CN</ability>
      <abilityName>全半角问题</abilityName>
      <candidateList>
        <item>〈</item>
      </candidateList>
      <explain>文本全半角错误。</explain>
      <paraID>47375098</paraID>
      <start>12</start>
      <end>13</end>
      <status>unmodified</status>
      <modifiedWord/>
      <trackRevisions>false</trackRevisions>
    </reviewItem>
    <reviewItem>
      <errorID>bb798212-1aad-47cf-a987-7157a8ae0a79</errorID>
      <errorWord>&gt;的通知》</errorWord>
      <group>L1_Punc</group>
      <groupName>标点问题</groupName>
      <ability>L2_Punc_CN</ability>
      <abilityName>标点符号问题</abilityName>
      <candidateList>
        <item>〉的通知》</item>
      </candidateList>
      <explain/>
      <paraID>47375098</paraID>
      <start>34</start>
      <end>39</end>
      <status>unmodified</status>
      <modifiedWord/>
      <trackRevisions>false</trackRevisions>
    </reviewItem>
    <reviewItem>
      <errorID>52081fd2-3167-4fe2-9fbd-805abae273b2</errorID>
      <errorWord>环保</errorWord>
      <group>L1_Grammar</group>
      <groupName>语法问题</groupName>
      <ability>L2_Grammar</ability>
      <abilityName>语法错误</abilityName>
      <candidateList>
        <item>环境保护</item>
      </candidateList>
      <explain/>
      <paraID>47375098</paraID>
      <start>42</start>
      <end>44</end>
      <status>unmodified</status>
      <modifiedWord/>
      <trackRevisions>false</trackRevisions>
    </reviewItem>
    <reviewItem>
      <errorID>46732d3e-65cf-4fcb-8571-29fe8a79c88b</errorID>
      <errorWord>”</errorWord>
      <group>L1_Punc</group>
      <groupName>标点问题</groupName>
      <ability>L2_Punc_CN</ability>
      <abilityName>标点符号问题</abilityName>
      <candidateList>
        <item>“</item>
      </candidateList>
      <explain>注意检查双引号的方向是否正确。</explain>
      <paraID>2D2D5A9A</paraID>
      <start>16</start>
      <end>17</end>
      <status>unmodified</status>
      <modifiedWord/>
      <trackRevisions>false</trackRevisions>
    </reviewItem>
    <reviewItem>
      <errorID>09da1bc4-453c-4dad-a12d-ee7b1505fa57</errorID>
      <errorWord>十四五”规划</errorWord>
      <group>L1_Political</group>
      <groupName>政治性问题</groupName>
      <ability>L2_Keyword</ability>
      <abilityName>固定表述</abilityName>
      <candidateList>
        <item>“十四五”规划</item>
      </candidateList>
      <explain>注意检查当前固定表述标点是否使用规范。</explain>
      <paraID>2D2D5A9A</paraID>
      <start>17</start>
      <end>23</end>
      <status>unmodified</status>
      <modifiedWord/>
      <trackRevisions>false</trackRevisions>
    </reviewItem>
    <reviewItem>
      <errorID>f0aab99d-c174-4257-aa6b-690f9182d318</errorID>
      <errorWord>生态部</errorWord>
      <group>L1_Political</group>
      <groupName>政治性问题</groupName>
      <ability>L2_Keyword</ability>
      <abilityName>固定表述</abilityName>
      <candidateList>
        <item>生态环境部</item>
      </candidateList>
      <explain>此处内容疑似含有固定表述相关错误，建议核查。</explain>
      <paraID>333AAE39</paraID>
      <start>17</start>
      <end>20</end>
      <status>unmodified</status>
      <modifiedWord/>
      <trackRevisions>false</trackRevisions>
    </reviewItem>
    <reviewItem>
      <errorID>b800a842-232d-46ba-b167-a4e613ce942c</errorID>
      <errorWord>）</errorWord>
      <group>L1_Punc</group>
      <groupName>标点问题</groupName>
      <ability>L2_Punc_CN</ability>
      <abilityName>标点符号问题</abilityName>
      <candidateList>
        <item>）；</item>
      </candidateList>
      <explain/>
      <paraID> F92A913</paraID>
      <start>30</start>
      <end>31</end>
      <status>unmodified</status>
      <modifiedWord/>
      <trackRevisions>false</trackRevisions>
    </reviewItem>
    <reviewItem>
      <errorID>5305bded-a134-404b-86ed-ca1f19ce0c6e</errorID>
      <errorWord>[2017]86号</errorWord>
      <group>L1_Knowledge</group>
      <groupName>知识性问题</groupName>
      <ability>L2_Knowledge</ability>
      <abilityName>其他知识</abilityName>
      <candidateList>
        <item>〔2017〕86号</item>
      </candidateList>
      <explain>发文字号格式错误。</explain>
      <paraID>44559193</paraID>
      <start>27</start>
      <end>36</end>
      <status>modified</status>
      <modifiedWord>〔2017〕86号</modifiedWord>
      <trackRevisions>false</trackRevisions>
    </reviewItem>
    <reviewItem>
      <errorID>bc282437-e89b-4769-b933-a87942c891e8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76D77CCF</paraID>
      <start>3</start>
      <end>6</end>
      <status>unmodified</status>
      <modifiedWord/>
      <trackRevisions>false</trackRevisions>
    </reviewItem>
    <reviewItem>
      <errorID>06f50112-1aaf-4838-9885-b0f65411ee5b</errorID>
      <errorWord>评述</errorWord>
      <group>L1_Word</group>
      <groupName>字词问题</groupName>
      <ability>L2_Typo</ability>
      <abilityName>字词错误</abilityName>
      <candidateList>
        <item>评估</item>
      </candidateList>
      <explain/>
      <paraID>2489C4D6</paraID>
      <start>57</start>
      <end>59</end>
      <status>unmodified</status>
      <modifiedWord/>
      <trackRevisions>false</trackRevisions>
    </reviewItem>
    <reviewItem>
      <errorID>872b86fa-fee6-453e-b54f-1ae9d82b86cb</errorID>
      <errorWord>生产</errorWord>
      <group>L1_Word</group>
      <groupName>字词问题</groupName>
      <ability>L2_Typo</ability>
      <abilityName>字词错误</abilityName>
      <candidateList>
        <item>产生</item>
      </candidateList>
      <explain/>
      <paraID>7433B415</paraID>
      <start>0</start>
      <end>2</end>
      <status>unmodified</status>
      <modifiedWord/>
      <trackRevisions>false</trackRevisions>
    </reviewItem>
    <reviewItem>
      <errorID>518a1232-eb26-4bea-b5cb-4a04eb86b2ec</errorID>
      <errorWord>：</errorWord>
      <group>L1_Punc</group>
      <groupName>标点问题</groupName>
      <ability>L2_Punc_CN</ability>
      <abilityName>标点符号问题</abilityName>
      <candidateList/>
      <explain/>
      <paraID>4DA8DBCB</paraID>
      <start>4</start>
      <end>5</end>
      <status>unmodified</status>
      <modifiedWord/>
      <trackRevisions>false</trackRevisions>
    </reviewItem>
    <reviewItem>
      <errorID>40305985-3857-4cb9-b082-23171cf38ec5</errorID>
      <errorWord>短期</errorWord>
      <group>L1_Punc</group>
      <groupName>标点问题</groupName>
      <ability>L2_Punc_CN</ability>
      <abilityName>标点符号问题</abilityName>
      <candidateList>
        <item>：短期</item>
      </candidateList>
      <explain/>
      <paraID>4DA8DBCB</paraID>
      <start>30</start>
      <end>32</end>
      <status>unmodified</status>
      <modifiedWord/>
      <trackRevisions>false</trackRevisions>
    </reviewItem>
    <reviewItem>
      <errorID>bd39939a-47b7-4838-be88-8d927b14f212</errorID>
      <errorWord>长期</errorWord>
      <group>L1_Punc</group>
      <groupName>标点问题</groupName>
      <ability>L2_Punc_CN</ability>
      <abilityName>标点符号问题</abilityName>
      <candidateList>
        <item>：长期</item>
      </candidateList>
      <explain/>
      <paraID>4DA8DBCB</paraID>
      <start>36</start>
      <end>38</end>
      <status>unmodified</status>
      <modifiedWord/>
      <trackRevisions>false</trackRevisions>
    </reviewItem>
    <reviewItem>
      <errorID>e175f22a-577a-4aaf-a072-95570e2c7c4f</errorID>
      <errorWord>确定的</errorWord>
      <group>L1_Word</group>
      <groupName>字词问题</groupName>
      <ability>L2_Typo</ability>
      <abilityName>字词错误</abilityName>
      <candidateList>
        <item>确定</item>
      </candidateList>
      <explain/>
      <paraID>543A35CC</paraID>
      <start>17</start>
      <end>20</end>
      <status>unmodified</status>
      <modifiedWord/>
      <trackRevisions>false</trackRevisions>
    </reviewItem>
    <reviewItem>
      <errorID>195dd793-1c54-456a-adc0-6083545b5d19</errorID>
      <errorWord>表</errorWord>
      <group>L1_Word</group>
      <groupName>字词问题</groupName>
      <ability>L2_Typo</ability>
      <abilityName>字词错误</abilityName>
      <candidateList>
        <item>见表</item>
      </candidateList>
      <explain/>
      <paraID>543A35CC</paraID>
      <start>34</start>
      <end>35</end>
      <status>unmodified</status>
      <modifiedWord/>
      <trackRevisions>false</trackRevisions>
    </reviewItem>
    <reviewItem>
      <errorID>2fdaffed-7895-4706-a61f-92c806d3fdfb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662B3B82</paraID>
      <start>5</start>
      <end>8</end>
      <status>unmodified</status>
      <modifiedWord/>
      <trackRevisions>false</trackRevisions>
    </reviewItem>
    <reviewItem>
      <errorID>a5506711-d03d-4768-8930-bb00f491a077</errorID>
      <errorWord>”</errorWord>
      <group>L1_Punc</group>
      <groupName>标点问题</groupName>
      <ability>L2_Punc_CN</ability>
      <abilityName>标点符号问题</abilityName>
      <candidateList>
        <item>“</item>
      </candidateList>
      <explain>注意检查双引号的方向是否正确。</explain>
      <paraID>58330B7E</paraID>
      <start>35</start>
      <end>36</end>
      <status>modified</status>
      <modifiedWord>“</modifiedWord>
      <trackRevisions>false</trackRevisions>
    </reviewItem>
    <reviewItem>
      <errorID>ec2028da-99be-4b2b-8204-c7a4aaa72d4c</errorID>
      <errorWord>工</errorWord>
      <group>L1_Word</group>
      <groupName>字词问题</groupName>
      <ability>L2_Typo</ability>
      <abilityName>字词错误</abilityName>
      <candidateList>
        <item>工业</item>
      </candidateList>
      <explain/>
      <paraID>58330B7E</paraID>
      <start>68</start>
      <end>69</end>
      <status>unmodified</status>
      <modifiedWord/>
      <trackRevisions>false</trackRevisions>
    </reviewItem>
    <reviewItem>
      <errorID>24b120d3-3677-474d-a3f2-efe811684849</errorID>
      <errorWord>II</errorWord>
      <group>L1_Knowledge</group>
      <groupName>知识性问题</groupName>
      <ability>L2_Knowledge</ability>
      <abilityName>其他知识</abilityName>
      <candidateList>
        <item>Ⅱ</item>
      </candidateList>
      <explain>中文环境下罗马数字格式错误。</explain>
      <paraID>2E2F7540</paraID>
      <start>23</start>
      <end>25</end>
      <status>unmodified</status>
      <modifiedWord/>
      <trackRevisions>false</trackRevisions>
    </reviewItem>
    <reviewItem>
      <errorID>913cbb97-9593-4f99-89d3-8b3f034331d0</errorID>
      <errorWord>-</errorWord>
      <group>L1_Format</group>
      <groupName>格式问题</groupName>
      <ability>L2_HalfPunc_CN</ability>
      <abilityName>全半角问题</abilityName>
      <candidateList>
        <item>－</item>
      </candidateList>
      <explain>文本全半角错误。</explain>
      <paraID>5922143D</paraID>
      <start>5</start>
      <end>6</end>
      <status>unmodified</status>
      <modifiedWord/>
      <trackRevisions>false</trackRevisions>
    </reviewItem>
    <reviewItem>
      <errorID>d8c02d80-665f-4ede-820e-4171a4e44986</errorID>
      <errorWord>环境</errorWord>
      <group>L1_Punc</group>
      <groupName>标点问题</groupName>
      <ability>L2_Punc_CN</ability>
      <abilityName>标点符号问题</abilityName>
      <candidateList>
        <item>《环境</item>
      </candidateList>
      <explain/>
      <paraID>6410EAB5</paraID>
      <start>0</start>
      <end>2</end>
      <status>unmodified</status>
      <modifiedWord/>
      <trackRevisions>false</trackRevisions>
    </reviewItem>
    <reviewItem>
      <errorID>ed272521-252b-4fca-9af3-8a8bc75bb1bb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6410EAB5</paraID>
      <start>8</start>
      <end>9</end>
      <status>unmodified</status>
      <modifiedWord/>
      <trackRevisions>false</trackRevisions>
    </reviewItem>
    <reviewItem>
      <errorID>f16455ba-435b-426d-a0c6-b31a2164b07a</errorID>
      <errorWord>标准标准</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399EC4E4</paraID>
      <start>53</start>
      <end>57</end>
      <status>unmodified</status>
      <modifiedWord/>
      <trackRevisions>false</trackRevisions>
    </reviewItem>
    <reviewItem>
      <errorID>a26e5d53-2359-42d3-b978-629e91aafa42</errorID>
      <errorWord>；</errorWord>
      <group>L1_Punc</group>
      <groupName>标点问题</groupName>
      <ability>L2_Punc_CN</ability>
      <abilityName>标点符号问题</abilityName>
      <candidateList>
        <item>，</item>
      </candidateList>
      <explain/>
      <paraID>387791FE</paraID>
      <start>48</start>
      <end>49</end>
      <status>unmodified</status>
      <modifiedWord/>
      <trackRevisions>false</trackRevisions>
    </reviewItem>
    <reviewItem>
      <errorID>48d55ff9-cb4a-42d0-b969-2b07f74c24f9</errorID>
      <errorWord>厂</errorWord>
      <group>L1_Word</group>
      <groupName>字词问题</groupName>
      <ability>L2_Typo</ability>
      <abilityName>字词错误</abilityName>
      <candidateList>
        <item>场</item>
      </candidateList>
      <explain/>
      <paraID>387791FE</paraID>
      <start>65</start>
      <end>66</end>
      <status>unmodified</status>
      <modifiedWord/>
      <trackRevisions>false</trackRevisions>
    </reviewItem>
    <reviewItem>
      <errorID>dd8260f5-a4a1-46d0-8985-f4e7479bd72d</errorID>
      <errorWord>﹤</errorWord>
      <group>L1_Grammar</group>
      <groupName>语法问题</groupName>
      <ability>L2_Grammar</ability>
      <abilityName>语法错误</abilityName>
      <candidateList>
        <item> &lt; </item>
      </candidateList>
      <explain/>
      <paraID>17D84885</paraID>
      <start>4</start>
      <end>5</end>
      <status>unmodified</status>
      <modifiedWord/>
      <trackRevisions>false</trackRevisions>
    </reviewItem>
    <reviewItem>
      <errorID>cb9e4f5c-d112-4f41-a01f-e8049509dec4</errorID>
      <errorWord>根据估算结果表明</errorWord>
      <group>L1_Grammar</group>
      <groupName>语法问题</groupName>
      <ability>L2_Grammar</ability>
      <abilityName>语法错误</abilityName>
      <candidateList>
        <item>根据估算</item>
      </candidateList>
      <explain>该表达中的“根据估算结果表明”存在语义重复。</explain>
      <paraID>2642ECC9</paraID>
      <start>0</start>
      <end>8</end>
      <status>unmodified</status>
      <modifiedWord/>
      <trackRevisions>false</trackRevisions>
    </reviewItem>
    <reviewItem>
      <errorID>ce29d389-1da6-450f-9110-57c7a8ce215d</errorID>
      <errorWord>因此根据</errorWord>
      <group>L1_Grammar</group>
      <groupName>语法问题</groupName>
      <ability>L2_Grammar</ability>
      <abilityName>语法错误</abilityName>
      <candidateList>
        <item>因此</item>
      </candidateList>
      <explain/>
      <paraID>246339C6</paraID>
      <start>100</start>
      <end>104</end>
      <status>unmodified</status>
      <modifiedWord/>
      <trackRevisions>false</trackRevisions>
    </reviewItem>
    <reviewItem>
      <errorID>2b6d3cfe-e789-4a99-b81d-835fe69f46c9</errorID>
      <errorWord>环境影响技术</errorWord>
      <group>L1_Grammar</group>
      <groupName>语法问题</groupName>
      <ability>L2_Grammar</ability>
      <abilityName>语法错误</abilityName>
      <candidateList>
        <item>环境影响</item>
      </candidateList>
      <explain/>
      <paraID> 10C2D1C</paraID>
      <start>3</start>
      <end>9</end>
      <status>unmodified</status>
      <modifiedWord/>
      <trackRevisions>false</trackRevisions>
    </reviewItem>
    <reviewItem>
      <errorID>72e586c0-0cd1-43d8-b8b7-6a96c55cd4a7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10C2D1C</paraID>
      <start>57</start>
      <end>58</end>
      <status>unmodified</status>
      <modifiedWord/>
      <trackRevisions>false</trackRevisions>
    </reviewItem>
    <reviewItem>
      <errorID>9db9c5f5-6cd1-40d4-be94-002c54321b9f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10C2D1C</paraID>
      <start>85</start>
      <end>86</end>
      <status>unmodified</status>
      <modifiedWord/>
      <trackRevisions>false</trackRevisions>
    </reviewItem>
    <reviewItem>
      <errorID>0364018d-8960-485b-ada3-6d898261a67a</errorID>
      <errorWord>环境影响技术</errorWord>
      <group>L1_Grammar</group>
      <groupName>语法问题</groupName>
      <ability>L2_Grammar</ability>
      <abilityName>语法错误</abilityName>
      <candidateList>
        <item>环境影响</item>
      </candidateList>
      <explain/>
      <paraID>1B533395</paraID>
      <start>3</start>
      <end>9</end>
      <status>unmodified</status>
      <modifiedWord/>
      <trackRevisions>false</trackRevisions>
    </reviewItem>
    <reviewItem>
      <errorID>b06e2374-b207-4889-a025-29a45a7498b9</errorID>
      <errorWord>集中水式</errorWord>
      <group>L1_Word</group>
      <groupName>字词问题</groupName>
      <ability>L2_Typo</ability>
      <abilityName>字词错误</abilityName>
      <candidateList>
        <item>集中式</item>
      </candidateList>
      <explain/>
      <paraID>3D341806</paraID>
      <start>59</start>
      <end>63</end>
      <status>unmodified</status>
      <modifiedWord/>
      <trackRevisions>false</trackRevisions>
    </reviewItem>
    <reviewItem>
      <errorID>27023e39-3287-43f4-9f6e-9bacc0f7aec3</errorID>
      <errorWord>”</errorWord>
      <group>L1_Punc</group>
      <groupName>标点问题</groupName>
      <ability>L2_Punc_CN</ability>
      <abilityName>标点符号问题</abilityName>
      <candidateList>
        <item>. “</item>
      </candidateList>
      <explain/>
      <paraID>2F0B7D69</paraID>
      <start>3</start>
      <end>6</end>
      <status>modified</status>
      <modifiedWord>. “</modifiedWord>
      <trackRevisions>false</trackRevisions>
    </reviewItem>
    <reviewItem>
      <errorID>4beac75d-c589-4919-b842-64c223d2f89c</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2BB18571</paraID>
      <start>76</start>
      <end>81</end>
      <status>unmodified</status>
      <modifiedWord/>
      <trackRevisions>false</trackRevisions>
    </reviewItem>
    <reviewItem>
      <errorID>a4bd00d2-45ae-4e1c-a9d3-6991e0acac35</errorID>
      <errorWord>集中水式</errorWord>
      <group>L1_Word</group>
      <groupName>字词问题</groupName>
      <ability>L2_Typo</ability>
      <abilityName>字词错误</abilityName>
      <candidateList>
        <item>集中式</item>
      </candidateList>
      <explain/>
      <paraID>2BB18571</paraID>
      <start>117</start>
      <end>121</end>
      <status>unmodified</status>
      <modifiedWord/>
      <trackRevisions>false</trackRevisions>
    </reviewItem>
    <reviewItem>
      <errorID>ba24445c-4af0-4d81-9a6d-e58bab1cb602</errorID>
      <errorWord>环境影响技术</errorWord>
      <group>L1_Grammar</group>
      <groupName>语法问题</groupName>
      <ability>L2_Grammar</ability>
      <abilityName>语法错误</abilityName>
      <candidateList>
        <item>环境影响</item>
      </candidateList>
      <explain/>
      <paraID>2BB18571</paraID>
      <start>211</start>
      <end>217</end>
      <status>unmodified</status>
      <modifiedWord/>
      <trackRevisions>false</trackRevisions>
    </reviewItem>
    <reviewItem>
      <errorID>d2ddff3f-7003-43b5-a317-be21213c1d8f</errorID>
      <errorWord>（</errorWord>
      <group>L1_Punc</group>
      <groupName>标点问题</groupName>
      <ability>L2_Punc_CN</ability>
      <abilityName>标点符号问题</abilityName>
      <candidateList/>
      <explain>同一形式括号套用。</explain>
      <paraID> 94DA1C8</paraID>
      <start>163</start>
      <end>164</end>
      <status>unmodified</status>
      <modifiedWord/>
      <trackRevisions>false</trackRevisions>
    </reviewItem>
    <reviewItem>
      <errorID>a1332259-26ec-4c2f-bd60-10b97a45b2b1</errorID>
      <errorWord>）</errorWord>
      <group>L1_Punc</group>
      <groupName>标点问题</groupName>
      <ability>L2_Punc_CN</ability>
      <abilityName>标点符号问题</abilityName>
      <candidateList/>
      <explain>同一形式括号套用。</explain>
      <paraID> 94DA1C8</paraID>
      <start>165</start>
      <end>166</end>
      <status>unmodified</status>
      <modifiedWord/>
      <trackRevisions>false</trackRevisions>
    </reviewItem>
    <reviewItem>
      <errorID>b694a717-00b4-41b1-8e97-61db4a016132</errorID>
      <errorWord>（</errorWord>
      <group>L1_Punc</group>
      <groupName>标点问题</groupName>
      <ability>L2_Punc_CN</ability>
      <abilityName>标点符号问题</abilityName>
      <candidateList/>
      <explain>同一形式括号套用。</explain>
      <paraID>77D9F9F1</paraID>
      <start>72</start>
      <end>73</end>
      <status>unmodified</status>
      <modifiedWord/>
      <trackRevisions>false</trackRevisions>
    </reviewItem>
    <reviewItem>
      <errorID>d411aeab-20fd-4890-992d-e9106d8910ad</errorID>
      <errorWord>）</errorWord>
      <group>L1_Punc</group>
      <groupName>标点问题</groupName>
      <ability>L2_Punc_CN</ability>
      <abilityName>标点符号问题</abilityName>
      <candidateList/>
      <explain>同一形式括号套用。</explain>
      <paraID>77D9F9F1</paraID>
      <start>74</start>
      <end>75</end>
      <status>unmodified</status>
      <modifiedWord/>
      <trackRevisions>false</trackRevisions>
    </reviewItem>
    <reviewItem>
      <errorID>6114b64c-c942-4498-ba5b-402b341b254d</errorID>
      <errorWord>”</errorWord>
      <group>L1_Punc</group>
      <groupName>标点问题</groupName>
      <ability>L2_Punc_CN</ability>
      <abilityName>标点符号问题</abilityName>
      <candidateList>
        <item>“</item>
      </candidateList>
      <explain/>
      <paraID>63F78AFC</paraID>
      <start>99</start>
      <end>100</end>
      <status>modified</status>
      <modifiedWord>“</modifiedWord>
      <trackRevisions>false</trackRevisions>
    </reviewItem>
    <reviewItem>
      <errorID>fa167eaf-e26f-493d-b3d3-edf5c737a643</errorID>
      <errorWord>8所示</errorWord>
      <group>L1_Grammar</group>
      <groupName>语法问题</groupName>
      <ability>L2_Grammar</ability>
      <abilityName>语法错误</abilityName>
      <candidateList>
        <item>8</item>
      </candidateList>
      <explain/>
      <paraID>650ECEF4</paraID>
      <start>41</start>
      <end>44</end>
      <status>unmodified</status>
      <modifiedWord/>
      <trackRevisions>false</trackRevisions>
    </reviewItem>
    <reviewItem>
      <errorID>3096b95d-6a02-405b-a3a2-e117913a683e</errorID>
      <errorWord>II</errorWord>
      <group>L1_Knowledge</group>
      <groupName>知识性问题</groupName>
      <ability>L2_Knowledge</ability>
      <abilityName>其他知识</abilityName>
      <candidateList>
        <item>Ⅱ</item>
      </candidateList>
      <explain>中文环境下罗马数字格式错误。</explain>
      <paraID>4047ED26</paraID>
      <start>0</start>
      <end>2</end>
      <status>unmodified</status>
      <modifiedWord/>
      <trackRevisions>false</trackRevisions>
    </reviewItem>
    <reviewItem>
      <errorID>dd0cd688-4430-4678-bed6-560ef9eba85d</errorID>
      <errorWord>III</errorWord>
      <group>L1_Knowledge</group>
      <groupName>知识性问题</groupName>
      <ability>L2_Knowledge</ability>
      <abilityName>其他知识</abilityName>
      <candidateList>
        <item>Ⅲ</item>
      </candidateList>
      <explain>中文环境下罗马数字格式错误。</explain>
      <paraID>4145C274</paraID>
      <start>0</start>
      <end>3</end>
      <status>unmodified</status>
      <modifiedWord/>
      <trackRevisions>false</trackRevisions>
    </reviewItem>
    <reviewItem>
      <errorID>76d96e39-f3c7-40f9-8e8c-0b67d31f6b12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FDC738</paraID>
      <start>2</start>
      <end>3</end>
      <status>unmodified</status>
      <modifiedWord/>
      <trackRevisions>false</trackRevisions>
    </reviewItem>
    <reviewItem>
      <errorID>baa6e824-3615-4c33-b0b7-a1787d2afd77</errorID>
      <errorWord>-</errorWord>
      <group>L1_Format</group>
      <groupName>格式问题</groupName>
      <ability>L2_HalfPunc_CN</ability>
      <abilityName>全半角问题</abilityName>
      <candidateList>
        <item>－</item>
      </candidateList>
      <explain>文本全半角错误。</explain>
      <paraID>  FDC738</paraID>
      <start>3</start>
      <end>4</end>
      <status>unmodified</status>
      <modifiedWord/>
      <trackRevisions>false</trackRevisions>
    </reviewItem>
    <reviewItem>
      <errorID>0fb06f44-63d8-4125-af92-1413aff99a22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FDC738</paraID>
      <start>4</start>
      <end>5</end>
      <status>unmodified</status>
      <modifiedWord/>
      <trackRevisions>false</trackRevisions>
    </reviewItem>
    <reviewItem>
      <errorID>0793b87b-8be3-4c80-af99-86c995ec1913</errorID>
      <errorWord>。</errorWord>
      <group>L1_Punc</group>
      <groupName>标点问题</groupName>
      <ability>L2_Punc_CN</ability>
      <abilityName>标点符号问题</abilityName>
      <candidateList>
        <item>，</item>
      </candidateList>
      <explain/>
      <paraID>2A7F7053</paraID>
      <start>60</start>
      <end>61</end>
      <status>modified</status>
      <modifiedWord>，</modifiedWord>
      <trackRevisions>false</trackRevisions>
    </reviewItem>
    <reviewItem>
      <errorID>2cb2ab57-ad0d-4995-9f41-e4922d4c78c7</errorID>
      <errorWord>如下</errorWord>
      <group>L1_Word</group>
      <groupName>字词问题</groupName>
      <ability>L2_Typo</ability>
      <abilityName>字词错误</abilityName>
      <candidateList>
        <item>按如下</item>
      </candidateList>
      <explain/>
      <paraID>2A7F7053</paraID>
      <start>73</start>
      <end>75</end>
      <status>unmodified</status>
      <modifiedWord/>
      <trackRevisions>false</trackRevisions>
    </reviewItem>
    <reviewItem>
      <errorID>648d5819-5164-4ff4-9389-e79360ee2f74</errorID>
      <errorWord>环境</errorWord>
      <group>L1_Punc</group>
      <groupName>标点问题</groupName>
      <ability>L2_Punc_CN</ability>
      <abilityName>标点符号问题</abilityName>
      <candidateList>
        <item>，环境</item>
      </candidateList>
      <explain/>
      <paraID>5857ED14</paraID>
      <start>30</start>
      <end>33</end>
      <status>modified</status>
      <modifiedWord>，环境</modifiedWord>
      <trackRevisions>false</trackRevisions>
    </reviewItem>
    <reviewItem>
      <errorID>70f11573-6f41-4c63-aa62-a226211c9eb3</errorID>
      <errorWord>环境影响评级</errorWord>
      <group>L1_Knowledge</group>
      <groupName>知识性问题</groupName>
      <ability>L2_Term</ability>
      <abilityName>专业术语</abilityName>
      <candidateList>
        <item>环境影响评价</item>
      </candidateList>
      <explain/>
      <paraID>64EC4C22</paraID>
      <start>3</start>
      <end>9</end>
      <status>unmodified</status>
      <modifiedWord/>
      <trackRevisions>false</trackRevisions>
    </reviewItem>
    <reviewItem>
      <errorID>ddf7674e-3374-4c93-8c37-62e10b6b5452</errorID>
      <errorWord>大气环境</errorWord>
      <group>L1_Word</group>
      <groupName>字词问题</groupName>
      <ability>L2_Typo</ability>
      <abilityName>字词错误</abilityName>
      <candidateList>
        <item> 大气环境</item>
      </candidateList>
      <explain/>
      <paraID>62507CC8</paraID>
      <start>13</start>
      <end>17</end>
      <status>unmodified</status>
      <modifiedWord/>
      <trackRevisions>false</trackRevisions>
    </reviewItem>
    <reviewItem>
      <errorID>217e123f-9fd4-40b2-914c-3334cbb3ee88</errorID>
      <errorWord>HJ2</errorWord>
      <group>L1_Word</group>
      <groupName>字词问题</groupName>
      <ability>L2_Typo</ability>
      <abilityName>字词错误</abilityName>
      <candidateList>
        <item>HJ 2</item>
      </candidateList>
      <explain/>
      <paraID>62507CC8</paraID>
      <start>19</start>
      <end>22</end>
      <status>unmodified</status>
      <modifiedWord/>
      <trackRevisions>false</trackRevisions>
    </reviewItem>
    <reviewItem>
      <errorID>c1645acb-44d1-47de-af61-b61232eca77d</errorID>
      <errorWord>围以</errorWord>
      <group>L1_Word</group>
      <groupName>字词问题</groupName>
      <ability>L2_Typo</ability>
      <abilityName>字词错误</abilityName>
      <candidateList>
        <item>以</item>
      </candidateList>
      <explain/>
      <paraID>478ECCDC</paraID>
      <start>0</start>
      <end>2</end>
      <status>unmodified</status>
      <modifiedWord/>
      <trackRevisions>false</trackRevisions>
    </reviewItem>
    <reviewItem>
      <errorID>2aead029-51f3-4298-bd5c-597d87345419</errorID>
      <errorWord>减小</errorWord>
      <group>L1_Word</group>
      <groupName>字词问题</groupName>
      <ability>L2_Typo</ability>
      <abilityName>字词错误</abilityName>
      <candidateList>
        <item>减少</item>
      </candidateList>
      <explain>存在字形相近字词的误用。</explain>
      <paraID>4A516B3A</paraID>
      <start>37</start>
      <end>39</end>
      <status>unmodified</status>
      <modifiedWord/>
      <trackRevisions>false</trackRevisions>
    </reviewItem>
    <reviewItem>
      <errorID>49b7081e-bde6-405f-9fde-30aea96953f7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39C52FCE</paraID>
      <start>7</start>
      <end>10</end>
      <status>unmodified</status>
      <modifiedWord/>
      <trackRevisions>false</trackRevisions>
    </reviewItem>
    <reviewItem>
      <errorID>bcf47581-4742-45fc-8478-f55e90251870</errorID>
      <errorWord>农业部</errorWord>
      <group>L1_Knowledge</group>
      <groupName>知识性问题</groupName>
      <ability>L2_Knowledge</ability>
      <abilityName>其他知识</abilityName>
      <candidateList>
        <item>农业农村部</item>
      </candidateList>
      <explain/>
      <paraID>39C52FCE</paraID>
      <start>108</start>
      <end>111</end>
      <status>unmodified</status>
      <modifiedWord/>
      <trackRevisions>false</trackRevisions>
    </reviewItem>
    <reviewItem>
      <errorID>1e43671a-891c-4065-a589-e17a03ae1529</errorID>
      <errorWord>范</errorWord>
      <group>L1_Word</group>
      <groupName>字词问题</groupName>
      <ability>L2_Typo</ability>
      <abilityName>字词错误</abilityName>
      <candidateList>
        <item>范性</item>
      </candidateList>
      <explain/>
      <paraID>39C52FCE</paraID>
      <start>193</start>
      <end>194</end>
      <status>unmodified</status>
      <modifiedWord/>
      <trackRevisions>false</trackRevisions>
    </reviewItem>
    <reviewItem>
      <errorID>b9d62c3c-8189-4bbc-9890-f42cfa2b8735</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5ECD077B</paraID>
      <start>0</start>
      <end>3</end>
      <status>unmodified</status>
      <modifiedWord/>
      <trackRevisions>false</trackRevisions>
    </reviewItem>
    <reviewItem>
      <errorID>fc30a009-0b04-4388-a1a9-1abf0488b44b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5ECD077B</paraID>
      <start>29</start>
      <end>32</end>
      <status>unmodified</status>
      <modifiedWord/>
      <trackRevisions>false</trackRevisions>
    </reviewItem>
    <reviewItem>
      <errorID>c15dd3cd-0af0-4144-9ca9-db007c6817d1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2316B8C7</paraID>
      <start>8</start>
      <end>11</end>
      <status>unmodified</status>
      <modifiedWord/>
      <trackRevisions>false</trackRevisions>
    </reviewItem>
    <reviewItem>
      <errorID>71d0e60a-926e-40f2-b353-54a644f88c35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34D78874</paraID>
      <start>0</start>
      <end>2</end>
      <status>unmodified</status>
      <modifiedWord/>
      <trackRevisions>false</trackRevisions>
    </reviewItem>
    <reviewItem>
      <errorID>612e6a8f-4768-4533-b6cd-1cd3b9b2b2bf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4D983F0B</paraID>
      <start>8</start>
      <end>11</end>
      <status>unmodified</status>
      <modifiedWord/>
      <trackRevisions>false</trackRevisions>
    </reviewItem>
    <reviewItem>
      <errorID>a3f58777-0dc8-4fa9-8dfe-3b0bc130c0b8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5B1D744A</paraID>
      <start>8</start>
      <end>11</end>
      <status>unmodified</status>
      <modifiedWord/>
      <trackRevisions>false</trackRevisions>
    </reviewItem>
    <reviewItem>
      <errorID>d869c911-294e-4e0c-a069-2d807000a708</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785A6379</paraID>
      <start>10</start>
      <end>13</end>
      <status>unmodified</status>
      <modifiedWord/>
      <trackRevisions>false</trackRevisions>
    </reviewItem>
    <reviewItem>
      <errorID>39e6b1dc-ebb7-4028-bd4b-0d4d8a0b5411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298572C9</paraID>
      <start>95</start>
      <end>96</end>
      <status>unmodified</status>
      <modifiedWord/>
      <trackRevisions>false</trackRevisions>
    </reviewItem>
    <reviewItem>
      <errorID>f9ff102d-211d-4b66-80ac-1b78a950fb07</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298572C9</paraID>
      <start>122</start>
      <end>126</end>
      <status>unmodified</status>
      <modifiedWord/>
      <trackRevisions>false</trackRevisions>
    </reviewItem>
    <reviewItem>
      <errorID>aaf40592-e95a-4402-81ea-003ceb58b114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298572C9</paraID>
      <start>136</start>
      <end>137</end>
      <status>unmodified</status>
      <modifiedWord/>
      <trackRevisions>false</trackRevisions>
    </reviewItem>
    <reviewItem>
      <errorID>6e48b907-eb6e-45a9-9f96-e9eaf8c115ec</errorID>
      <errorWord>-</errorWord>
      <group>L1_Format</group>
      <groupName>格式问题</groupName>
      <ability>L2_HalfPunc_CN</ability>
      <abilityName>全半角问题</abilityName>
      <candidateList>
        <item>－</item>
      </candidateList>
      <explain>文本全半角错误。</explain>
      <paraID>666D371B</paraID>
      <start>4</start>
      <end>5</end>
      <status>unmodified</status>
      <modifiedWord/>
      <trackRevisions>false</trackRevisions>
    </reviewItem>
    <reviewItem>
      <errorID>c96874fa-ed00-4813-9754-12cdd339138a</errorID>
      <errorWord>场区</errorWord>
      <group>L1_Word</group>
      <groupName>字词问题</groupName>
      <ability>L2_Typo</ability>
      <abilityName>字词错误</abilityName>
      <candidateList>
        <item>厂区</item>
      </candidateList>
      <explain>存在发音相同字词的误用。</explain>
      <paraID> 10B626A</paraID>
      <start>3</start>
      <end>5</end>
      <status>unmodified</status>
      <modifiedWord/>
      <trackRevisions>false</trackRevisions>
    </reviewItem>
    <reviewItem>
      <errorID>8411bdb8-cdf3-4609-9901-c8d36e5fe812</errorID>
      <errorWord>计</errorWord>
      <group>L1_Word</group>
      <groupName>字词问题</groupName>
      <ability>L2_Typo</ability>
      <abilityName>字词错误</abilityName>
      <candidateList>
        <item>计算</item>
      </candidateList>
      <explain/>
      <paraID>27E8547B</paraID>
      <start>133</start>
      <end>134</end>
      <status>unmodified</status>
      <modifiedWord/>
      <trackRevisions>false</trackRevisions>
    </reviewItem>
    <reviewItem>
      <errorID>bbfaaf68-9168-4bea-b4f1-44e1210b6e8c</errorID>
      <errorWord>计</errorWord>
      <group>L1_Word</group>
      <groupName>字词问题</groupName>
      <ability>L2_Typo</ability>
      <abilityName>字词错误</abilityName>
      <candidateList>
        <item>计算</item>
      </candidateList>
      <explain/>
      <paraID>12BBACBE</paraID>
      <start>60</start>
      <end>61</end>
      <status>unmodified</status>
      <modifiedWord/>
      <trackRevisions>false</trackRevisions>
    </reviewItem>
    <reviewItem>
      <errorID>6d382842-3da9-4912-91d5-046db0b5c518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21C9B79A</paraID>
      <start>0</start>
      <end>2</end>
      <status>unmodified</status>
      <modifiedWord/>
      <trackRevisions>false</trackRevisions>
    </reviewItem>
    <reviewItem>
      <errorID>81895b13-7b19-4895-925f-5850ba0e949a</errorID>
      <errorWord>巨增</errorWord>
      <group>L1_Word</group>
      <groupName>字词问题</groupName>
      <ability>L2_Typo</ability>
      <abilityName>字词错误</abilityName>
      <candidateList>
        <item>剧增</item>
      </candidateList>
      <explain/>
      <paraID>58412669</paraID>
      <start>21</start>
      <end>23</end>
      <status>unmodified</status>
      <modifiedWord/>
      <trackRevisions>false</trackRevisions>
    </reviewItem>
    <reviewItem>
      <errorID>3a44ef37-b330-459d-9875-cbc715fe8bf6</errorID>
      <errorWord>五、六个</errorWord>
      <group>L1_Punc</group>
      <groupName>标点问题</groupName>
      <ability>L2_Punc_CN</ability>
      <abilityName>标点符号问题</abilityName>
      <candidateList>
        <item>五六个</item>
      </candidateList>
      <explain/>
      <paraID>3C348F1C</paraID>
      <start>19</start>
      <end>23</end>
      <status>unmodified</status>
      <modifiedWord/>
      <trackRevisions>false</trackRevisions>
    </reviewItem>
    <reviewItem>
      <errorID>bcc94db4-d154-42c6-a88d-ecb20a2160b9</errorID>
      <errorWord>作好</errorWord>
      <group>L1_Word</group>
      <groupName>字词问题</groupName>
      <ability>L2_Typo</ability>
      <abilityName>字词错误</abilityName>
      <candidateList>
        <item>做好</item>
      </candidateList>
      <explain/>
      <paraID>3C348F1C</paraID>
      <start>57</start>
      <end>59</end>
      <status>unmodified</status>
      <modifiedWord/>
      <trackRevisions>false</trackRevisions>
    </reviewItem>
    <reviewItem>
      <errorID>e3d41c1e-f529-47cb-879c-3b8a4df87055</errorID>
      <errorWord>异外</errorWord>
      <group>L1_Word</group>
      <groupName>字词问题</groupName>
      <ability>L2_Typo</ability>
      <abilityName>字词错误</abilityName>
      <candidateList>
        <item>意外</item>
      </candidateList>
      <explain>存在发音相同字词的误用。</explain>
      <paraID>24A1061D</paraID>
      <start>53</start>
      <end>55</end>
      <status>unmodified</status>
      <modifiedWord/>
      <trackRevisions>false</trackRevisions>
    </reviewItem>
    <reviewItem>
      <errorID>046b0b85-2b75-4bc2-8a4a-b740d2a3ea71</errorID>
      <errorWord>作好</errorWord>
      <group>L1_Grammar</group>
      <groupName>语法问题</groupName>
      <ability>L2_Grammar</ability>
      <abilityName>语法错误</abilityName>
      <candidateList>
        <item>做好</item>
      </candidateList>
      <explain>“作好～工作”搭配不当，建议修改为“做好～工作”。</explain>
      <paraID>24A1061D</paraID>
      <start>125</start>
      <end>127</end>
      <status>unmodified</status>
      <modifiedWord/>
      <trackRevisions>false</trackRevisions>
    </reviewItem>
    <reviewItem>
      <errorID>9158b6b2-09de-4e45-a5f3-551d31e44f6f</errorID>
      <errorWord>作好</errorWord>
      <group>L1_Grammar</group>
      <groupName>语法问题</groupName>
      <ability>L2_Grammar</ability>
      <abilityName>语法错误</abilityName>
      <candidateList>
        <item>做好</item>
      </candidateList>
      <explain>“作好～工作”搭配不当，建议修改为“做好～工作”。</explain>
      <paraID>24A1061D</paraID>
      <start>134</start>
      <end>136</end>
      <status>unmodified</status>
      <modifiedWord/>
      <trackRevisions>false</trackRevisions>
    </reviewItem>
    <reviewItem>
      <errorID>807480fd-eaa1-4a52-b00a-0d1ac7330b60</errorID>
      <errorWord>天时则</errorWord>
      <group>L1_Word</group>
      <groupName>字词问题</groupName>
      <ability>L2_Typo</ability>
      <abilityName>字词错误</abilityName>
      <candidateList>
        <item>天时</item>
      </candidateList>
      <explain/>
      <paraID>63D7D22F</paraID>
      <start>22</start>
      <end>25</end>
      <status>unmodified</status>
      <modifiedWord/>
      <trackRevisions>false</trackRevisions>
    </reviewItem>
    <reviewItem>
      <errorID>0dfdc0d3-a2b1-4bba-8ec1-2af0440b83eb</errorID>
      <errorWord>连续二周</errorWord>
      <group>L1_Word</group>
      <groupName>字词问题</groupName>
      <ability>L2_Typo</ability>
      <abilityName>字词错误</abilityName>
      <candidateList>
        <item>连续两周</item>
      </candidateList>
      <explain/>
      <paraID>63D7D22F</paraID>
      <start>41</start>
      <end>45</end>
      <status>unmodified</status>
      <modifiedWord/>
      <trackRevisions>false</trackRevisions>
    </reviewItem>
    <reviewItem>
      <errorID>e231c47e-dbef-43ee-a04e-ba126a74830a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3F32D435</paraID>
      <start>24</start>
      <end>25</end>
      <status>unmodified</status>
      <modifiedWord/>
      <trackRevisions>false</trackRevisions>
    </reviewItem>
    <reviewItem>
      <errorID>bc885b04-0fa2-4552-a686-b2bee70a6148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3F32D435</paraID>
      <start>34</start>
      <end>35</end>
      <status>unmodified</status>
      <modifiedWord/>
      <trackRevisions>false</trackRevisions>
    </reviewItem>
    <reviewItem>
      <errorID>2441cde1-91a5-4a62-a832-275c3aa40053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3F32D435</paraID>
      <start>80</start>
      <end>81</end>
      <status>unmodified</status>
      <modifiedWord/>
      <trackRevisions>false</trackRevisions>
    </reviewItem>
    <reviewItem>
      <errorID>7a1cf41d-2ac5-4500-b910-3123a13ec1de</errorID>
      <errorWord>贮备</errorWord>
      <group>L1_Word</group>
      <groupName>字词问题</groupName>
      <ability>L2_Typo</ability>
      <abilityName>字词错误</abilityName>
      <candidateList>
        <item>储备</item>
      </candidateList>
      <explain/>
      <paraID> 5CDF6F3</paraID>
      <start>49</start>
      <end>51</end>
      <status>unmodified</status>
      <modifiedWord/>
      <trackRevisions>false</trackRevisions>
    </reviewItem>
    <reviewItem>
      <errorID>9d1ff142-4710-4e69-b3b6-428f1180a137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5CDF6F3</paraID>
      <start>70</start>
      <end>71</end>
      <status>unmodified</status>
      <modifiedWord/>
      <trackRevisions>false</trackRevisions>
    </reviewItem>
    <reviewItem>
      <errorID>729805bd-8ed1-454c-ba6d-b29dabf7647d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5CDF6F3</paraID>
      <start>80</start>
      <end>81</end>
      <status>unmodified</status>
      <modifiedWord/>
      <trackRevisions>false</trackRevisions>
    </reviewItem>
    <reviewItem>
      <errorID>4e5499d0-767f-4fd1-a45f-91e9d3bf9a66</errorID>
      <errorWord>作好</errorWord>
      <group>L1_Word</group>
      <groupName>字词问题</groupName>
      <ability>L2_Typo</ability>
      <abilityName>字词错误</abilityName>
      <candidateList>
        <item>做好</item>
      </candidateList>
      <explain/>
      <paraID>52E2F366</paraID>
      <start>25</start>
      <end>27</end>
      <status>unmodified</status>
      <modifiedWord/>
      <trackRevisions>false</trackRevisions>
    </reviewItem>
    <reviewItem>
      <errorID>20d7b26f-b366-4e3f-989d-04e9b05ba013</errorID>
      <errorWord>乏弱</errorWord>
      <group>L1_Word</group>
      <groupName>字词问题</groupName>
      <ability>L2_Typo</ability>
      <abilityName>字词错误</abilityName>
      <candidateList>
        <item>羸弱</item>
      </candidateList>
      <explain/>
      <paraID> 140D586</paraID>
      <start>25</start>
      <end>27</end>
      <status>unmodified</status>
      <modifiedWord/>
      <trackRevisions>false</trackRevisions>
    </reviewItem>
    <reviewItem>
      <errorID>8e150780-1f88-4bf1-b081-4427b02501ab</errorID>
      <errorWord>不予饮水</errorWord>
      <group>L1_Word</group>
      <groupName>字词问题</groupName>
      <ability>L2_Typo</ability>
      <abilityName>字词错误</abilityName>
      <candidateList>
        <item>不欲饮水</item>
      </candidateList>
      <explain/>
      <paraID> 140D586</paraID>
      <start>45</start>
      <end>49</end>
      <status>unmodified</status>
      <modifiedWord/>
      <trackRevisions>false</trackRevisions>
    </reviewItem>
    <reviewItem>
      <errorID>15117551-ce61-4a6f-8091-845acdf7a9c2</errorID>
      <errorWord>较其它</errorWord>
      <group>L1_Word</group>
      <groupName>字词问题</groupName>
      <ability>L2_Alias</ability>
      <abilityName>也作/曾用词</abilityName>
      <candidateList>
        <item>较其他</item>
      </candidateList>
      <explain>词汇[较其它]为不规范表述或旧称，其规范书面表述为[较其他]。</explain>
      <paraID> 140D586</paraID>
      <start>140</start>
      <end>143</end>
      <status>unmodified</status>
      <modifiedWord/>
      <trackRevisions>false</trackRevisions>
    </reviewItem>
    <reviewItem>
      <errorID>0e6933ef-67de-4fab-ba1c-6be0c1e2256d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7CC0DCBC</paraID>
      <start>23</start>
      <end>24</end>
      <status>unmodified</status>
      <modifiedWord/>
      <trackRevisions>false</trackRevisions>
    </reviewItem>
    <reviewItem>
      <errorID>ca0806f5-8bc6-4c66-9763-19f6d51bedf3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75F6B4AD</paraID>
      <start>45</start>
      <end>46</end>
      <status>unmodified</status>
      <modifiedWord/>
      <trackRevisions>false</trackRevisions>
    </reviewItem>
    <reviewItem>
      <errorID>2bf33b0f-7035-409c-b9a8-1228b84840cb</errorID>
      <errorWord>作好</errorWord>
      <group>L1_Grammar</group>
      <groupName>语法问题</groupName>
      <ability>L2_Grammar</ability>
      <abilityName>语法错误</abilityName>
      <candidateList>
        <item>做好</item>
      </candidateList>
      <explain>“作好～工作”搭配不当，建议修改为“做好～工作”。</explain>
      <paraID>75F6B4AD</paraID>
      <start>146</start>
      <end>148</end>
      <status>unmodified</status>
      <modifiedWord/>
      <trackRevisions>false</trackRevisions>
    </reviewItem>
    <reviewItem>
      <errorID>e6317d24-e3ca-4e0c-bcb4-58d1ddbddb4f</errorID>
      <errorWord>件</errorWord>
      <group>L1_Word</group>
      <groupName>字词问题</groupName>
      <ability>L2_Typo</ability>
      <abilityName>字词错误</abilityName>
      <candidateList>
        <item>件的</item>
      </candidateList>
      <explain/>
      <paraID>69CBE90A</paraID>
      <start>114</start>
      <end>115</end>
      <status>unmodified</status>
      <modifiedWord/>
      <trackRevisions>false</trackRevisions>
    </reviewItem>
    <reviewItem>
      <errorID>1b05aef6-2e08-4347-be3c-f5b2504065a7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62</start>
      <end>63</end>
      <status>unmodified</status>
      <modifiedWord/>
      <trackRevisions>false</trackRevisions>
    </reviewItem>
    <reviewItem>
      <errorID>5c15e900-39dc-4a85-9454-496d7545cb89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72</start>
      <end>73</end>
      <status>unmodified</status>
      <modifiedWord/>
      <trackRevisions>false</trackRevisions>
    </reviewItem>
    <reviewItem>
      <errorID>ebe907d4-143b-4462-a061-63836248e2af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87</start>
      <end>88</end>
      <status>unmodified</status>
      <modifiedWord/>
      <trackRevisions>false</trackRevisions>
    </reviewItem>
    <reviewItem>
      <errorID>accf26a2-2acf-4fd2-ba57-be052473b97d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116</start>
      <end>117</end>
      <status>unmodified</status>
      <modifiedWord/>
      <trackRevisions>false</trackRevisions>
    </reviewItem>
    <reviewItem>
      <errorID>269b12b3-83eb-48d4-965f-37b9822a28ca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5FC20007</paraID>
      <start>128</start>
      <end>129</end>
      <status>unmodified</status>
      <modifiedWord/>
      <trackRevisions>false</trackRevisions>
    </reviewItem>
    <reviewItem>
      <errorID>82c2e529-02e9-4028-a493-b16b605ed5d1</errorID>
      <errorWord>接</errorWord>
      <group>L1_Word</group>
      <groupName>字词问题</groupName>
      <ability>L2_Typo</ability>
      <abilityName>字词错误</abilityName>
      <candidateList>
        <item>按</item>
      </candidateList>
      <explain>（案）àn❶〈书〉考查；核对：有原文可～。❷（编者、作者等）加按语：编者～。</explain>
      <paraID>5C3D1ECB</paraID>
      <start>15</start>
      <end>16</end>
      <status>unmodified</status>
      <modifiedWord/>
      <trackRevisions>false</trackRevisions>
    </reviewItem>
    <reviewItem>
      <errorID>e25373df-e050-45ea-bdd4-947069c972ca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5C3D1ECB</paraID>
      <start>34</start>
      <end>35</end>
      <status>unmodified</status>
      <modifiedWord/>
      <trackRevisions>false</trackRevisions>
    </reviewItem>
    <reviewItem>
      <errorID>43477ec9-745e-4f2f-85a3-710686fb64d5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5C3D1ECB</paraID>
      <start>48</start>
      <end>49</end>
      <status>unmodified</status>
      <modifiedWord/>
      <trackRevisions>false</trackRevisions>
    </reviewItem>
    <reviewItem>
      <errorID>3f694c69-924f-4b75-be4c-1e8018af465b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5C3D1ECB</paraID>
      <start>62</start>
      <end>63</end>
      <status>unmodified</status>
      <modifiedWord/>
      <trackRevisions>false</trackRevisions>
    </reviewItem>
    <reviewItem>
      <errorID>e658ae1c-fed1-40d0-9d71-7c8c7a0b6be8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5D74BF43</paraID>
      <start>15</start>
      <end>16</end>
      <status>unmodified</status>
      <modifiedWord/>
      <trackRevisions>false</trackRevisions>
    </reviewItem>
    <reviewItem>
      <errorID>583b7faf-8d7b-4030-aada-b5940f4d2271</errorID>
      <errorWord>5-7%</errorWord>
      <group>L1_Knowledge</group>
      <groupName>知识性问题</groupName>
      <ability>L2_Knowledge</ability>
      <abilityName>其他知识</abilityName>
      <candidateList>
        <item>5%—7%</item>
      </candidateList>
      <explain>1. “5-7%”中的单位“%”仅出现在后一个数字上，容易引起歧义；根据《现代汉语标点符号数字用法规范手册》，数字表示范围两边需要使用统一的格式。2. 根据标点国标 4.13 中的规则，数字、时间或地域连接符应使用（视觉上更长的）“—”或“～”。</explain>
      <paraID>5D74BF43</paraID>
      <start>47</start>
      <end>51</end>
      <status>unmodified</status>
      <modifiedWord/>
      <trackRevisions>false</trackRevisions>
    </reviewItem>
    <reviewItem>
      <errorID>1cc2f3fa-606b-460d-b6ca-632ea3c1d02d</errorID>
      <errorWord>的粘液</errorWord>
      <group>L1_Word</group>
      <groupName>字词问题</groupName>
      <ability>L2_Alias</ability>
      <abilityName>也作/曾用词</abilityName>
      <candidateList>
        <item>的黏液</item>
      </candidateList>
      <explain>词汇[的粘液]为不规范表述或旧称，其规范书面表述为[的黏液]。</explain>
      <paraID>5D74BF43</paraID>
      <start>146</start>
      <end>149</end>
      <status>unmodified</status>
      <modifiedWord/>
      <trackRevisions>false</trackRevisions>
    </reviewItem>
    <reviewItem>
      <errorID>657ba7ac-75ee-42bc-a9b6-24cb25e34367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37A57D29</paraID>
      <start>11</start>
      <end>12</end>
      <status>unmodified</status>
      <modifiedWord/>
      <trackRevisions>false</trackRevisions>
    </reviewItem>
    <reviewItem>
      <errorID>77122b1b-fead-4d86-af93-ceb31587eb30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37A57D29</paraID>
      <start>66</start>
      <end>67</end>
      <status>unmodified</status>
      <modifiedWord/>
      <trackRevisions>false</trackRevisions>
    </reviewItem>
    <reviewItem>
      <errorID>9d451fbe-add8-44b4-89b1-e7ed70fe5d36</errorID>
      <errorWord>3-4小时</errorWord>
      <group>L1_Word</group>
      <groupName>字词问题</groupName>
      <ability>L2_Typo</ability>
      <abilityName>字词错误</abilityName>
      <candidateList>
        <item>3～4小时</item>
      </candidateList>
      <explain/>
      <paraID>37A57D29</paraID>
      <start>92</start>
      <end>97</end>
      <status>unmodified</status>
      <modifiedWord/>
      <trackRevisions>false</trackRevisions>
    </reviewItem>
    <reviewItem>
      <errorID>cab8bcce-6673-419d-816d-d76ae20539c9</errorID>
      <errorWord>三、四天</errorWord>
      <group>L1_Knowledge</group>
      <groupName>知识性问题</groupName>
      <ability>L2_Knowledge</ability>
      <abilityName>其他知识</abilityName>
      <candidateList>
        <item>三四天</item>
      </candidateList>
      <explain>根据国标GB/T 15834-2011《标点符号用法》中的4.5.3.4节，相邻或相近两数字连用表概数时，通常不使用顿号。如“只能看到八九公里范围内的地面”。</explain>
      <paraID>7B0BCF8B</paraID>
      <start>69</start>
      <end>73</end>
      <status>unmodified</status>
      <modifiedWord/>
      <trackRevisions>false</trackRevisions>
    </reviewItem>
    <reviewItem>
      <errorID>544e578f-4b5d-4a3f-b6bb-4217fb78a720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20052440</paraID>
      <start>0</start>
      <end>2</end>
      <status>unmodified</status>
      <modifiedWord/>
      <trackRevisions>false</trackRevisions>
    </reviewItem>
    <reviewItem>
      <errorID>8b63be7f-3a64-4dbd-8c2d-ce5b68c2b0c9</errorID>
      <errorWord>:</errorWord>
      <group>L1_Format</group>
      <groupName>格式问题</groupName>
      <ability>L2_HalfPunc_CN</ability>
      <abilityName>全半角问题</abilityName>
      <candidateList>
        <item>：</item>
      </candidateList>
      <explain>文本全半角错误。</explain>
      <paraID>365AA053</paraID>
      <start>18</start>
      <end>19</end>
      <status>unmodified</status>
      <modifiedWord/>
      <trackRevisions>false</trackRevisions>
    </reviewItem>
    <reviewItem>
      <errorID>b9694bde-0b33-49a1-8cb8-89c2b22b7844</errorID>
      <errorWord>混凝士</errorWord>
      <group>L1_Word</group>
      <groupName>字词问题</groupName>
      <ability>L2_Typo</ability>
      <abilityName>字词错误</abilityName>
      <candidateList>
        <item>混凝土</item>
      </candidateList>
      <explain>〈名〉一种建筑材料，一般用水泥、沙、石子和水按比例拌和而成，硬结后有耐压、耐水、耐火等性能。</explain>
      <paraID>2CBCE86D</paraID>
      <start>31</start>
      <end>34</end>
      <status>unmodified</status>
      <modifiedWord/>
      <trackRevisions>false</trackRevisions>
    </reviewItem>
    <reviewItem>
      <errorID>8a169e21-0a4f-4926-92d6-79eaa00c8a48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1C7467DE</paraID>
      <start>0</start>
      <end>2</end>
      <status>unmodified</status>
      <modifiedWord/>
      <trackRevisions>false</trackRevisions>
    </reviewItem>
    <reviewItem>
      <errorID>96e0cbfa-e7f6-4e50-87c7-f4f016d95e34</errorID>
      <errorWord>时排</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280EC697</paraID>
      <start>43</start>
      <end>45</end>
      <status>unmodified</status>
      <modifiedWord/>
      <trackRevisions>false</trackRevisions>
    </reviewItem>
    <reviewItem>
      <errorID>b47b9fbd-0786-4580-898d-cf8cc23e9dd2</errorID>
      <errorWord>沙石</errorWord>
      <group>L1_Word</group>
      <groupName>字词问题</groupName>
      <ability>L2_Typo</ability>
      <abilityName>字词错误</abilityName>
      <candidateList>
        <item>砂石</item>
      </candidateList>
      <explain>存在发音相同字词的误用。</explain>
      <paraID>2B169315</paraID>
      <start>44</start>
      <end>46</end>
      <status>unmodified</status>
      <modifiedWord/>
      <trackRevisions>false</trackRevisions>
    </reviewItem>
    <reviewItem>
      <errorID>c166d06a-ac47-4f91-98b2-dd590431ab14</errorID>
      <errorWord>据有关文献资料显示</errorWord>
      <group>L1_Grammar</group>
      <groupName>语法问题</groupName>
      <ability>L2_Grammar</ability>
      <abilityName>语法错误</abilityName>
      <candidateList>
        <item>据有关文献资料</item>
      </candidateList>
      <explain>该表达中的“据有关文献资料显示”存在语义重复。</explain>
      <paraID>51E32044</paraID>
      <start>37</start>
      <end>46</end>
      <status>unmodified</status>
      <modifiedWord/>
      <trackRevisions>false</trackRevisions>
    </reviewItem>
    <reviewItem>
      <errorID>9b12c1e8-7fa1-489e-bdf1-fb7c786ee5a7</errorID>
      <errorWord>作到</errorWord>
      <group>L1_Word</group>
      <groupName>字词问题</groupName>
      <ability>L2_Typo</ability>
      <abilityName>字词错误</abilityName>
      <candidateList>
        <item>做到</item>
      </candidateList>
      <explain/>
      <paraID>69373DF0</paraID>
      <start>138</start>
      <end>140</end>
      <status>unmodified</status>
      <modifiedWord/>
      <trackRevisions>false</trackRevisions>
    </reviewItem>
    <reviewItem>
      <errorID>a010130c-2929-4995-8555-67a7579009f2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3C00A58F</paraID>
      <start>84</start>
      <end>87</end>
      <status>unmodified</status>
      <modifiedWord/>
      <trackRevisions>false</trackRevisions>
    </reviewItem>
    <reviewItem>
      <errorID>595a0614-0e2e-47ad-acda-9e25f46b0b9a</errorID>
      <errorWord>败</errorWord>
      <group>L1_Word</group>
      <groupName>字词问题</groupName>
      <ability>L2_Typo</ability>
      <abilityName>字词错误</abilityName>
      <candidateList>
        <item>败的</item>
      </candidateList>
      <explain/>
      <paraID>386C0721</paraID>
      <start>216</start>
      <end>217</end>
      <status>unmodified</status>
      <modifiedWord/>
      <trackRevisions>false</trackRevisions>
    </reviewItem>
    <reviewItem>
      <errorID>91c2490d-5e00-49ec-b558-d29e92449456</errorID>
      <errorWord>阀值</errorWord>
      <group>L1_Word</group>
      <groupName>字词问题</groupName>
      <ability>L2_Alias</ability>
      <abilityName>也作/曾用词</abilityName>
      <candidateList>
        <item>阈值</item>
      </candidateList>
      <explain>词汇[阀值]为不规范表述或旧称，其规范书面表述为[阈值]。</explain>
      <paraID>32DA6C61</paraID>
      <start>1</start>
      <end>3</end>
      <status>unmodified</status>
      <modifiedWord/>
      <trackRevisions>false</trackRevisions>
    </reviewItem>
    <reviewItem>
      <errorID>ec764527-acd8-42f7-9b08-ec405c116b94</errorID>
      <errorWord>强</errorWord>
      <group>L1_Word</group>
      <groupName>字词问题</groupName>
      <ability>L2_Typo</ability>
      <abilityName>字词错误</abilityName>
      <candidateList>
        <item>强对</item>
      </candidateList>
      <explain/>
      <paraID>6E162BE2</paraID>
      <start>42</start>
      <end>43</end>
      <status>unmodified</status>
      <modifiedWord/>
      <trackRevisions>false</trackRevisions>
    </reviewItem>
    <reviewItem>
      <errorID>637b3725-7942-4b31-ba9e-ce704f409684</errorID>
      <errorWord>杂质</errorWord>
      <group>L1_Word</group>
      <groupName>字词问题</groupName>
      <ability>L2_Typo</ability>
      <abilityName>字词错误</abilityName>
      <candidateList>
        <item>杂志</item>
      </candidateList>
      <explain/>
      <paraID> 54B2218</paraID>
      <start>53</start>
      <end>55</end>
      <status>unmodified</status>
      <modifiedWord/>
      <trackRevisions>false</trackRevisions>
    </reviewItem>
    <reviewItem>
      <errorID>4b3a03c7-dffe-48d0-ae1d-a9a9a4c9c83a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54B2218</paraID>
      <start>260</start>
      <end>261</end>
      <status>unmodified</status>
      <modifiedWord/>
      <trackRevisions>false</trackRevisions>
    </reviewItem>
    <reviewItem>
      <errorID>6d859606-4244-4c97-907d-2d9d9c4e73cc</errorID>
      <errorWord>（</errorWord>
      <group>L1_Format</group>
      <groupName>格式问题</groupName>
      <ability>L2_HalfPunc_CN</ability>
      <abilityName>全半角问题</abilityName>
      <candidateList>
        <item>(</item>
      </candidateList>
      <explain>文本全半角错误。</explain>
      <paraID>326E1560</paraID>
      <start>3</start>
      <end>4</end>
      <status>unmodified</status>
      <modifiedWord/>
      <trackRevisions>false</trackRevisions>
    </reviewItem>
    <reviewItem>
      <errorID>54b1c0b4-9d64-4161-9b25-29cbf5911ebd</errorID>
      <errorWord>（</errorWord>
      <group>L1_Format</group>
      <groupName>格式问题</groupName>
      <ability>L2_HalfPunc_CN</ability>
      <abilityName>全半角问题</abilityName>
      <candidateList>
        <item>(</item>
      </candidateList>
      <explain>文本全半角错误。</explain>
      <paraID>326E1560</paraID>
      <start>6</start>
      <end>7</end>
      <status>unmodified</status>
      <modifiedWord/>
      <trackRevisions>false</trackRevisions>
    </reviewItem>
    <reviewItem>
      <errorID>62d8cb58-2187-4021-b077-a295043761ef</errorID>
      <errorWord>）</errorWord>
      <group>L1_Format</group>
      <groupName>格式问题</groupName>
      <ability>L2_HalfPunc_CN</ability>
      <abilityName>全半角问题</abilityName>
      <candidateList>
        <item>)</item>
      </candidateList>
      <explain>文本全半角错误。</explain>
      <paraID>326E1560</paraID>
      <start>12</start>
      <end>13</end>
      <status>unmodified</status>
      <modifiedWord/>
      <trackRevisions>false</trackRevisions>
    </reviewItem>
    <reviewItem>
      <errorID>92a86053-9e54-4514-9949-4ca3b2d5d317</errorID>
      <errorWord>（</errorWord>
      <group>L1_Format</group>
      <groupName>格式问题</groupName>
      <ability>L2_HalfPunc_CN</ability>
      <abilityName>全半角问题</abilityName>
      <candidateList>
        <item>(</item>
      </candidateList>
      <explain>文本全半角错误。</explain>
      <paraID>326E1560</paraID>
      <start>14</start>
      <end>15</end>
      <status>unmodified</status>
      <modifiedWord/>
      <trackRevisions>false</trackRevisions>
    </reviewItem>
    <reviewItem>
      <errorID>49f2dcab-aa25-4197-8b61-bd6a6b6a50f1</errorID>
      <errorWord>）</errorWord>
      <group>L1_Format</group>
      <groupName>格式问题</groupName>
      <ability>L2_HalfPunc_CN</ability>
      <abilityName>全半角问题</abilityName>
      <candidateList>
        <item>)</item>
      </candidateList>
      <explain>文本全半角错误。</explain>
      <paraID>326E1560</paraID>
      <start>20</start>
      <end>21</end>
      <status>unmodified</status>
      <modifiedWord/>
      <trackRevisions>false</trackRevisions>
    </reviewItem>
    <reviewItem>
      <errorID>dbed073e-1d31-4a72-9b88-baad5982879f</errorID>
      <errorWord>（</errorWord>
      <group>L1_Format</group>
      <groupName>格式问题</groupName>
      <ability>L2_HalfPunc_CN</ability>
      <abilityName>全半角问题</abilityName>
      <candidateList>
        <item>(</item>
      </candidateList>
      <explain>文本全半角错误。</explain>
      <paraID>326E1560</paraID>
      <start>22</start>
      <end>23</end>
      <status>unmodified</status>
      <modifiedWord/>
      <trackRevisions>false</trackRevisions>
    </reviewItem>
    <reviewItem>
      <errorID>69565812-c9dd-4355-9025-e4b96bc0a238</errorID>
      <errorWord>））</errorWord>
      <group>L1_Format</group>
      <groupName>格式问题</groupName>
      <ability>L2_HalfPunc_CN</ability>
      <abilityName>全半角问题</abilityName>
      <candidateList>
        <item>))</item>
      </candidateList>
      <explain>文本全半角错误。</explain>
      <paraID>326E1560</paraID>
      <start>28</start>
      <end>30</end>
      <status>unmodified</status>
      <modifiedWord/>
      <trackRevisions>false</trackRevisions>
    </reviewItem>
    <reviewItem>
      <errorID>ac579625-222b-4c26-8c95-b086c9f71495</errorID>
      <errorWord>。</errorWord>
      <group>L1_Format</group>
      <groupName>格式问题</groupName>
      <ability>L2_HalfPunc_CN</ability>
      <abilityName>全半角问题</abilityName>
      <candidateList>
        <item>.</item>
      </candidateList>
      <explain>文本全半角错误。</explain>
      <paraID>326E1560</paraID>
      <start>42</start>
      <end>43</end>
      <status>unmodified</status>
      <modifiedWord/>
      <trackRevisions>false</trackRevisions>
    </reviewItem>
    <reviewItem>
      <errorID>30aad679-60b5-4078-ab94-e3a153a12350</errorID>
      <errorWord>：</errorWord>
      <group>L1_Format</group>
      <groupName>格式问题</groupName>
      <ability>L2_HalfPunc_CN</ability>
      <abilityName>全半角问题</abilityName>
      <candidateList>
        <item>:</item>
      </candidateList>
      <explain>文本全半角错误。</explain>
      <paraID> 699ED88</paraID>
      <start>42</start>
      <end>43</end>
      <status>unmodified</status>
      <modifiedWord/>
      <trackRevisions>false</trackRevisions>
    </reviewItem>
    <reviewItem>
      <errorID>a5227771-5943-4797-847d-d3bf59596835</errorID>
      <errorWord>生</errorWord>
      <group>L1_Word</group>
      <groupName>字词问题</groupName>
      <ability>L2_Typo</ability>
      <abilityName>字词错误</abilityName>
      <candidateList>
        <item>生量</item>
      </candidateList>
      <explain/>
      <paraID>617206D0</paraID>
      <start>288</start>
      <end>289</end>
      <status>unmodified</status>
      <modifiedWord/>
      <trackRevisions>false</trackRevisions>
    </reviewItem>
    <reviewItem>
      <errorID>162049e6-a5ba-43b9-95b6-5e097c6646a2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617206D0</paraID>
      <start>332</start>
      <end>333</end>
      <status>unmodified</status>
      <modifiedWord/>
      <trackRevisions>false</trackRevisions>
    </reviewItem>
    <reviewItem>
      <errorID>c5f1537b-f0f8-4e2a-b2f2-a02aaa01183f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617206D0</paraID>
      <start>346</start>
      <end>347</end>
      <status>unmodified</status>
      <modifiedWord/>
      <trackRevisions>false</trackRevisions>
    </reviewItem>
    <reviewItem>
      <errorID>87ad007d-7fb9-46bc-affd-70e0cf38d4b3</errorID>
      <errorWord>：</errorWord>
      <group>L1_Format</group>
      <groupName>格式问题</groupName>
      <ability>L2_HalfPunc_CN</ability>
      <abilityName>全半角问题</abilityName>
      <candidateList>
        <item>:</item>
      </candidateList>
      <explain>文本全半角错误。</explain>
      <paraID>4E86D1F0</paraID>
      <start>132</start>
      <end>133</end>
      <status>unmodified</status>
      <modifiedWord/>
      <trackRevisions>false</trackRevisions>
    </reviewItem>
    <reviewItem>
      <errorID>fc3800b8-2e07-482b-a77d-252ed5c1f404</errorID>
      <errorWord>：</errorWord>
      <group>L1_Format</group>
      <groupName>格式问题</groupName>
      <ability>L2_HalfPunc_CN</ability>
      <abilityName>全半角问题</abilityName>
      <candidateList>
        <item>:</item>
      </candidateList>
      <explain>文本全半角错误。</explain>
      <paraID>4E86D1F0</paraID>
      <start>167</start>
      <end>168</end>
      <status>unmodified</status>
      <modifiedWord/>
      <trackRevisions>false</trackRevisions>
    </reviewItem>
    <reviewItem>
      <errorID>7d093de3-f47f-4d53-a90a-b443bd55275c</errorID>
      <errorWord>：</errorWord>
      <group>L1_Format</group>
      <groupName>格式问题</groupName>
      <ability>L2_HalfPunc_CN</ability>
      <abilityName>全半角问题</abilityName>
      <candidateList>
        <item>:</item>
      </candidateList>
      <explain>文本全半角错误。</explain>
      <paraID>3A716DE3</paraID>
      <start>147</start>
      <end>148</end>
      <status>unmodified</status>
      <modifiedWord/>
      <trackRevisions>false</trackRevisions>
    </reviewItem>
    <reviewItem>
      <errorID>6f3bdcf7-2ea3-4212-bfb1-3bbb59fb0bb6</errorID>
      <errorWord>（</errorWord>
      <group>L1_Format</group>
      <groupName>格式问题</groupName>
      <ability>L2_HalfPunc_CN</ability>
      <abilityName>全半角问题</abilityName>
      <candidateList>
        <item>(</item>
      </candidateList>
      <explain>文本全半角错误。</explain>
      <paraID>7A2FD3C5</paraID>
      <start>0</start>
      <end>1</end>
      <status>unmodified</status>
      <modifiedWord/>
      <trackRevisions>false</trackRevisions>
    </reviewItem>
    <reviewItem>
      <errorID>c2eda770-11ef-4eba-a661-0959be80be87</errorID>
      <errorWord>）</errorWord>
      <group>L1_Format</group>
      <groupName>格式问题</groupName>
      <ability>L2_HalfPunc_CN</ability>
      <abilityName>全半角问题</abilityName>
      <candidateList>
        <item>)</item>
      </candidateList>
      <explain>文本全半角错误。</explain>
      <paraID>7A2FD3C5</paraID>
      <start>5</start>
      <end>6</end>
      <status>unmodified</status>
      <modifiedWord/>
      <trackRevisions>false</trackRevisions>
    </reviewItem>
    <reviewItem>
      <errorID>b062701b-01a2-474e-b7a6-51e7aa8c1992</errorID>
      <errorWord>未</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17CCB33D</paraID>
      <start>46</start>
      <end>47</end>
      <status>unmodified</status>
      <modifiedWord/>
      <trackRevisions>false</trackRevisions>
    </reviewItem>
    <reviewItem>
      <errorID>7444177b-4142-4b58-885b-07823f2fece8</errorID>
      <errorWord>风险性</errorWord>
      <group>L1_Word</group>
      <groupName>字词问题</groupName>
      <ability>L2_Typo</ability>
      <abilityName>字词错误</abilityName>
      <candidateList>
        <item>风险</item>
      </candidateList>
      <explain>〈名〉可能发生的危险：担～｜冒着～去搞试验。</explain>
      <paraID>4DF9D55F</paraID>
      <start>64</start>
      <end>67</end>
      <status>unmodified</status>
      <modifiedWord/>
      <trackRevisions>false</trackRevisions>
    </reviewItem>
    <reviewItem>
      <errorID>5f4c7fe2-408c-4bf8-8fec-f340e903d45c</errorID>
      <errorWord>二个</errorWord>
      <group>L1_Word</group>
      <groupName>字词问题</groupName>
      <ability>L2_Typo</ability>
      <abilityName>字词错误</abilityName>
      <candidateList>
        <item>两个</item>
      </candidateList>
      <explain/>
      <paraID>4DF9D55F</paraID>
      <start>80</start>
      <end>82</end>
      <status>unmodified</status>
      <modifiedWord/>
      <trackRevisions>false</trackRevisions>
    </reviewItem>
    <reviewItem>
      <errorID>dfa54232-9b45-4d11-b4d3-aa2ea2f70e1f</errorID>
      <errorWord>代替</errorWord>
      <group>L1_Word</group>
      <groupName>字词问题</groupName>
      <ability>L2_Typo</ability>
      <abilityName>字词错误</abilityName>
      <candidateList>
        <item>替代</item>
      </candidateList>
      <explain/>
      <paraID>4DF9D55F</paraID>
      <start>262</start>
      <end>264</end>
      <status>unmodified</status>
      <modifiedWord/>
      <trackRevisions>false</trackRevisions>
    </reviewItem>
    <reviewItem>
      <errorID>7e044a60-4723-4dc7-bfc3-15ac48ce3d62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2E33828F</paraID>
      <start>0</start>
      <end>2</end>
      <status>unmodified</status>
      <modifiedWord/>
      <trackRevisions>false</trackRevisions>
    </reviewItem>
    <reviewItem>
      <errorID>1e4c821d-f8e7-436e-bdc6-a5d0bb130084</errorID>
      <errorWord>养殖场内</errorWord>
      <group>L1_Word</group>
      <groupName>字词问题</groupName>
      <ability>L2_Typo</ability>
      <abilityName>字词错误</abilityName>
      <candidateList>
        <item>养殖场</item>
      </candidateList>
      <explain/>
      <paraID>319B5E7F</paraID>
      <start>74</start>
      <end>78</end>
      <status>unmodified</status>
      <modifiedWord/>
      <trackRevisions>false</trackRevisions>
    </reviewItem>
    <reviewItem>
      <errorID>8187f7db-fd72-41b6-9ec1-3d7cc1febe4c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4BF66E66</paraID>
      <start>0</start>
      <end>2</end>
      <status>unmodified</status>
      <modifiedWord/>
      <trackRevisions>false</trackRevisions>
    </reviewItem>
    <reviewItem>
      <errorID>4832beda-6ddc-41ed-82db-f63c4c37b344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4E64C0BE</paraID>
      <start>0</start>
      <end>2</end>
      <status>unmodified</status>
      <modifiedWord/>
      <trackRevisions>false</trackRevisions>
    </reviewItem>
    <reviewItem>
      <errorID>c4e1ffbd-2288-460a-b50a-cde056f38136</errorID>
      <errorWord>不必要的浪费</errorWord>
      <group>L1_Grammar</group>
      <groupName>语法问题</groupName>
      <ability>L2_Grammar</ability>
      <abilityName>语法错误</abilityName>
      <candidateList>
        <item>浪费</item>
      </candidateList>
      <explain>该表达中的“不必要的浪费”存在语义重复。【词汇解析】浪费：不恰当或没有节制地使用人力、财物或时间等。包含了“不必要的”的意思</explain>
      <paraID>33CE07A8</paraID>
      <start>68</start>
      <end>74</end>
      <status>unmodified</status>
      <modifiedWord/>
      <trackRevisions>false</trackRevisions>
    </reviewItem>
    <reviewItem>
      <errorID>2d46dd8a-0dac-47b1-8e6c-0ca10749bbd6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79201A57</paraID>
      <start>0</start>
      <end>2</end>
      <status>unmodified</status>
      <modifiedWord/>
      <trackRevisions>false</trackRevisions>
    </reviewItem>
    <reviewItem>
      <errorID>28950402-68c3-475f-b33f-b64b7a1d136f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7FCD94CA</paraID>
      <start>0</start>
      <end>2</end>
      <status>unmodified</status>
      <modifiedWord/>
      <trackRevisions>false</trackRevisions>
    </reviewItem>
    <reviewItem>
      <errorID>247943de-a81f-4761-a74a-d3e2f4938ab3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30574389</paraID>
      <start>0</start>
      <end>2</end>
      <status>unmodified</status>
      <modifiedWord/>
      <trackRevisions>false</trackRevisions>
    </reviewItem>
    <reviewItem>
      <errorID>c178f2ce-2961-476e-9722-b089683ee489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1BBEA7E0</paraID>
      <start>76</start>
      <end>79</end>
      <status>unmodified</status>
      <modifiedWord/>
      <trackRevisions>false</trackRevisions>
    </reviewItem>
    <reviewItem>
      <errorID>436b18c7-4c50-4f01-a353-bbdefdcfe824</errorID>
      <errorWord>利用上</errorWord>
      <group>L1_Word</group>
      <groupName>字词问题</groupName>
      <ability>L2_Typo</ability>
      <abilityName>字词错误</abilityName>
      <candidateList>
        <item>利用</item>
      </candidateList>
      <explain/>
      <paraID>57C1A28E</paraID>
      <start>40</start>
      <end>43</end>
      <status>unmodified</status>
      <modifiedWord/>
      <trackRevisions>false</trackRevisions>
    </reviewItem>
    <reviewItem>
      <errorID>06333042-6146-400f-b29e-12e068062e79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73A5D69</paraID>
      <start>0</start>
      <end>2</end>
      <status>unmodified</status>
      <modifiedWord/>
      <trackRevisions>false</trackRevisions>
    </reviewItem>
    <reviewItem>
      <errorID>41c86a7c-ba0d-4634-9a26-9569b093c74b</errorID>
      <errorWord>巴里坤县</errorWord>
      <group>L1_Knowledge</group>
      <groupName>知识性问题</groupName>
      <ability>L2_Location</ability>
      <abilityName>地名检查</abilityName>
      <candidateList>
        <item>巴里坤哈萨克自治县</item>
      </candidateList>
      <explain>自治区州县缩写不规范。《地名管理条例》第十八条规定，标识牌、公共平台发布的信息、各类公文证件、学习类公开出版物、地图、法律法规规定等场景范围内必须使用标准地名。</explain>
      <paraID>5C987E48</paraID>
      <start>54</start>
      <end>58</end>
      <status>unmodified</status>
      <modifiedWord/>
      <trackRevisions>false</trackRevisions>
    </reviewItem>
    <reviewItem>
      <errorID>39d267d6-9646-4694-8dd7-077ddf58dbfd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4B272267</paraID>
      <start>7</start>
      <end>10</end>
      <status>unmodified</status>
      <modifiedWord/>
      <trackRevisions>false</trackRevisions>
    </reviewItem>
    <reviewItem>
      <errorID>2c87bc20-6afe-4cf1-a026-534c99cdca7f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2A390188</paraID>
      <start>33</start>
      <end>36</end>
      <status>unmodified</status>
      <modifiedWord/>
      <trackRevisions>false</trackRevisions>
    </reviewItem>
    <reviewItem>
      <errorID>862727ff-9812-4c81-9b17-3bedeb963e7d</errorID>
      <errorWord>延</errorWord>
      <group>L1_Word</group>
      <groupName>字词问题</groupName>
      <ability>L2_Typo</ability>
      <abilityName>字词错误</abilityName>
      <candidateList>
        <item>沿</item>
      </candidateList>
      <explain>存在发音相同字词的误用。</explain>
      <paraID>2A390188</paraID>
      <start>221</start>
      <end>222</end>
      <status>unmodified</status>
      <modifiedWord/>
      <trackRevisions>false</trackRevisions>
    </reviewItem>
    <reviewItem>
      <errorID>792f173e-502b-4b08-a748-d561ee1c44f5</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ABD0087</paraID>
      <start>160</start>
      <end>163</end>
      <status>unmodified</status>
      <modifiedWord/>
      <trackRevisions>false</trackRevisions>
    </reviewItem>
    <reviewItem>
      <errorID>79902a35-f29e-4165-a27a-bab8dcfd20bd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401CEC22</paraID>
      <start>101</start>
      <end>104</end>
      <status>unmodified</status>
      <modifiedWord/>
      <trackRevisions>false</trackRevisions>
    </reviewItem>
    <reviewItem>
      <errorID>a56f1e3d-bcb5-42ad-a9a7-a36107056094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30813AE2</paraID>
      <start>11</start>
      <end>14</end>
      <status>unmodified</status>
      <modifiedWord/>
      <trackRevisions>false</trackRevisions>
    </reviewItem>
    <reviewItem>
      <errorID>2533b45b-8f11-4e8f-a7ac-695353c84ef2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4B9E2016</paraID>
      <start>0</start>
      <end>3</end>
      <status>unmodified</status>
      <modifiedWord/>
      <trackRevisions>false</trackRevisions>
    </reviewItem>
    <reviewItem>
      <errorID>027b6fe6-21ce-41fc-a124-391eff941bbc</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64065B37</paraID>
      <start>9</start>
      <end>12</end>
      <status>unmodified</status>
      <modifiedWord/>
      <trackRevisions>false</trackRevisions>
    </reviewItem>
    <reviewItem>
      <errorID>cb3cd76f-7b3c-4b50-a2ca-deeee89620af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5B59C8C2</paraID>
      <start>76</start>
      <end>79</end>
      <status>unmodified</status>
      <modifiedWord/>
      <trackRevisions>false</trackRevisions>
    </reviewItem>
    <reviewItem>
      <errorID>7d907c22-2c0f-4948-93f0-91b916fde1fa</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5958BD18</paraID>
      <start>0</start>
      <end>3</end>
      <status>unmodified</status>
      <modifiedWord/>
      <trackRevisions>false</trackRevisions>
    </reviewItem>
    <reviewItem>
      <errorID>9f3dcbef-4e63-4687-8ec5-169b884dcbce</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5958BD18</paraID>
      <start>85</start>
      <end>88</end>
      <status>unmodified</status>
      <modifiedWord/>
      <trackRevisions>false</trackRevisions>
    </reviewItem>
    <reviewItem>
      <errorID>1b528eb9-665d-46e3-b7f0-2d404680a8e1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5BB77498</paraID>
      <start>0</start>
      <end>3</end>
      <status>unmodified</status>
      <modifiedWord/>
      <trackRevisions>false</trackRevisions>
    </reviewItem>
    <reviewItem>
      <errorID>5ba72cd4-9040-436f-b375-e06caf710566</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7465783A</paraID>
      <start>0</start>
      <end>3</end>
      <status>unmodified</status>
      <modifiedWord/>
      <trackRevisions>false</trackRevisions>
    </reviewItem>
    <reviewItem>
      <errorID>a39eb086-6002-4c2c-b673-66deff75c31c</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177B7ABA</paraID>
      <start>0</start>
      <end>6</end>
      <status>unmodified</status>
      <modifiedWord/>
      <trackRevisions>false</trackRevisions>
    </reviewItem>
    <reviewItem>
      <errorID>beaa7b67-ed8b-47ce-9e89-93e19c673252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5C2F78B1</paraID>
      <start>0</start>
      <end>3</end>
      <status>unmodified</status>
      <modifiedWord/>
      <trackRevisions>false</trackRevisions>
    </reviewItem>
    <reviewItem>
      <errorID>51222751-0f86-4d25-bf3b-d5a52e3c7013</errorID>
      <errorWord>主要土类以栗钙土和棕钙土为主</errorWord>
      <group>L1_Grammar</group>
      <groupName>语法问题</groupName>
      <ability>L2_Grammar</ability>
      <abilityName>语法错误</abilityName>
      <candidateList>
        <item>土类以栗钙土和棕钙土为主</item>
      </candidateList>
      <explain>该表达中的“主要土类以栗钙土和棕钙土为主”存在语义重复。</explain>
      <paraID>6239585B</paraID>
      <start>17</start>
      <end>31</end>
      <status>unmodified</status>
      <modifiedWord/>
      <trackRevisions>false</trackRevisions>
    </reviewItem>
    <reviewItem>
      <errorID>58c66256-6fce-4567-8f43-c61da6d2ad7b</errorID>
      <errorWord>主要以荒漠草原为主</errorWord>
      <group>L1_Grammar</group>
      <groupName>语法问题</groupName>
      <ability>L2_Grammar</ability>
      <abilityName>语法错误</abilityName>
      <candidateList>
        <item>以荒漠草原为主</item>
      </candidateList>
      <explain>该表达中的“主要以荒漠草原为主”存在语义重复。</explain>
      <paraID>6239585B</paraID>
      <start>229</start>
      <end>238</end>
      <status>unmodified</status>
      <modifiedWord/>
      <trackRevisions>false</trackRevisions>
    </reviewItem>
    <reviewItem>
      <errorID>e9520da0-58e4-47d2-82e5-3654c4992cba</errorID>
      <errorWord>2026年05月13日</errorWord>
      <group>L1_Knowledge</group>
      <groupName>知识性问题</groupName>
      <ability>L2_Time</ability>
      <abilityName>日期时间</abilityName>
      <candidateList>
        <item>2026年5月13日</item>
      </candidateList>
      <explain>根据日常书写习惯，月份一般会省略前导零。</explain>
      <paraID>412F98AD</paraID>
      <start>52</start>
      <end>63</end>
      <status>unmodified</status>
      <modifiedWord/>
      <trackRevisions>false</trackRevisions>
    </reviewItem>
    <reviewItem>
      <errorID>eca3bdb0-28d6-47eb-8e70-9cbef5002df9</errorID>
      <errorWord>~</errorWord>
      <group>L1_Format</group>
      <groupName>格式问题</groupName>
      <ability>L2_HalfPunc_CN</ability>
      <abilityName>全半角问题</abilityName>
      <candidateList>
        <item>～</item>
      </candidateList>
      <explain>文本全半角错误。</explain>
      <paraID>412F98AD</paraID>
      <start>63</start>
      <end>64</end>
      <status>unmodified</status>
      <modifiedWord/>
      <trackRevisions>false</trackRevisions>
    </reviewItem>
    <reviewItem>
      <errorID>338e43fb-e936-4339-a87b-2634821d5748</errorID>
      <errorWord>05月20日</errorWord>
      <group>L1_Knowledge</group>
      <groupName>知识性问题</groupName>
      <ability>L2_Time</ability>
      <abilityName>日期时间</abilityName>
      <candidateList>
        <item>5月20日</item>
      </candidateList>
      <explain>根据日常书写习惯，月份一般会省略前导零。</explain>
      <paraID>412F98AD</paraID>
      <start>64</start>
      <end>70</end>
      <status>unmodified</status>
      <modifiedWord/>
      <trackRevisions>false</trackRevisions>
    </reviewItem>
    <reviewItem>
      <errorID>a24c253a-3b03-4b2a-a1f7-817e11c3cdef</errorID>
      <errorWord>～</errorWord>
      <group>L1_Format</group>
      <groupName>格式问题</groupName>
      <ability>L2_HalfPunc_CN</ability>
      <abilityName>全半角问题</abilityName>
      <candidateList>
        <item>~</item>
      </candidateList>
      <explain>文本全半角错误。</explain>
      <paraID>78C8BC81</paraID>
      <start>3</start>
      <end>4</end>
      <status>unmodified</status>
      <modifiedWord/>
      <trackRevisions>false</trackRevisions>
    </reviewItem>
    <reviewItem>
      <errorID>f4f4f5da-5f27-4b5b-8d7a-a3c2a3a4c8b8</errorID>
      <errorWord>～</errorWord>
      <group>L1_Format</group>
      <groupName>格式问题</groupName>
      <ability>L2_HalfPunc_CN</ability>
      <abilityName>全半角问题</abilityName>
      <candidateList>
        <item>~</item>
      </candidateList>
      <explain>文本全半角错误。</explain>
      <paraID>54995656</paraID>
      <start>3</start>
      <end>4</end>
      <status>unmodified</status>
      <modifiedWord/>
      <trackRevisions>false</trackRevisions>
    </reviewItem>
    <reviewItem>
      <errorID>8c31b718-525d-4c8f-baf7-891887fc683f</errorID>
      <errorWord>2026年05月19日</errorWord>
      <group>L1_Knowledge</group>
      <groupName>知识性问题</groupName>
      <ability>L2_Time</ability>
      <abilityName>日期时间</abilityName>
      <candidateList>
        <item>2026年5月19日</item>
      </candidateList>
      <explain>根据日常书写习惯，月份一般会省略前导零。</explain>
      <paraID>7981A11F</paraID>
      <start>51</start>
      <end>62</end>
      <status>unmodified</status>
      <modifiedWord/>
      <trackRevisions>false</trackRevisions>
    </reviewItem>
    <reviewItem>
      <errorID>1edfdd97-91d8-49ee-a884-07fff5a48e8d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7981A11F</paraID>
      <start>62</start>
      <end>63</end>
      <status>unmodified</status>
      <modifiedWord/>
      <trackRevisions>false</trackRevisions>
    </reviewItem>
    <reviewItem>
      <errorID>b32e87c3-8a66-4443-8aff-842938299ba5</errorID>
      <errorWord>2026年05月20日</errorWord>
      <group>L1_Knowledge</group>
      <groupName>知识性问题</groupName>
      <ability>L2_Time</ability>
      <abilityName>日期时间</abilityName>
      <candidateList>
        <item>2026年5月20日</item>
      </candidateList>
      <explain>根据日常书写习惯，月份一般会省略前导零。</explain>
      <paraID>7981A11F</paraID>
      <start>63</start>
      <end>74</end>
      <status>unmodified</status>
      <modifiedWord/>
      <trackRevisions>false</trackRevisions>
    </reviewItem>
    <reviewItem>
      <errorID>300c219c-d7a4-45a2-94e7-47783f8bbc8f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7DDC5A02</paraID>
      <start>11</start>
      <end>12</end>
      <status>unmodified</status>
      <modifiedWord/>
      <trackRevisions>false</trackRevisions>
    </reviewItem>
    <reviewItem>
      <errorID>11901f00-f483-4fac-9ea6-c82dff1bae44</errorID>
      <errorWord>2026年05月18日</errorWord>
      <group>L1_Knowledge</group>
      <groupName>知识性问题</groupName>
      <ability>L2_Time</ability>
      <abilityName>日期时间</abilityName>
      <candidateList>
        <item>2026年5月18日</item>
      </candidateList>
      <explain>根据日常书写习惯，月份一般会省略前导零。</explain>
      <paraID>677CC0B9</paraID>
      <start>46</start>
      <end>57</end>
      <status>unmodified</status>
      <modifiedWord/>
      <trackRevisions>false</trackRevisions>
    </reviewItem>
    <reviewItem>
      <errorID>4deb98ae-5c69-47d4-862c-87c433be1817</errorID>
      <errorWord>《土壤环境质量农用地土壤污染风险管控标准》（试行）</errorWord>
      <group>L1_Knowledge</group>
      <groupName>知识性问题</groupName>
      <ability>L2_Knowledge</ability>
      <abilityName>其他知识</abilityName>
      <candidateList>
        <item>《土壤环境质量农用地土壤污染风险管控标准（试行）》</item>
      </candidateList>
      <explain>疑似政策文件、法律法规名称等书写不规范，请注意检查。</explain>
      <paraID>63D7E6E4</paraID>
      <start>23</start>
      <end>48</end>
      <status>modified</status>
      <modifiedWord>《土壤环境质量农用地土壤污染风险管控标准（试行）》</modifiedWord>
      <trackRevisions>false</trackRevisions>
    </reviewItem>
    <reviewItem>
      <errorID>fec7124b-7345-4d7e-978a-56492eb9f14e</errorID>
      <errorWord>”</errorWord>
      <group>L1_Punc</group>
      <groupName>标点问题</groupName>
      <ability>L2_Punc_CN</ability>
      <abilityName>标点符号问题</abilityName>
      <candidateList>
        <item>“</item>
      </candidateList>
      <explain>注意检查双引号的方向是否正确。</explain>
      <paraID>642C57E7</paraID>
      <start>22</start>
      <end>23</end>
      <status>modified</status>
      <modifiedWord>“</modifiedWord>
      <trackRevisions>false</trackRevisions>
    </reviewItem>
    <reviewItem>
      <errorID>6aa5de29-b361-4494-a79a-685b4cd30c1b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4274D0AC</paraID>
      <start>7</start>
      <end>10</end>
      <status>unmodified</status>
      <modifiedWord/>
      <trackRevisions>false</trackRevisions>
    </reviewItem>
    <reviewItem>
      <errorID>70d53131-0828-4181-9257-5f5dc866b516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57794613</paraID>
      <start>0</start>
      <end>2</end>
      <status>unmodified</status>
      <modifiedWord/>
      <trackRevisions>false</trackRevisions>
    </reviewItem>
    <reviewItem>
      <errorID>56f185e0-0680-4474-9622-8129d5e25b23</errorID>
      <errorWord>沙石</errorWord>
      <group>L1_Word</group>
      <groupName>字词问题</groupName>
      <ability>L2_Typo</ability>
      <abilityName>字词错误</abilityName>
      <candidateList>
        <item>砂石</item>
      </candidateList>
      <explain>存在发音相同字词的误用。</explain>
      <paraID>6400D814</paraID>
      <start>55</start>
      <end>57</end>
      <status>unmodified</status>
      <modifiedWord/>
      <trackRevisions>false</trackRevisions>
    </reviewItem>
    <reviewItem>
      <errorID>39f6185a-1314-4ac4-848d-a01f51005257</errorID>
      <errorWord>据有关调查显示</errorWord>
      <group>L1_Grammar</group>
      <groupName>语法问题</groupName>
      <ability>L2_Grammar</ability>
      <abilityName>语法错误</abilityName>
      <candidateList>
        <item>据有关调查</item>
      </candidateList>
      <explain>该表达中的“据有关调查显示”存在语义重复。</explain>
      <paraID>6400D814</paraID>
      <start>158</start>
      <end>165</end>
      <status>unmodified</status>
      <modifiedWord/>
      <trackRevisions>false</trackRevisions>
    </reviewItem>
    <reviewItem>
      <errorID>2617cf4b-6781-4cb9-a239-36490905d444</errorID>
      <errorWord>（</errorWord>
      <group>L1_Format</group>
      <groupName>格式问题</groupName>
      <ability>L2_HalfPunc_CN</ability>
      <abilityName>全半角问题</abilityName>
      <candidateList>
        <item>(</item>
      </candidateList>
      <explain>文本全半角错误。</explain>
      <paraID>557248C9</paraID>
      <start>1</start>
      <end>2</end>
      <status>unmodified</status>
      <modifiedWord/>
      <trackRevisions>false</trackRevisions>
    </reviewItem>
    <reviewItem>
      <errorID>5be77ffa-d1ea-4947-86d4-43e0d2035078</errorID>
      <errorWord>）</errorWord>
      <group>L1_Format</group>
      <groupName>格式问题</groupName>
      <ability>L2_HalfPunc_CN</ability>
      <abilityName>全半角问题</abilityName>
      <candidateList>
        <item>)</item>
      </candidateList>
      <explain>文本全半角错误。</explain>
      <paraID>557248C9</paraID>
      <start>7</start>
      <end>8</end>
      <status>unmodified</status>
      <modifiedWord/>
      <trackRevisions>false</trackRevisions>
    </reviewItem>
    <reviewItem>
      <errorID>e9619364-deb6-4bb4-9e16-7164cb674fbb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42668E18</paraID>
      <start>45</start>
      <end>46</end>
      <status>unmodified</status>
      <modifiedWord/>
      <trackRevisions>false</trackRevisions>
    </reviewItem>
    <reviewItem>
      <errorID>258730cb-0cee-46ba-af62-2fa8124e2c2b</errorID>
      <errorWord>位</errorWord>
      <group>L1_Word</group>
      <groupName>字词问题</groupName>
      <ability>L2_Typo</ability>
      <abilityName>字词错误</abilityName>
      <candidateList>
        <item>位在</item>
      </candidateList>
      <explain/>
      <paraID>3158DF3D</paraID>
      <start>6</start>
      <end>7</end>
      <status>unmodified</status>
      <modifiedWord/>
      <trackRevisions>false</trackRevisions>
    </reviewItem>
    <reviewItem>
      <errorID>12bb4fc6-c81e-4224-be33-01ca09086a55</errorID>
      <errorWord>程</errorWord>
      <group>L1_Word</group>
      <groupName>字词问题</groupName>
      <ability>L2_Typo</ability>
      <abilityName>字词错误</abilityName>
      <candidateList>
        <item>程中</item>
      </candidateList>
      <explain/>
      <paraID>5F3FC966</paraID>
      <start>33</start>
      <end>34</end>
      <status>unmodified</status>
      <modifiedWord/>
      <trackRevisions>false</trackRevisions>
    </reviewItem>
    <reviewItem>
      <errorID>c34215d5-16fe-4132-8c55-f75687d6e1c4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6A3C015D</paraID>
      <start>64</start>
      <end>67</end>
      <status>unmodified</status>
      <modifiedWord/>
      <trackRevisions>false</trackRevisions>
    </reviewItem>
    <reviewItem>
      <errorID>9dfcd316-1d3c-4618-aacc-36beeccb5a8c</errorID>
      <errorWord>下则</errorWord>
      <group>L1_Word</group>
      <groupName>字词问题</groupName>
      <ability>L2_Typo</ability>
      <abilityName>字词错误</abilityName>
      <candidateList>
        <item>下</item>
      </candidateList>
      <explain>〈动〉趋向动词。用在动词后。❶表示由高处到低处：坐～｜躺～｜传～一道命令。❷表示有空间，能容纳：坐得～｜这个剧场能容～上千人｜这间屋子太小，睡不～六个人。❸表示动作的完成或结果：打～基础｜定～计策｜准备～材料。</explain>
      <paraID>65D131FA</paraID>
      <start>26</start>
      <end>28</end>
      <status>unmodified</status>
      <modifiedWord/>
      <trackRevisions>false</trackRevisions>
    </reviewItem>
    <reviewItem>
      <errorID>fce90319-8f58-4174-8e99-5193f2189885</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57E4EE82</paraID>
      <start>59</start>
      <end>61</end>
      <status>unmodified</status>
      <modifiedWord/>
      <trackRevisions>false</trackRevisions>
    </reviewItem>
    <reviewItem>
      <errorID>b5d4ae6f-5b79-4de5-89e1-d6655409a8f1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16358671</paraID>
      <start>10</start>
      <end>11</end>
      <status>unmodified</status>
      <modifiedWord/>
      <trackRevisions>false</trackRevisions>
    </reviewItem>
    <reviewItem>
      <errorID>2aa6c4f0-ab7a-412e-a4fc-54b32c968264</errorID>
      <errorWord>程</errorWord>
      <group>L1_Word</group>
      <groupName>字词问题</groupName>
      <ability>L2_Typo</ability>
      <abilityName>字词错误</abilityName>
      <candidateList>
        <item>程中</item>
      </candidateList>
      <explain/>
      <paraID>76B41FA3</paraID>
      <start>28</start>
      <end>29</end>
      <status>unmodified</status>
      <modifiedWord/>
      <trackRevisions>false</trackRevisions>
    </reviewItem>
    <reviewItem>
      <errorID>cf30456a-babd-4f39-8f86-c4e0c8e08497</errorID>
      <errorWord>围档</errorWord>
      <group>L1_Word</group>
      <groupName>字词问题</groupName>
      <ability>L2_Typo</ability>
      <abilityName>字词错误</abilityName>
      <candidateList>
        <item>围挡</item>
      </candidateList>
      <explain/>
      <paraID>770956D9</paraID>
      <start>96</start>
      <end>98</end>
      <status>unmodified</status>
      <modifiedWord/>
      <trackRevisions>false</trackRevisions>
    </reviewItem>
    <reviewItem>
      <errorID>c402b10f-128c-4460-9984-b1c1d2ac0f6f</errorID>
      <errorWord>植被种</errorWord>
      <group>L1_Word</group>
      <groupName>字词问题</groupName>
      <ability>L2_Typo</ability>
      <abilityName>字词错误</abilityName>
      <candidateList>
        <item>植被</item>
      </candidateList>
      <explain/>
      <paraID>3E979739</paraID>
      <start>332</start>
      <end>335</end>
      <status>unmodified</status>
      <modifiedWord/>
      <trackRevisions>false</trackRevisions>
    </reviewItem>
    <reviewItem>
      <errorID>70143824-8574-4de6-b1af-5089e601c78b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3E979739</paraID>
      <start>383</start>
      <end>384</end>
      <status>unmodified</status>
      <modifiedWord/>
      <trackRevisions>false</trackRevisions>
    </reviewItem>
    <reviewItem>
      <errorID>7369f47e-4f0e-480e-8dd5-6a0ac0738216</errorID>
      <errorWord>期因</errorWord>
      <group>L1_Word</group>
      <groupName>字词问题</groupName>
      <ability>L2_Typo</ability>
      <abilityName>字词错误</abilityName>
      <candidateList>
        <item>期间</item>
      </candidateList>
      <explain>〈名〉某个时期里面：农忙～｜春节～｜抗战～。</explain>
      <paraID>3E979739</paraID>
      <start>393</start>
      <end>395</end>
      <status>unmodified</status>
      <modifiedWord/>
      <trackRevisions>false</trackRevisions>
    </reviewItem>
    <reviewItem>
      <errorID>0018cab6-4b42-4444-9033-37164b8b3032</errorID>
      <errorWord>；</errorWord>
      <group>L1_Word</group>
      <groupName>字词问题</groupName>
      <ability>L2_Typo</ability>
      <abilityName>字词错误</abilityName>
      <candidateList>
        <item>；要</item>
      </candidateList>
      <explain/>
      <paraID>110DB4E6</paraID>
      <start>56</start>
      <end>57</end>
      <status>unmodified</status>
      <modifiedWord/>
      <trackRevisions>false</trackRevisions>
    </reviewItem>
    <reviewItem>
      <errorID>199e843b-c66d-4b32-95be-88dcdeb2a023</errorID>
      <errorWord>调控的</errorWord>
      <group>L1_Word</group>
      <groupName>字词问题</groupName>
      <ability>L2_Typo</ability>
      <abilityName>字词错误</abilityName>
      <candidateList>
        <item>调控</item>
      </candidateList>
      <explain/>
      <paraID>169E006C</paraID>
      <start>117</start>
      <end>120</end>
      <status>unmodified</status>
      <modifiedWord/>
      <trackRevisions>false</trackRevisions>
    </reviewItem>
    <reviewItem>
      <errorID>b76bb792-9c49-4d63-94aa-408316dc7f3f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10975F32</paraID>
      <start>0</start>
      <end>2</end>
      <status>unmodified</status>
      <modifiedWord/>
      <trackRevisions>false</trackRevisions>
    </reviewItem>
    <reviewItem>
      <errorID>212f7cbc-1f1f-49e8-a4ca-6e82920fdf67</errorID>
      <errorWord>本此</errorWord>
      <group>L1_Word</group>
      <groupName>字词问题</groupName>
      <ability>L2_Typo</ability>
      <abilityName>字词错误</abilityName>
      <candidateList>
        <item>本次</item>
      </candidateList>
      <explain/>
      <paraID>54798113</paraID>
      <start>17</start>
      <end>19</end>
      <status>unmodified</status>
      <modifiedWord/>
      <trackRevisions>false</trackRevisions>
    </reviewItem>
    <reviewItem>
      <errorID>8a8a1ef2-f216-4b84-9d17-c0fa35b2ea34</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1E906CE8</paraID>
      <start>6</start>
      <end>8</end>
      <status>unmodified</status>
      <modifiedWord/>
      <trackRevisions>false</trackRevisions>
    </reviewItem>
    <reviewItem>
      <errorID>2096415b-8822-4928-802e-df88725245c2</errorID>
      <errorWord>根据估算结果表明</errorWord>
      <group>L1_Grammar</group>
      <groupName>语法问题</groupName>
      <ability>L2_Grammar</ability>
      <abilityName>语法错误</abilityName>
      <candidateList>
        <item>根据估算</item>
      </candidateList>
      <explain>该表达中的“根据估算结果表明”存在语义重复。</explain>
      <paraID>4A3A9C83</paraID>
      <start>0</start>
      <end>8</end>
      <status>unmodified</status>
      <modifiedWord/>
      <trackRevisions>false</trackRevisions>
    </reviewItem>
    <reviewItem>
      <errorID>dde12439-2368-4df9-bb08-9edb0c711a10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70002111</paraID>
      <start>0</start>
      <end>2</end>
      <status>unmodified</status>
      <modifiedWord/>
      <trackRevisions>false</trackRevisions>
    </reviewItem>
    <reviewItem>
      <errorID>a79740b0-c985-4c03-a741-403749caa78e</errorID>
      <errorWord>法律、法规</errorWord>
      <group>L1_Word</group>
      <groupName>字词问题</groupName>
      <ability>L2_Typo</ability>
      <abilityName>字词错误</abilityName>
      <candidateList>
        <item>法律法规</item>
      </candidateList>
      <explain/>
      <paraID>6365BF65</paraID>
      <start>191</start>
      <end>196</end>
      <status>unmodified</status>
      <modifiedWord/>
      <trackRevisions>false</trackRevisions>
    </reviewItem>
    <reviewItem>
      <errorID>bf7194a3-dda8-4de3-81c1-6936edf6485f</errorID>
      <errorWord>其它</errorWord>
      <group>L1_Word</group>
      <groupName>字词问题</groupName>
      <ability>L2_Alias</ability>
      <abilityName>也作/曾用词</abilityName>
      <candidateList>
        <item>其他</item>
      </candidateList>
      <explain>词汇[其它]为不规范表述或旧称，其规范书面表述为[其他]。</explain>
      <paraID>6365BF65</paraID>
      <start>204</start>
      <end>206</end>
      <status>unmodified</status>
      <modifiedWord/>
      <trackRevisions>false</trackRevisions>
    </reviewItem>
    <reviewItem>
      <errorID>2ab9f948-96b6-4e9e-bc71-b0b17a1eb280</errorID>
      <errorWord>~</errorWord>
      <group>L1_Format</group>
      <groupName>格式问题</groupName>
      <ability>L2_HalfPunc_CN</ability>
      <abilityName>全半角问题</abilityName>
      <candidateList>
        <item>～</item>
      </candidateList>
      <explain>文本全半角错误。</explain>
      <paraID>1998EC8C</paraID>
      <start>3</start>
      <end>4</end>
      <status>unmodified</status>
      <modifiedWord/>
      <trackRevisions>false</trackRevisions>
    </reviewItem>
    <reviewItem>
      <errorID>6375e52f-2db3-4c12-8792-483860eeb047</errorID>
      <errorWord>~</errorWord>
      <group>L1_Format</group>
      <groupName>格式问题</groupName>
      <ability>L2_HalfPunc_CN</ability>
      <abilityName>全半角问题</abilityName>
      <candidateList>
        <item>～</item>
      </candidateList>
      <explain>文本全半角错误。</explain>
      <paraID>1C91BF0C</paraID>
      <start>3</start>
      <end>4</end>
      <status>unmodified</status>
      <modifiedWord/>
      <trackRevisions>false</trackRevisions>
    </reviewItem>
    <reviewItem>
      <errorID>6faf3626-ebf1-466c-853e-426cb540e8bd</errorID>
      <errorWord>＜</errorWord>
      <group>L1_Format</group>
      <groupName>格式问题</groupName>
      <ability>L2_HalfPunc_CN</ability>
      <abilityName>全半角问题</abilityName>
      <candidateList>
        <item>&lt;</item>
      </candidateList>
      <explain>文本全半角错误。</explain>
      <paraID>33446417</paraID>
      <start>0</start>
      <end>1</end>
      <status>unmodified</status>
      <modifiedWord/>
      <trackRevisions>false</trackRevisions>
    </reviewItem>
    <reviewItem>
      <errorID>15422d24-b4e1-4f17-8a6e-2dd436db549b</errorID>
      <errorWord>~</errorWord>
      <group>L1_Format</group>
      <groupName>格式问题</groupName>
      <ability>L2_HalfPunc_CN</ability>
      <abilityName>全半角问题</abilityName>
      <candidateList>
        <item>～</item>
      </candidateList>
      <explain>文本全半角错误。</explain>
      <paraID>5F6BB701</paraID>
      <start>3</start>
      <end>4</end>
      <status>unmodified</status>
      <modifiedWord/>
      <trackRevisions>false</trackRevisions>
    </reviewItem>
    <reviewItem>
      <errorID>84763f3b-f7af-4dc9-af3f-cc13d08303a9</errorID>
      <errorWord>＞</errorWord>
      <group>L1_Format</group>
      <groupName>格式问题</groupName>
      <ability>L2_HalfPunc_CN</ability>
      <abilityName>全半角问题</abilityName>
      <candidateList>
        <item>&gt;</item>
      </candidateList>
      <explain>文本全半角错误。</explain>
      <paraID>78BA15F2</paraID>
      <start>1</start>
      <end>2</end>
      <status>unmodified</status>
      <modifiedWord/>
      <trackRevisions>false</trackRevisions>
    </reviewItem>
    <reviewItem>
      <errorID>cb121f06-9e99-47f5-8a36-f7f2b0568b39</errorID>
      <errorWord>（/</errorWord>
      <group>L1_Punc</group>
      <groupName>标点问题</groupName>
      <ability>L2_Punc_CN</ability>
      <abilityName>标点符号问题</abilityName>
      <candidateList>
        <item>（</item>
      </candidateList>
      <explain/>
      <paraID> 8214FB1</paraID>
      <start>4</start>
      <end>6</end>
      <status>unmodified</status>
      <modifiedWord/>
      <trackRevisions>false</trackRevisions>
    </reviewItem>
    <reviewItem>
      <errorID>1f880055-2cdf-478a-a66b-57bb5c00ac97</errorID>
      <errorWord>）</errorWord>
      <group>L1_Format</group>
      <groupName>格式问题</groupName>
      <ability>L2_HalfPunc_CN</ability>
      <abilityName>全半角问题</abilityName>
      <candidateList>
        <item>)</item>
      </candidateList>
      <explain>文本全半角错误。</explain>
      <paraID> 8214FB1</paraID>
      <start>6</start>
      <end>7</end>
      <status>unmodified</status>
      <modifiedWord/>
      <trackRevisions>false</trackRevisions>
    </reviewItem>
    <reviewItem>
      <errorID>6599df5f-41a8-4ff2-a3dd-fe7ff9562685</errorID>
      <errorWord>（/</errorWord>
      <group>L1_Punc</group>
      <groupName>标点问题</groupName>
      <ability>L2_Punc_CN</ability>
      <abilityName>标点符号问题</abilityName>
      <candidateList>
        <item>（</item>
      </candidateList>
      <explain/>
      <paraID>47C6514B</paraID>
      <start>4</start>
      <end>6</end>
      <status>unmodified</status>
      <modifiedWord/>
      <trackRevisions>false</trackRevisions>
    </reviewItem>
    <reviewItem>
      <errorID>d564bcd0-b450-40b1-b62c-63ce0b2b4979</errorID>
      <errorWord>）</errorWord>
      <group>L1_Format</group>
      <groupName>格式问题</groupName>
      <ability>L2_HalfPunc_CN</ability>
      <abilityName>全半角问题</abilityName>
      <candidateList>
        <item>)</item>
      </candidateList>
      <explain>文本全半角错误。</explain>
      <paraID>47C6514B</paraID>
      <start>6</start>
      <end>7</end>
      <status>unmodified</status>
      <modifiedWord/>
      <trackRevisions>false</trackRevisions>
    </reviewItem>
    <reviewItem>
      <errorID>0599944f-615d-4c10-b3cf-2be9d309dfcc</errorID>
      <errorWord>（/</errorWord>
      <group>L1_Punc</group>
      <groupName>标点问题</groupName>
      <ability>L2_Punc_CN</ability>
      <abilityName>标点符号问题</abilityName>
      <candidateList>
        <item>（</item>
      </candidateList>
      <explain/>
      <paraID> 969286C</paraID>
      <start>4</start>
      <end>6</end>
      <status>unmodified</status>
      <modifiedWord/>
      <trackRevisions>false</trackRevisions>
    </reviewItem>
    <reviewItem>
      <errorID>6ec433be-e492-424c-b90d-2713da3c6442</errorID>
      <errorWord>（/</errorWord>
      <group>L1_Punc</group>
      <groupName>标点问题</groupName>
      <ability>L2_Punc_CN</ability>
      <abilityName>标点符号问题</abilityName>
      <candidateList>
        <item>（</item>
      </candidateList>
      <explain/>
      <paraID>65B271B8</paraID>
      <start>5</start>
      <end>7</end>
      <status>unmodified</status>
      <modifiedWord/>
      <trackRevisions>false</trackRevisions>
    </reviewItem>
    <reviewItem>
      <errorID>88011dcc-7f99-4fa4-8ed4-7fa325acd69a</errorID>
      <errorWord>）</errorWord>
      <group>L1_Format</group>
      <groupName>格式问题</groupName>
      <ability>L2_HalfPunc_CN</ability>
      <abilityName>全半角问题</abilityName>
      <candidateList>
        <item>)</item>
      </candidateList>
      <explain>文本全半角错误。</explain>
      <paraID>65B271B8</paraID>
      <start>7</start>
      <end>8</end>
      <status>unmodified</status>
      <modifiedWord/>
      <trackRevisions>false</trackRevisions>
    </reviewItem>
    <reviewItem>
      <errorID>f72af4b3-4b2e-4747-84c0-cbb99304dadb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2</start>
      <end>3</end>
      <status>unmodified</status>
      <modifiedWord/>
      <trackRevisions>false</trackRevisions>
    </reviewItem>
    <reviewItem>
      <errorID>bb802ce6-83b1-4c7d-bccd-377683a76b8e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4</start>
      <end>5</end>
      <status>unmodified</status>
      <modifiedWord/>
      <trackRevisions>false</trackRevisions>
    </reviewItem>
    <reviewItem>
      <errorID>0575c47c-d7b8-4d24-9fb0-b4c09b3681c2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11</start>
      <end>12</end>
      <status>unmodified</status>
      <modifiedWord/>
      <trackRevisions>false</trackRevisions>
    </reviewItem>
    <reviewItem>
      <errorID>a0c49ba3-079a-4253-8bf5-173e2d385974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13</start>
      <end>14</end>
      <status>unmodified</status>
      <modifiedWord/>
      <trackRevisions>false</trackRevisions>
    </reviewItem>
    <reviewItem>
      <errorID>5f56e94c-aa22-4d30-9fe2-7b82941a64f3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15</start>
      <end>16</end>
      <status>unmodified</status>
      <modifiedWord/>
      <trackRevisions>false</trackRevisions>
    </reviewItem>
    <reviewItem>
      <errorID>f05b092a-05bc-453c-af30-24b2fa4133eb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CCBB891</paraID>
      <start>18</start>
      <end>19</end>
      <status>unmodified</status>
      <modifiedWord/>
      <trackRevisions>false</trackRevisions>
    </reviewItem>
    <reviewItem>
      <errorID>c0f7d26d-3e3c-4249-9049-9be356d817ac</errorID>
      <errorWord>珍惜</errorWord>
      <group>L1_Word</group>
      <groupName>字词问题</groupName>
      <ability>L2_Typo</ability>
      <abilityName>字词错误</abilityName>
      <candidateList>
        <item>珍稀</item>
      </candidateList>
      <explain>〈形〉珍贵而稀有：大熊猫、金丝猴、野牦牛是我国的～动物。</explain>
      <paraID>31F30C6F</paraID>
      <start>37</start>
      <end>39</end>
      <status>unmodified</status>
      <modifiedWord/>
      <trackRevisions>false</trackRevisions>
    </reviewItem>
    <reviewItem>
      <errorID>aab8d5f0-9056-4b0a-ba51-fa0cf4b85c1c</errorID>
      <errorWord>即有</errorWord>
      <group>L1_Word</group>
      <groupName>字词问题</groupName>
      <ability>L2_Typo</ability>
      <abilityName>字词错误</abilityName>
      <candidateList>
        <item>既有</item>
      </candidateList>
      <explain>存在发音相同字词的误用。</explain>
      <paraID>1DFE02F7</paraID>
      <start>17</start>
      <end>19</end>
      <status>unmodified</status>
      <modifiedWord/>
      <trackRevisions>false</trackRevisions>
    </reviewItem>
    <reviewItem>
      <errorID>211164ed-b4f7-4536-b21d-f21fb61dff8f</errorID>
      <errorWord>夏季团</errorWord>
      <group>L1_Word</group>
      <groupName>字词问题</groupName>
      <ability>L2_Typo</ability>
      <abilityName>字词错误</abilityName>
      <candidateList>
        <item>夏季</item>
      </candidateList>
      <explain/>
      <paraID>7034A9A2</paraID>
      <start>24</start>
      <end>27</end>
      <status>unmodified</status>
      <modifiedWord/>
      <trackRevisions>false</trackRevisions>
    </reviewItem>
    <reviewItem>
      <errorID>9fd099fc-f911-4378-8736-82a174bd6406</errorID>
      <errorWord>（/</errorWord>
      <group>L1_Punc</group>
      <groupName>标点问题</groupName>
      <ability>L2_Punc_CN</ability>
      <abilityName>标点符号问题</abilityName>
      <candidateList>
        <item>（</item>
      </candidateList>
      <explain/>
      <paraID>38A641BF</paraID>
      <start>0</start>
      <end>2</end>
      <status>unmodified</status>
      <modifiedWord/>
      <trackRevisions>false</trackRevisions>
    </reviewItem>
    <reviewItem>
      <errorID>1180d11c-aa7b-4992-8b84-dbfc9ff16dcc</errorID>
      <errorWord>（/</errorWord>
      <group>L1_Punc</group>
      <groupName>标点问题</groupName>
      <ability>L2_Punc_CN</ability>
      <abilityName>标点符号问题</abilityName>
      <candidateList>
        <item>（</item>
      </candidateList>
      <explain/>
      <paraID>6FE5779B</paraID>
      <start>9</start>
      <end>11</end>
      <status>unmodified</status>
      <modifiedWord/>
      <trackRevisions>false</trackRevisions>
    </reviewItem>
    <reviewItem>
      <errorID>b05d9792-e972-48fd-958b-ad5f6232d76e</errorID>
      <errorWord>（/</errorWord>
      <group>L1_Punc</group>
      <groupName>标点问题</groupName>
      <ability>L2_Punc_CN</ability>
      <abilityName>标点符号问题</abilityName>
      <candidateList>
        <item>（</item>
      </candidateList>
      <explain/>
      <paraID>1085F95F</paraID>
      <start>5</start>
      <end>7</end>
      <status>unmodified</status>
      <modifiedWord/>
      <trackRevisions>false</trackRevisions>
    </reviewItem>
    <reviewItem>
      <errorID>0f458707-56b2-48e8-b533-16efa6675a5a</errorID>
      <errorWord>（/</errorWord>
      <group>L1_Punc</group>
      <groupName>标点问题</groupName>
      <ability>L2_Punc_CN</ability>
      <abilityName>标点符号问题</abilityName>
      <candidateList>
        <item>（</item>
      </candidateList>
      <explain/>
      <paraID>1085F95F</paraID>
      <start>24</start>
      <end>26</end>
      <status>unmodified</status>
      <modifiedWord/>
      <trackRevisions>false</trackRevisions>
    </reviewItem>
    <reviewItem>
      <errorID>a1cb7fb4-4169-499a-90a0-9094d8c7dbe3</errorID>
      <errorWord>（/</errorWord>
      <group>L1_Punc</group>
      <groupName>标点问题</groupName>
      <ability>L2_Punc_CN</ability>
      <abilityName>标点符号问题</abilityName>
      <candidateList>
        <item>（</item>
      </candidateList>
      <explain/>
      <paraID>3BC08B6C</paraID>
      <start>0</start>
      <end>2</end>
      <status>unmodified</status>
      <modifiedWord/>
      <trackRevisions>false</trackRevisions>
    </reviewItem>
    <reviewItem>
      <errorID>0cef9e64-05a6-4d51-bef5-75a3181e4031</errorID>
      <errorWord>（/</errorWord>
      <group>L1_Punc</group>
      <groupName>标点问题</groupName>
      <ability>L2_Punc_CN</ability>
      <abilityName>标点符号问题</abilityName>
      <candidateList>
        <item>（</item>
      </candidateList>
      <explain/>
      <paraID>595C8F4D</paraID>
      <start>31</start>
      <end>33</end>
      <status>unmodified</status>
      <modifiedWord/>
      <trackRevisions>false</trackRevisions>
    </reviewItem>
    <reviewItem>
      <errorID>4f2ce8f1-9960-44a4-b117-3e02961d007c</errorID>
      <errorWord>（/</errorWord>
      <group>L1_Punc</group>
      <groupName>标点问题</groupName>
      <ability>L2_Punc_CN</ability>
      <abilityName>标点符号问题</abilityName>
      <candidateList>
        <item>（</item>
      </candidateList>
      <explain/>
      <paraID>5614AF9A</paraID>
      <start>5</start>
      <end>7</end>
      <status>unmodified</status>
      <modifiedWord/>
      <trackRevisions>false</trackRevisions>
    </reviewItem>
    <reviewItem>
      <errorID>39efe5fc-04a1-4328-a52e-9b9882e13012</errorID>
      <errorWord>（/</errorWord>
      <group>L1_Punc</group>
      <groupName>标点问题</groupName>
      <ability>L2_Punc_CN</ability>
      <abilityName>标点符号问题</abilityName>
      <candidateList>
        <item>（</item>
      </candidateList>
      <explain/>
      <paraID>5614AF9A</paraID>
      <start>24</start>
      <end>26</end>
      <status>unmodified</status>
      <modifiedWord/>
      <trackRevisions>false</trackRevisions>
    </reviewItem>
    <reviewItem>
      <errorID>2e953996-549a-45b4-922b-556209a9287f</errorID>
      <errorWord>（/</errorWord>
      <group>L1_Punc</group>
      <groupName>标点问题</groupName>
      <ability>L2_Punc_CN</ability>
      <abilityName>标点符号问题</abilityName>
      <candidateList>
        <item>（</item>
      </candidateList>
      <explain/>
      <paraID>44D4FAF0</paraID>
      <start>0</start>
      <end>2</end>
      <status>unmodified</status>
      <modifiedWord/>
      <trackRevisions>false</trackRevisions>
    </reviewItem>
    <reviewItem>
      <errorID>1021c206-eb17-4274-9a06-4896483e0a33</errorID>
      <errorWord>（/</errorWord>
      <group>L1_Punc</group>
      <groupName>标点问题</groupName>
      <ability>L2_Punc_CN</ability>
      <abilityName>标点符号问题</abilityName>
      <candidateList>
        <item>（</item>
      </candidateList>
      <explain/>
      <paraID>1D517FFD</paraID>
      <start>0</start>
      <end>2</end>
      <status>unmodified</status>
      <modifiedWord/>
      <trackRevisions>false</trackRevisions>
    </reviewItem>
    <reviewItem>
      <errorID>d6e0fcf2-6c7d-4b90-af90-9c33460fb4ca</errorID>
      <errorWord>（/</errorWord>
      <group>L1_Punc</group>
      <groupName>标点问题</groupName>
      <ability>L2_Punc_CN</ability>
      <abilityName>标点符号问题</abilityName>
      <candidateList>
        <item>（</item>
      </candidateList>
      <explain/>
      <paraID>705CF408</paraID>
      <start>0</start>
      <end>2</end>
      <status>unmodified</status>
      <modifiedWord/>
      <trackRevisions>false</trackRevisions>
    </reviewItem>
    <reviewItem>
      <errorID>6080bb55-1200-4873-9633-0c543f265cb1</errorID>
      <errorWord>（/</errorWord>
      <group>L1_Punc</group>
      <groupName>标点问题</groupName>
      <ability>L2_Punc_CN</ability>
      <abilityName>标点符号问题</abilityName>
      <candidateList>
        <item>（</item>
      </candidateList>
      <explain/>
      <paraID>5475C48E</paraID>
      <start>0</start>
      <end>2</end>
      <status>unmodified</status>
      <modifiedWord/>
      <trackRevisions>false</trackRevisions>
    </reviewItem>
    <reviewItem>
      <errorID>fbcbdca8-cf4d-49eb-9a25-5072fa4baa64</errorID>
      <errorWord>（</errorWord>
      <group>L1_Format</group>
      <groupName>格式问题</groupName>
      <ability>L2_HalfPunc_CN</ability>
      <abilityName>全半角问题</abilityName>
      <candidateList>
        <item>(</item>
      </candidateList>
      <explain>文本全半角错误。</explain>
      <paraID>752E1453</paraID>
      <start>0</start>
      <end>1</end>
      <status>unmodified</status>
      <modifiedWord/>
      <trackRevisions>false</trackRevisions>
    </reviewItem>
    <reviewItem>
      <errorID>e05667b5-8419-4d2c-b164-793a870aea7d</errorID>
      <errorWord>）</errorWord>
      <group>L1_Format</group>
      <groupName>格式问题</groupName>
      <ability>L2_HalfPunc_CN</ability>
      <abilityName>全半角问题</abilityName>
      <candidateList>
        <item>)</item>
      </candidateList>
      <explain>文本全半角错误。</explain>
      <paraID>752E1453</paraID>
      <start>4</start>
      <end>5</end>
      <status>unmodified</status>
      <modifiedWord/>
      <trackRevisions>false</trackRevisions>
    </reviewItem>
    <reviewItem>
      <errorID>dbed6741-a828-453d-b6ab-dcef3f2374ad</errorID>
      <errorWord>（/</errorWord>
      <group>L1_Punc</group>
      <groupName>标点问题</groupName>
      <ability>L2_Punc_CN</ability>
      <abilityName>标点符号问题</abilityName>
      <candidateList>
        <item>（</item>
      </candidateList>
      <explain/>
      <paraID>2028C299</paraID>
      <start>9</start>
      <end>11</end>
      <status>unmodified</status>
      <modifiedWord/>
      <trackRevisions>false</trackRevisions>
    </reviewItem>
    <reviewItem>
      <errorID>2f5766bd-ab8d-498d-be8b-162710c1252d</errorID>
      <errorWord>（/</errorWord>
      <group>L1_Punc</group>
      <groupName>标点问题</groupName>
      <ability>L2_Punc_CN</ability>
      <abilityName>标点符号问题</abilityName>
      <candidateList>
        <item>（</item>
      </candidateList>
      <explain/>
      <paraID>2028C299</paraID>
      <start>22</start>
      <end>24</end>
      <status>unmodified</status>
      <modifiedWord/>
      <trackRevisions>false</trackRevisions>
    </reviewItem>
    <reviewItem>
      <errorID>988b743f-4ac4-4c32-a335-956257cc4a76</errorID>
      <errorWord>（/</errorWord>
      <group>L1_Punc</group>
      <groupName>标点问题</groupName>
      <ability>L2_Punc_CN</ability>
      <abilityName>标点符号问题</abilityName>
      <candidateList>
        <item>（</item>
      </candidateList>
      <explain/>
      <paraID>2028C299</paraID>
      <start>32</start>
      <end>34</end>
      <status>unmodified</status>
      <modifiedWord/>
      <trackRevisions>false</trackRevisions>
    </reviewItem>
    <reviewItem>
      <errorID>6a9407b6-6a60-490e-8c69-ed37e4c65527</errorID>
      <errorWord>（/</errorWord>
      <group>L1_Punc</group>
      <groupName>标点问题</groupName>
      <ability>L2_Punc_CN</ability>
      <abilityName>标点符号问题</abilityName>
      <candidateList>
        <item>（</item>
      </candidateList>
      <explain/>
      <paraID>2028C299</paraID>
      <start>48</start>
      <end>50</end>
      <status>unmodified</status>
      <modifiedWord/>
      <trackRevisions>false</trackRevisions>
    </reviewItem>
    <reviewItem>
      <errorID>28fc7180-b426-4d85-bb63-d3ff2f7b9b07</errorID>
      <errorWord>（/</errorWord>
      <group>L1_Punc</group>
      <groupName>标点问题</groupName>
      <ability>L2_Punc_CN</ability>
      <abilityName>标点符号问题</abilityName>
      <candidateList>
        <item>（</item>
      </candidateList>
      <explain/>
      <paraID>2028C299</paraID>
      <start>58</start>
      <end>60</end>
      <status>unmodified</status>
      <modifiedWord/>
      <trackRevisions>false</trackRevisions>
    </reviewItem>
    <reviewItem>
      <errorID>674e5f32-a13b-457a-b8d2-d562a9c9b6a1</errorID>
      <errorWord>（/</errorWord>
      <group>L1_Punc</group>
      <groupName>标点问题</groupName>
      <ability>L2_Punc_CN</ability>
      <abilityName>标点符号问题</abilityName>
      <candidateList>
        <item>（</item>
      </candidateList>
      <explain/>
      <paraID>2028C299</paraID>
      <start>65</start>
      <end>67</end>
      <status>unmodified</status>
      <modifiedWord/>
      <trackRevisions>false</trackRevisions>
    </reviewItem>
    <reviewItem>
      <errorID>fcbb8b58-083c-4c64-ab9a-a80fb51ce31e</errorID>
      <errorWord>设施团</errorWord>
      <group>L1_Word</group>
      <groupName>字词问题</groupName>
      <ability>L2_Typo</ability>
      <abilityName>字词错误</abilityName>
      <candidateList>
        <item>设施</item>
      </candidateList>
      <explain/>
      <paraID>1DC261B6</paraID>
      <start>4</start>
      <end>7</end>
      <status>unmodified</status>
      <modifiedWord/>
      <trackRevisions>false</trackRevisions>
    </reviewItem>
    <reviewItem>
      <errorID>c0a80795-270a-4841-bf1b-e065d6a00b62</errorID>
      <errorWord>（/</errorWord>
      <group>L1_Punc</group>
      <groupName>标点问题</groupName>
      <ability>L2_Punc_CN</ability>
      <abilityName>标点符号问题</abilityName>
      <candidateList>
        <item>（</item>
      </candidateList>
      <explain/>
      <paraID>53CD70F4</paraID>
      <start>0</start>
      <end>2</end>
      <status>unmodified</status>
      <modifiedWord/>
      <trackRevisions>false</trackRevisions>
    </reviewItem>
    <reviewItem>
      <errorID>5c32c94b-a9bb-4c76-a3c9-a06a83d5edc3</errorID>
      <errorWord>（/</errorWord>
      <group>L1_Punc</group>
      <groupName>标点问题</groupName>
      <ability>L2_Punc_CN</ability>
      <abilityName>标点符号问题</abilityName>
      <candidateList>
        <item>（</item>
      </candidateList>
      <explain/>
      <paraID>7664433D</paraID>
      <start>0</start>
      <end>2</end>
      <status>unmodified</status>
      <modifiedWord/>
      <trackRevisions>false</trackRevisions>
    </reviewItem>
    <reviewItem>
      <errorID>bdc0ceb2-7696-4b38-8e9d-65540063f96d</errorID>
      <errorWord>（/</errorWord>
      <group>L1_Punc</group>
      <groupName>标点问题</groupName>
      <ability>L2_Punc_CN</ability>
      <abilityName>标点符号问题</abilityName>
      <candidateList>
        <item>（</item>
      </candidateList>
      <explain/>
      <paraID>17C38469</paraID>
      <start>0</start>
      <end>2</end>
      <status>unmodified</status>
      <modifiedWord/>
      <trackRevisions>false</trackRevisions>
    </reviewItem>
    <reviewItem>
      <errorID>7d8d9214-3cf9-48b5-9ee8-4c57dcedbf57</errorID>
      <errorWord>（/</errorWord>
      <group>L1_Punc</group>
      <groupName>标点问题</groupName>
      <ability>L2_Punc_CN</ability>
      <abilityName>标点符号问题</abilityName>
      <candidateList>
        <item>（</item>
      </candidateList>
      <explain/>
      <paraID>452055D2</paraID>
      <start>0</start>
      <end>2</end>
      <status>unmodified</status>
      <modifiedWord/>
      <trackRevisions>false</trackRevisions>
    </reviewItem>
    <reviewItem>
      <errorID>7a100540-8c2f-4ccc-995f-3cc27f22f6f2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2</start>
      <end>3</end>
      <status>unmodified</status>
      <modifiedWord/>
      <trackRevisions>false</trackRevisions>
    </reviewItem>
    <reviewItem>
      <errorID>8f9ff89c-c373-4620-acdf-2453cbe4f8aa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4</start>
      <end>5</end>
      <status>unmodified</status>
      <modifiedWord/>
      <trackRevisions>false</trackRevisions>
    </reviewItem>
    <reviewItem>
      <errorID>61b0b8e7-3fbd-4fdb-a93a-2cbddd9aac9c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11</start>
      <end>12</end>
      <status>unmodified</status>
      <modifiedWord/>
      <trackRevisions>false</trackRevisions>
    </reviewItem>
    <reviewItem>
      <errorID>e45a0fda-f1e5-46f7-a9a6-3619f074cd96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13</start>
      <end>14</end>
      <status>unmodified</status>
      <modifiedWord/>
      <trackRevisions>false</trackRevisions>
    </reviewItem>
    <reviewItem>
      <errorID>0eab29fd-6817-4539-bf7b-9a745ca8877f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15</start>
      <end>16</end>
      <status>unmodified</status>
      <modifiedWord/>
      <trackRevisions>false</trackRevisions>
    </reviewItem>
    <reviewItem>
      <errorID>54587a00-bb55-46d6-b2cc-051b4a16cd66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730B3F84</paraID>
      <start>18</start>
      <end>19</end>
      <status>unmodified</status>
      <modifiedWord/>
      <trackRevisions>false</trackRevisions>
    </reviewItem>
    <reviewItem>
      <errorID>ac38e352-7e31-40d7-921b-0efda8e81bfa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6FBE24CA</paraID>
      <start>0</start>
      <end>2</end>
      <status>unmodified</status>
      <modifiedWord/>
      <trackRevisions>false</trackRevisions>
    </reviewItem>
    <reviewItem>
      <errorID>43cbde7d-b7ba-468d-a730-5ca8f1023b62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4EC3790E</paraID>
      <start>0</start>
      <end>3</end>
      <status>unmodified</status>
      <modifiedWord/>
      <trackRevisions>false</trackRevisions>
    </reviewItem>
    <reviewItem>
      <errorID>792c1fea-cb79-4241-8648-32d192dce8fa</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4EC3790E</paraID>
      <start>73</start>
      <end>76</end>
      <status>unmodified</status>
      <modifiedWord/>
      <trackRevisions>false</trackRevisions>
    </reviewItem>
    <reviewItem>
      <errorID>184150b5-d0da-4102-8415-0ccfbec93210</errorID>
      <errorWord>统-</errorWord>
      <group>L1_Word</group>
      <groupName>字词问题</groupName>
      <ability>L2_Typo</ability>
      <abilityName>字词错误</abilityName>
      <candidateList>
        <item>统一</item>
      </candidateList>
      <explain>❶〈动〉部分联成整体；分歧归于一致：～体｜～祖国｜大家的意见逐渐～了。❷〈形〉一致的；整体的；单一的：～的意见｜～调配｜～领导。</explain>
      <paraID>3064472D</paraID>
      <start>15</start>
      <end>17</end>
      <status>unmodified</status>
      <modifiedWord/>
      <trackRevisions>false</trackRevisions>
    </reviewItem>
    <reviewItem>
      <errorID>d03cb03d-db22-45df-b8ac-1ce796374e67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3064472D</paraID>
      <start>212</start>
      <end>213</end>
      <status>unmodified</status>
      <modifiedWord/>
      <trackRevisions>false</trackRevisions>
    </reviewItem>
    <reviewItem>
      <errorID>f0f43113-5de2-49c3-b4c8-ef8eeec5ca29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C1A41B0</paraID>
      <start>0</start>
      <end>2</end>
      <status>unmodified</status>
      <modifiedWord/>
      <trackRevisions>false</trackRevisions>
    </reviewItem>
    <reviewItem>
      <errorID>03d216e0-a764-483a-9c83-731cfabfab55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178D90C5</paraID>
      <start>0</start>
      <end>2</end>
      <status>unmodified</status>
      <modifiedWord/>
      <trackRevisions>false</trackRevisions>
    </reviewItem>
    <reviewItem>
      <errorID>a427bdbd-c780-4ebd-ad5a-2916cd7a317b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40CFFB13</paraID>
      <start>0</start>
      <end>2</end>
      <status>unmodified</status>
      <modifiedWord/>
      <trackRevisions>false</trackRevisions>
    </reviewItem>
    <reviewItem>
      <errorID>6bb85d73-a81c-4586-b975-ac444d597c7c</errorID>
      <errorWord>引</errorWord>
      <group>L1_Word</group>
      <groupName>字词问题</groupName>
      <ability>L2_Typo</ability>
      <abilityName>字词错误</abilityName>
      <candidateList>
        <item>引起</item>
      </candidateList>
      <explain/>
      <paraID>5400F3DC</paraID>
      <start>126</start>
      <end>127</end>
      <status>unmodified</status>
      <modifiedWord/>
      <trackRevisions>false</trackRevisions>
    </reviewItem>
    <reviewItem>
      <errorID>4e05b8a9-1543-4d33-9fcf-715f4978b37b</errorID>
      <errorWord>泄露</errorWord>
      <group>L1_Word</group>
      <groupName>字词问题</groupName>
      <ability>L2_Typo</ability>
      <abilityName>字词错误</abilityName>
      <candidateList>
        <item>泄漏</item>
      </candidateList>
      <explain>存在发音相同字词的误用。</explain>
      <paraID> 504CD88</paraID>
      <start>10</start>
      <end>12</end>
      <status>unmodified</status>
      <modifiedWord/>
      <trackRevisions>false</trackRevisions>
    </reviewItem>
    <reviewItem>
      <errorID>af4895d7-0651-4160-8168-3e52cd7f7c8e</errorID>
      <errorWord>泄露</errorWord>
      <group>L1_Word</group>
      <groupName>字词问题</groupName>
      <ability>L2_Typo</ability>
      <abilityName>字词错误</abilityName>
      <candidateList>
        <item>泄漏</item>
      </candidateList>
      <explain>存在发音相同字词的误用。</explain>
      <paraID>2C7F2146</paraID>
      <start>0</start>
      <end>2</end>
      <status>unmodified</status>
      <modifiedWord/>
      <trackRevisions>false</trackRevisions>
    </reviewItem>
    <reviewItem>
      <errorID>68f05f31-fef4-437c-8189-7219613f80a8</errorID>
      <errorWord>弄</errorWord>
      <group>L1_Word</group>
      <groupName>字词问题</groupName>
      <ability>L2_Typo</ability>
      <abilityName>字词错误</abilityName>
      <candidateList>
        <item>浓</item>
      </candidateList>
      <explain/>
      <paraID>3F357F22</paraID>
      <start>5</start>
      <end>6</end>
      <status>unmodified</status>
      <modifiedWord/>
      <trackRevisions>false</trackRevisions>
    </reviewItem>
    <reviewItem>
      <errorID>5f592fc3-8d36-4b12-aaf0-0798158e6cad</errorID>
      <errorWord>场</errorWord>
      <group>L1_Word</group>
      <groupName>字词问题</groupName>
      <ability>L2_Typo</ability>
      <abilityName>字词错误</abilityName>
      <candidateList>
        <item>厂</item>
      </candidateList>
      <explain/>
      <paraID> E608ABF</paraID>
      <start>245</start>
      <end>246</end>
      <status>unmodified</status>
      <modifiedWord/>
      <trackRevisions>false</trackRevisions>
    </reviewItem>
    <reviewItem>
      <errorID>aca75385-57bd-46af-8262-47761c06a217</errorID>
      <errorWord>、</errorWord>
      <group>L1_Punc</group>
      <groupName>标点问题</groupName>
      <ability>L2_Punc_CN</ability>
      <abilityName>标点符号问题</abilityName>
      <candidateList>
        <item>.</item>
      </candidateList>
      <explain/>
      <paraID>1CA9AD88</paraID>
      <start>1</start>
      <end>2</end>
      <status>unmodified</status>
      <modifiedWord/>
      <trackRevisions>false</trackRevisions>
    </reviewItem>
    <reviewItem>
      <errorID>c0fde01c-b30a-4d05-aaf2-e0a1ac450620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55008FD2</paraID>
      <start>0</start>
      <end>2</end>
      <status>unmodified</status>
      <modifiedWord/>
      <trackRevisions>false</trackRevisions>
    </reviewItem>
    <reviewItem>
      <errorID>b4848c8f-6a06-4c20-b5d2-22cc8ab7ee5a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3FB1CBE2</paraID>
      <start>0</start>
      <end>2</end>
      <status>unmodified</status>
      <modifiedWord/>
      <trackRevisions>false</trackRevisions>
    </reviewItem>
    <reviewItem>
      <errorID>00412c4c-68d8-46ce-aee4-406885f86ae5</errorID>
      <errorWord>、</errorWord>
      <group>L1_Punc</group>
      <groupName>标点问题</groupName>
      <ability>L2_Punc_CN</ability>
      <abilityName>标点符号问题</abilityName>
      <candidateList>
        <item>.</item>
      </candidateList>
      <explain/>
      <paraID> 8C2B99E</paraID>
      <start>1</start>
      <end>2</end>
      <status>unmodified</status>
      <modifiedWord/>
      <trackRevisions>false</trackRevisions>
    </reviewItem>
    <reviewItem>
      <errorID>099e72c1-dfbc-45f2-9c91-590f2a1ff29f</errorID>
      <errorWord>”</errorWord>
      <group>L1_Punc</group>
      <groupName>标点问题</groupName>
      <ability>L2_Punc_CN</ability>
      <abilityName>标点符号问题</abilityName>
      <candidateList>
        <item>“</item>
      </candidateList>
      <explain>注意检查双引号的方向是否正确。</explain>
      <paraID>19D2E1EE</paraID>
      <start>10</start>
      <end>11</end>
      <status>modified</status>
      <modifiedWord>“</modifiedWord>
      <trackRevisions>false</trackRevisions>
    </reviewItem>
    <reviewItem>
      <errorID>b0a1f3a8-5f00-4f55-bbec-94691373596d</errorID>
      <errorWord>”</errorWord>
      <group>L1_Punc</group>
      <groupName>标点问题</groupName>
      <ability>L2_Punc_CN</ability>
      <abilityName>标点符号问题</abilityName>
      <candidateList>
        <item>“</item>
      </candidateList>
      <explain>注意检查双引号的方向是否正确。</explain>
      <paraID>19D2E1EE</paraID>
      <start>14</start>
      <end>15</end>
      <status>modified</status>
      <modifiedWord>“</modifiedWord>
      <trackRevisions>false</trackRevisions>
    </reviewItem>
    <reviewItem>
      <errorID>47e9b08f-72e3-4cdc-83aa-6ba046d9c3f0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11B1248C</paraID>
      <start>21</start>
      <end>22</end>
      <status>unmodified</status>
      <modifiedWord/>
      <trackRevisions>false</trackRevisions>
    </reviewItem>
    <reviewItem>
      <errorID>bb170f37-f7b2-4072-a94a-fd673e8c2a4c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796382DF</paraID>
      <start>21</start>
      <end>22</end>
      <status>unmodified</status>
      <modifiedWord/>
      <trackRevisions>false</trackRevisions>
    </reviewItem>
    <reviewItem>
      <errorID>461fbdfe-d45d-4c6b-9925-278e70c99a11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3B4DA3B8</paraID>
      <start>54</start>
      <end>55</end>
      <status>unmodified</status>
      <modifiedWord/>
      <trackRevisions>false</trackRevisions>
    </reviewItem>
    <reviewItem>
      <errorID>55d7863c-038a-4795-b739-a3420ab0b214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770F01C0</paraID>
      <start>24</start>
      <end>25</end>
      <status>unmodified</status>
      <modifiedWord/>
      <trackRevisions>false</trackRevisions>
    </reviewItem>
    <reviewItem>
      <errorID>dc7ba629-9c03-41c7-8ed6-ad72a0a0f60a</errorID>
      <errorWord>、</errorWord>
      <group>L1_Punc</group>
      <groupName>标点问题</groupName>
      <ability>L2_Punc_CN</ability>
      <abilityName>标点符号问题</abilityName>
      <candidateList>
        <item>.</item>
      </candidateList>
      <explain/>
      <paraID>6CEFB7F1</paraID>
      <start>1</start>
      <end>2</end>
      <status>unmodified</status>
      <modifiedWord/>
      <trackRevisions>false</trackRevisions>
    </reviewItem>
    <reviewItem>
      <errorID>d8a4eecb-7c54-4323-9563-c13c3eaf9516</errorID>
      <errorWord>进行实施</errorWord>
      <group>L1_Word</group>
      <groupName>字词问题</groupName>
      <ability>L2_Typo</ability>
      <abilityName>字词错误</abilityName>
      <candidateList>
        <item>实施</item>
      </candidateList>
      <explain>〈动〉实行（法令、政策等）：付诸～｜～细则｜～新的办法。</explain>
      <paraID> C01B5FD</paraID>
      <start>100</start>
      <end>104</end>
      <status>unmodified</status>
      <modifiedWord/>
      <trackRevisions>false</trackRevisions>
    </reviewItem>
    <reviewItem>
      <errorID>897881a5-0c62-4a8b-bdd6-a3528c51218f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C01B5FD</paraID>
      <start>127</start>
      <end>128</end>
      <status>unmodified</status>
      <modifiedWord/>
      <trackRevisions>false</trackRevisions>
    </reviewItem>
    <reviewItem>
      <errorID>b14afd08-86ca-42fb-b01f-8037d37e75fd</errorID>
      <errorWord>II</errorWord>
      <group>L1_Knowledge</group>
      <groupName>知识性问题</groupName>
      <ability>L2_Knowledge</ability>
      <abilityName>其他知识</abilityName>
      <candidateList>
        <item>Ⅱ</item>
      </candidateList>
      <explain>中文环境下罗马数字格式错误。</explain>
      <paraID>27354A13</paraID>
      <start>0</start>
      <end>2</end>
      <status>unmodified</status>
      <modifiedWord/>
      <trackRevisions>false</trackRevisions>
    </reviewItem>
    <reviewItem>
      <errorID>60833900-60b9-4428-a4c3-ac566b4f9a18</errorID>
      <errorWord>进行实施</errorWord>
      <group>L1_Word</group>
      <groupName>字词问题</groupName>
      <ability>L2_Typo</ability>
      <abilityName>字词错误</abilityName>
      <candidateList>
        <item>实施</item>
      </candidateList>
      <explain>〈动〉实行（法令、政策等）：付诸～｜～细则｜～新的办法。</explain>
      <paraID> CB29938</paraID>
      <start>74</start>
      <end>78</end>
      <status>unmodified</status>
      <modifiedWord/>
      <trackRevisions>false</trackRevisions>
    </reviewItem>
    <reviewItem>
      <errorID>75ce1fc7-129a-435d-b2ad-8e7fa11fa5c4</errorID>
      <errorWord>III</errorWord>
      <group>L1_Knowledge</group>
      <groupName>知识性问题</groupName>
      <ability>L2_Knowledge</ability>
      <abilityName>其他知识</abilityName>
      <candidateList>
        <item>Ⅲ</item>
      </candidateList>
      <explain>中文环境下罗马数字格式错误。</explain>
      <paraID>22B6C587</paraID>
      <start>0</start>
      <end>3</end>
      <status>unmodified</status>
      <modifiedWord/>
      <trackRevisions>false</trackRevisions>
    </reviewItem>
    <reviewItem>
      <errorID>8dda3559-c8b0-4bc1-8250-5097a0ac2a81</errorID>
      <errorWord>~</errorWord>
      <group>L1_Format</group>
      <groupName>格式问题</groupName>
      <ability>L2_HalfPunc_CN</ability>
      <abilityName>全半角问题</abilityName>
      <candidateList>
        <item>～</item>
      </candidateList>
      <explain>文本全半角错误。</explain>
      <paraID>2D9F0EAE</paraID>
      <start>41</start>
      <end>42</end>
      <status>unmodified</status>
      <modifiedWord/>
      <trackRevisions>false</trackRevisions>
    </reviewItem>
    <reviewItem>
      <errorID>cc7a335a-fe04-4246-a0ca-5ac447c1b530</errorID>
      <errorWord>IV</errorWord>
      <group>L1_Knowledge</group>
      <groupName>知识性问题</groupName>
      <ability>L2_Knowledge</ability>
      <abilityName>其他知识</abilityName>
      <candidateList>
        <item>Ⅳ</item>
      </candidateList>
      <explain>中文环境下罗马数字格式错误。</explain>
      <paraID>30887FB2</paraID>
      <start>0</start>
      <end>2</end>
      <status>unmodified</status>
      <modifiedWord/>
      <trackRevisions>false</trackRevisions>
    </reviewItem>
    <reviewItem>
      <errorID>635aa53b-dcba-4e2a-b521-945ab9231cc0</errorID>
      <errorWord>及与</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6C004842</paraID>
      <start>152</start>
      <end>154</end>
      <status>unmodified</status>
      <modifiedWord/>
      <trackRevisions>false</trackRevisions>
    </reviewItem>
    <reviewItem>
      <errorID>16334b74-5205-4482-b29a-08387e6fe382</errorID>
      <errorWord>、</errorWord>
      <group>L1_Punc</group>
      <groupName>标点问题</groupName>
      <ability>L2_Punc_CN</ability>
      <abilityName>标点符号问题</abilityName>
      <candidateList>
        <item>.</item>
      </candidateList>
      <explain/>
      <paraID>4C696486</paraID>
      <start>1</start>
      <end>2</end>
      <status>unmodified</status>
      <modifiedWord/>
      <trackRevisions>false</trackRevisions>
    </reviewItem>
    <reviewItem>
      <errorID>90a4480e-5f6c-4726-8dc2-3832b2bed297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1A8AB52</paraID>
      <start>0</start>
      <end>2</end>
      <status>unmodified</status>
      <modifiedWord/>
      <trackRevisions>false</trackRevisions>
    </reviewItem>
    <reviewItem>
      <errorID>d90aebb4-1195-44e4-bf1c-807895c33ed2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3A9B58C0</paraID>
      <start>0</start>
      <end>2</end>
      <status>unmodified</status>
      <modifiedWord/>
      <trackRevisions>false</trackRevisions>
    </reviewItem>
    <reviewItem>
      <errorID>61964dfd-d501-4de8-878c-ce901bfc7260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49E8433A</paraID>
      <start>0</start>
      <end>2</end>
      <status>unmodified</status>
      <modifiedWord/>
      <trackRevisions>false</trackRevisions>
    </reviewItem>
    <reviewItem>
      <errorID>41182187-cef9-40a7-bc2b-b0829acba85a</errorID>
      <errorWord>（</errorWord>
      <group>L1_Format</group>
      <groupName>格式问题</groupName>
      <ability>L2_HalfPunc_CN</ability>
      <abilityName>全半角问题</abilityName>
      <candidateList>
        <item>(</item>
      </candidateList>
      <explain>文本全半角错误。</explain>
      <paraID>761E3856</paraID>
      <start>6</start>
      <end>7</end>
      <status>unmodified</status>
      <modifiedWord/>
      <trackRevisions>false</trackRevisions>
    </reviewItem>
    <reviewItem>
      <errorID>575ebe76-2630-4b30-9b63-f92404522841</errorID>
      <errorWord>）</errorWord>
      <group>L1_Format</group>
      <groupName>格式问题</groupName>
      <ability>L2_HalfPunc_CN</ability>
      <abilityName>全半角问题</abilityName>
      <candidateList>
        <item>)</item>
      </candidateList>
      <explain>文本全半角错误。</explain>
      <paraID>761E3856</paraID>
      <start>10</start>
      <end>11</end>
      <status>unmodified</status>
      <modifiedWord/>
      <trackRevisions>false</trackRevisions>
    </reviewItem>
    <reviewItem>
      <errorID>8006f4c0-a65c-4f11-929f-f15be033ed7d</errorID>
      <errorWord>-</errorWord>
      <group>L1_Format</group>
      <groupName>格式问题</groupName>
      <ability>L2_HalfPunc_CN</ability>
      <abilityName>全半角问题</abilityName>
      <candidateList>
        <item>－</item>
      </candidateList>
      <explain>文本全半角错误。</explain>
      <paraID>323490B2</paraID>
      <start>3</start>
      <end>4</end>
      <status>unmodified</status>
      <modifiedWord/>
      <trackRevisions>false</trackRevisions>
    </reviewItem>
    <reviewItem>
      <errorID>342efcef-25ab-4bfd-9c82-8c147f77d5ef</errorID>
      <errorWord>、</errorWord>
      <group>L1_Punc</group>
      <groupName>标点问题</groupName>
      <ability>L2_Punc_CN</ability>
      <abilityName>标点符号问题</abilityName>
      <candidateList>
        <item>.</item>
      </candidateList>
      <explain/>
      <paraID>2AD19F93</paraID>
      <start>1</start>
      <end>2</end>
      <status>unmodified</status>
      <modifiedWord/>
      <trackRevisions>false</trackRevisions>
    </reviewItem>
    <reviewItem>
      <errorID>10f67da4-7606-410a-a962-0ce78341e005</errorID>
      <errorWord>（</errorWord>
      <group>L1_Punc</group>
      <groupName>标点问题</groupName>
      <ability>L2_Punc_CN</ability>
      <abilityName>标点符号问题</abilityName>
      <candidateList/>
      <explain>同一形式括号套用。</explain>
      <paraID>2AD19F93</paraID>
      <start>49</start>
      <end>50</end>
      <status>unmodified</status>
      <modifiedWord/>
      <trackRevisions>false</trackRevisions>
    </reviewItem>
    <reviewItem>
      <errorID>72dd330f-4358-4849-94cf-4245b3f4cc02</errorID>
      <errorWord>）</errorWord>
      <group>L1_Punc</group>
      <groupName>标点问题</groupName>
      <ability>L2_Punc_CN</ability>
      <abilityName>标点符号问题</abilityName>
      <candidateList/>
      <explain>同一形式括号套用。</explain>
      <paraID>2AD19F93</paraID>
      <start>51</start>
      <end>52</end>
      <status>unmodified</status>
      <modifiedWord/>
      <trackRevisions>false</trackRevisions>
    </reviewItem>
    <reviewItem>
      <errorID>85888b43-1a1c-41f7-b32a-17f463b13c8a</errorID>
      <errorWord>（</errorWord>
      <group>L1_Format</group>
      <groupName>格式问题</groupName>
      <ability>L2_HalfPunc_CN</ability>
      <abilityName>全半角问题</abilityName>
      <candidateList>
        <item>(</item>
      </candidateList>
      <explain>文本全半角错误。</explain>
      <paraID>656CB7E9</paraID>
      <start>29</start>
      <end>30</end>
      <status>unmodified</status>
      <modifiedWord/>
      <trackRevisions>false</trackRevisions>
    </reviewItem>
    <reviewItem>
      <errorID>f811b492-95c4-407d-8901-4f2515b41171</errorID>
      <errorWord>）</errorWord>
      <group>L1_Format</group>
      <groupName>格式问题</groupName>
      <ability>L2_HalfPunc_CN</ability>
      <abilityName>全半角问题</abilityName>
      <candidateList>
        <item>)</item>
      </candidateList>
      <explain>文本全半角错误。</explain>
      <paraID>656CB7E9</paraID>
      <start>33</start>
      <end>34</end>
      <status>unmodified</status>
      <modifiedWord/>
      <trackRevisions>false</trackRevisions>
    </reviewItem>
    <reviewItem>
      <errorID>4624e743-506f-4a39-afd8-6091f168bdc4</errorID>
      <errorWord>-</errorWord>
      <group>L1_Format</group>
      <groupName>格式问题</groupName>
      <ability>L2_HalfPunc_CN</ability>
      <abilityName>全半角问题</abilityName>
      <candidateList>
        <item>－</item>
      </candidateList>
      <explain>文本全半角错误。</explain>
      <paraID>371C99FF</paraID>
      <start>6</start>
      <end>7</end>
      <status>unmodified</status>
      <modifiedWord/>
      <trackRevisions>false</trackRevisions>
    </reviewItem>
    <reviewItem>
      <errorID>7a3b6d48-ad10-4af0-ac18-c25213fa863c</errorID>
      <errorWord>-</errorWord>
      <group>L1_Format</group>
      <groupName>格式问题</groupName>
      <ability>L2_HalfPunc_CN</ability>
      <abilityName>全半角问题</abilityName>
      <candidateList>
        <item>－</item>
      </candidateList>
      <explain>文本全半角错误。</explain>
      <paraID>371C99FF</paraID>
      <start>7</start>
      <end>8</end>
      <status>unmodified</status>
      <modifiedWord/>
      <trackRevisions>false</trackRevisions>
    </reviewItem>
    <reviewItem>
      <errorID>666ea308-c7a3-45c6-8ef8-4ae28d406d5c</errorID>
      <errorWord>（</errorWord>
      <group>L1_Format</group>
      <groupName>格式问题</groupName>
      <ability>L2_HalfPunc_CN</ability>
      <abilityName>全半角问题</abilityName>
      <candidateList>
        <item>(</item>
      </candidateList>
      <explain>文本全半角错误。</explain>
      <paraID> 36934C5</paraID>
      <start>33</start>
      <end>34</end>
      <status>unmodified</status>
      <modifiedWord/>
      <trackRevisions>false</trackRevisions>
    </reviewItem>
    <reviewItem>
      <errorID>954911c0-7715-46e0-b0cf-25e5ea1b20d9</errorID>
      <errorWord>）</errorWord>
      <group>L1_Format</group>
      <groupName>格式问题</groupName>
      <ability>L2_HalfPunc_CN</ability>
      <abilityName>全半角问题</abilityName>
      <candidateList>
        <item>)</item>
      </candidateList>
      <explain>文本全半角错误。</explain>
      <paraID> 36934C5</paraID>
      <start>37</start>
      <end>38</end>
      <status>unmodified</status>
      <modifiedWord/>
      <trackRevisions>false</trackRevisions>
    </reviewItem>
    <reviewItem>
      <errorID>7c30088b-ca2c-4463-9b01-28bb784af420</errorID>
      <errorWord>-</errorWord>
      <group>L1_Format</group>
      <groupName>格式问题</groupName>
      <ability>L2_HalfPunc_CN</ability>
      <abilityName>全半角问题</abilityName>
      <candidateList>
        <item>－</item>
      </candidateList>
      <explain>文本全半角错误。</explain>
      <paraID>62840E1A</paraID>
      <start>3</start>
      <end>4</end>
      <status>unmodified</status>
      <modifiedWord/>
      <trackRevisions>false</trackRevisions>
    </reviewItem>
    <reviewItem>
      <errorID>2de9c89d-39b8-4e22-943d-38c219ef84cc</errorID>
      <errorWord>（</errorWord>
      <group>L1_Format</group>
      <groupName>格式问题</groupName>
      <ability>L2_HalfPunc_CN</ability>
      <abilityName>全半角问题</abilityName>
      <candidateList>
        <item>(</item>
      </candidateList>
      <explain>文本全半角错误。</explain>
      <paraID>60644270</paraID>
      <start>1</start>
      <end>2</end>
      <status>unmodified</status>
      <modifiedWord/>
      <trackRevisions>false</trackRevisions>
    </reviewItem>
    <reviewItem>
      <errorID>c670630f-7d5b-4b8a-a503-26005554692c</errorID>
      <errorWord>）</errorWord>
      <group>L1_Format</group>
      <groupName>格式问题</groupName>
      <ability>L2_HalfPunc_CN</ability>
      <abilityName>全半角问题</abilityName>
      <candidateList>
        <item>)</item>
      </candidateList>
      <explain>文本全半角错误。</explain>
      <paraID>60644270</paraID>
      <start>5</start>
      <end>6</end>
      <status>unmodified</status>
      <modifiedWord/>
      <trackRevisions>false</trackRevisions>
    </reviewItem>
    <reviewItem>
      <errorID>649fa944-41df-45b6-8baf-1eb670dbc698</errorID>
      <errorWord>-</errorWord>
      <group>L1_Format</group>
      <groupName>格式问题</groupName>
      <ability>L2_HalfPunc_CN</ability>
      <abilityName>全半角问题</abilityName>
      <candidateList>
        <item>－</item>
      </candidateList>
      <explain>文本全半角错误。</explain>
      <paraID>309CD4F6</paraID>
      <start>2</start>
      <end>3</end>
      <status>unmodified</status>
      <modifiedWord/>
      <trackRevisions>false</trackRevisions>
    </reviewItem>
    <reviewItem>
      <errorID>151e0a95-fb34-452d-b934-56c7bac421f9</errorID>
      <errorWord>………</errorWord>
      <group>L1_Punc</group>
      <groupName>标点问题</groupName>
      <ability>L2_Punc_CN</ability>
      <abilityName>标点符号问题</abilityName>
      <candidateList>
        <item>……</item>
      </candidateList>
      <explain/>
      <paraID>7951F4FB</paraID>
      <start>0</start>
      <end>3</end>
      <status>unmodified</status>
      <modifiedWord/>
      <trackRevisions>false</trackRevisions>
    </reviewItem>
    <reviewItem>
      <errorID>7cb7bdfa-dbc7-4379-9e7a-d564262ce774</errorID>
      <errorWord>（</errorWord>
      <group>L1_Format</group>
      <groupName>格式问题</groupName>
      <ability>L2_HalfPunc_CN</ability>
      <abilityName>全半角问题</abilityName>
      <candidateList>
        <item>(</item>
      </candidateList>
      <explain>文本全半角错误。</explain>
      <paraID>7951F4FB</paraID>
      <start>3</start>
      <end>4</end>
      <status>unmodified</status>
      <modifiedWord/>
      <trackRevisions>false</trackRevisions>
    </reviewItem>
    <reviewItem>
      <errorID>27fd7f26-358e-4463-bd37-fc6f6a2a787d</errorID>
      <errorWord>）</errorWord>
      <group>L1_Format</group>
      <groupName>格式问题</groupName>
      <ability>L2_HalfPunc_CN</ability>
      <abilityName>全半角问题</abilityName>
      <candidateList>
        <item>)</item>
      </candidateList>
      <explain>文本全半角错误。</explain>
      <paraID>7951F4FB</paraID>
      <start>7</start>
      <end>8</end>
      <status>unmodified</status>
      <modifiedWord/>
      <trackRevisions>false</trackRevisions>
    </reviewItem>
    <reviewItem>
      <errorID>1835cca7-90bd-4b60-9552-2d211eafb123</errorID>
      <errorWord>维护结构</errorWord>
      <group>L1_Word</group>
      <groupName>字词问题</groupName>
      <ability>L2_Typo</ability>
      <abilityName>字词错误</abilityName>
      <candidateList>
        <item>围护结构</item>
      </candidateList>
      <explain>存在发音相同字词的误用。</explain>
      <paraID>36B80278</paraID>
      <start>11</start>
      <end>15</end>
      <status>unmodified</status>
      <modifiedWord/>
      <trackRevisions>false</trackRevisions>
    </reviewItem>
    <reviewItem>
      <errorID>046f2960-527e-48f8-812f-4450df08aa75</errorID>
      <errorWord>-</errorWord>
      <group>L1_Format</group>
      <groupName>格式问题</groupName>
      <ability>L2_HalfPunc_CN</ability>
      <abilityName>全半角问题</abilityName>
      <candidateList>
        <item>－</item>
      </candidateList>
      <explain>文本全半角错误。</explain>
      <paraID>56663A5E</paraID>
      <start>6</start>
      <end>7</end>
      <status>unmodified</status>
      <modifiedWord/>
      <trackRevisions>false</trackRevisions>
    </reviewItem>
    <reviewItem>
      <errorID>427cdefd-e63f-42d8-a9f2-03a63a7aa578</errorID>
      <errorWord>-</errorWord>
      <group>L1_Format</group>
      <groupName>格式问题</groupName>
      <ability>L2_HalfPunc_CN</ability>
      <abilityName>全半角问题</abilityName>
      <candidateList>
        <item>－</item>
      </candidateList>
      <explain>文本全半角错误。</explain>
      <paraID>18A68417</paraID>
      <start>2</start>
      <end>3</end>
      <status>unmodified</status>
      <modifiedWord/>
      <trackRevisions>false</trackRevisions>
    </reviewItem>
    <reviewItem>
      <errorID>4a9fec01-9121-4d2c-9304-94ccccc9f9cb</errorID>
      <errorWord>生源</errorWord>
      <group>L1_Word</group>
      <groupName>字词问题</groupName>
      <ability>L2_Typo</ability>
      <abilityName>字词错误</abilityName>
      <candidateList>
        <item>声源</item>
      </candidateList>
      <explain/>
      <paraID>343E90D1</paraID>
      <start>29</start>
      <end>31</end>
      <status>unmodified</status>
      <modifiedWord/>
      <trackRevisions>false</trackRevisions>
    </reviewItem>
    <reviewItem>
      <errorID>a698365f-e575-4b92-8a81-325c22d63d5f</errorID>
      <errorWord>（</errorWord>
      <group>L1_Format</group>
      <groupName>格式问题</groupName>
      <ability>L2_HalfPunc_CN</ability>
      <abilityName>全半角问题</abilityName>
      <candidateList>
        <item>(</item>
      </candidateList>
      <explain>文本全半角错误。</explain>
      <paraID>326539FA</paraID>
      <start>3</start>
      <end>4</end>
      <status>unmodified</status>
      <modifiedWord/>
      <trackRevisions>false</trackRevisions>
    </reviewItem>
    <reviewItem>
      <errorID>17bac43d-c6fb-423b-a0f7-9daf49b10339</errorID>
      <errorWord>）</errorWord>
      <group>L1_Format</group>
      <groupName>格式问题</groupName>
      <ability>L2_HalfPunc_CN</ability>
      <abilityName>全半角问题</abilityName>
      <candidateList>
        <item>)</item>
      </candidateList>
      <explain>文本全半角错误。</explain>
      <paraID>326539FA</paraID>
      <start>7</start>
      <end>8</end>
      <status>unmodified</status>
      <modifiedWord/>
      <trackRevisions>false</trackRevisions>
    </reviewItem>
    <reviewItem>
      <errorID>0d14e7c5-faa5-4aab-ae2e-a06346ed4cd2</errorID>
      <errorWord>、</errorWord>
      <group>L1_Punc</group>
      <groupName>标点问题</groupName>
      <ability>L2_Punc_CN</ability>
      <abilityName>标点符号问题</abilityName>
      <candidateList>
        <item>.</item>
      </candidateList>
      <explain/>
      <paraID>2AFB9012</paraID>
      <start>1</start>
      <end>2</end>
      <status>unmodified</status>
      <modifiedWord/>
      <trackRevisions>false</trackRevisions>
    </reviewItem>
    <reviewItem>
      <errorID>309f33a7-cb29-4cca-97fc-a7f56206e809</errorID>
      <errorWord>（</errorWord>
      <group>L1_Format</group>
      <groupName>格式问题</groupName>
      <ability>L2_HalfPunc_CN</ability>
      <abilityName>全半角问题</abilityName>
      <candidateList>
        <item>(</item>
      </candidateList>
      <explain>文本全半角错误。</explain>
      <paraID>58ADB17A</paraID>
      <start>14</start>
      <end>15</end>
      <status>unmodified</status>
      <modifiedWord/>
      <trackRevisions>false</trackRevisions>
    </reviewItem>
    <reviewItem>
      <errorID>114d5a3d-76a1-4719-9140-83cdbc941c7f</errorID>
      <errorWord>）</errorWord>
      <group>L1_Format</group>
      <groupName>格式问题</groupName>
      <ability>L2_HalfPunc_CN</ability>
      <abilityName>全半角问题</abilityName>
      <candidateList>
        <item>)</item>
      </candidateList>
      <explain>文本全半角错误。</explain>
      <paraID>58ADB17A</paraID>
      <start>18</start>
      <end>19</end>
      <status>unmodified</status>
      <modifiedWord/>
      <trackRevisions>false</trackRevisions>
    </reviewItem>
    <reviewItem>
      <errorID>54d15354-9951-45e3-b450-f0f0fa96e621</errorID>
      <errorWord>公示</errorWord>
      <group>L1_Word</group>
      <groupName>字词问题</groupName>
      <ability>L2_Typo</ability>
      <abilityName>字词错误</abilityName>
      <candidateList>
        <item>公式</item>
      </candidateList>
      <explain/>
      <paraID>4ABDB5D2</paraID>
      <start>0</start>
      <end>2</end>
      <status>unmodified</status>
      <modifiedWord/>
      <trackRevisions>false</trackRevisions>
    </reviewItem>
    <reviewItem>
      <errorID>1fded8e2-aa5f-4105-8e88-ae6d5c052c17</errorID>
      <errorWord>（</errorWord>
      <group>L1_Format</group>
      <groupName>格式问题</groupName>
      <ability>L2_HalfPunc_CN</ability>
      <abilityName>全半角问题</abilityName>
      <candidateList>
        <item>(</item>
      </candidateList>
      <explain>文本全半角错误。</explain>
      <paraID>1D4AC53D</paraID>
      <start>16</start>
      <end>17</end>
      <status>unmodified</status>
      <modifiedWord/>
      <trackRevisions>false</trackRevisions>
    </reviewItem>
    <reviewItem>
      <errorID>d08088e9-fc2d-4085-9b61-9ecbc1157141</errorID>
      <errorWord>）</errorWord>
      <group>L1_Format</group>
      <groupName>格式问题</groupName>
      <ability>L2_HalfPunc_CN</ability>
      <abilityName>全半角问题</abilityName>
      <candidateList>
        <item>)</item>
      </candidateList>
      <explain>文本全半角错误。</explain>
      <paraID>1D4AC53D</paraID>
      <start>20</start>
      <end>21</end>
      <status>unmodified</status>
      <modifiedWord/>
      <trackRevisions>false</trackRevisions>
    </reviewItem>
    <reviewItem>
      <errorID>84cca4c4-ccc0-4e0f-bb97-e312ab30b825</errorID>
      <errorWord>（</errorWord>
      <group>L1_Format</group>
      <groupName>格式问题</groupName>
      <ability>L2_HalfPunc_CN</ability>
      <abilityName>全半角问题</abilityName>
      <candidateList>
        <item>(</item>
      </candidateList>
      <explain>文本全半角错误。</explain>
      <paraID> 2535899</paraID>
      <start>12</start>
      <end>13</end>
      <status>unmodified</status>
      <modifiedWord/>
      <trackRevisions>false</trackRevisions>
    </reviewItem>
    <reviewItem>
      <errorID>32a1d9c6-1f88-47e5-b8c8-58af6c79f09c</errorID>
      <errorWord>）</errorWord>
      <group>L1_Format</group>
      <groupName>格式问题</groupName>
      <ability>L2_HalfPunc_CN</ability>
      <abilityName>全半角问题</abilityName>
      <candidateList>
        <item>)</item>
      </candidateList>
      <explain>文本全半角错误。</explain>
      <paraID> 2535899</paraID>
      <start>16</start>
      <end>17</end>
      <status>unmodified</status>
      <modifiedWord/>
      <trackRevisions>false</trackRevisions>
    </reviewItem>
    <reviewItem>
      <errorID>5213f311-8593-4784-89fa-77b1f375aa9a</errorID>
      <errorWord>（</errorWord>
      <group>L1_Format</group>
      <groupName>格式问题</groupName>
      <ability>L2_HalfPunc_CN</ability>
      <abilityName>全半角问题</abilityName>
      <candidateList>
        <item>(</item>
      </candidateList>
      <explain>文本全半角错误。</explain>
      <paraID>7467E4CE</paraID>
      <start>12</start>
      <end>13</end>
      <status>unmodified</status>
      <modifiedWord/>
      <trackRevisions>false</trackRevisions>
    </reviewItem>
    <reviewItem>
      <errorID>4596739e-d1f7-4237-9e9f-8f7bd2959d59</errorID>
      <errorWord>）</errorWord>
      <group>L1_Format</group>
      <groupName>格式问题</groupName>
      <ability>L2_HalfPunc_CN</ability>
      <abilityName>全半角问题</abilityName>
      <candidateList>
        <item>)</item>
      </candidateList>
      <explain>文本全半角错误。</explain>
      <paraID>7467E4CE</paraID>
      <start>17</start>
      <end>18</end>
      <status>unmodified</status>
      <modifiedWord/>
      <trackRevisions>false</trackRevisions>
    </reviewItem>
    <reviewItem>
      <errorID>57e7e56f-c111-4e94-8f0d-5fc3e2daebc1</errorID>
      <errorWord>、</errorWord>
      <group>L1_Punc</group>
      <groupName>标点问题</groupName>
      <ability>L2_Punc_CN</ability>
      <abilityName>标点符号问题</abilityName>
      <candidateList>
        <item>.</item>
      </candidateList>
      <explain/>
      <paraID>4A91FC1A</paraID>
      <start>1</start>
      <end>2</end>
      <status>unmodified</status>
      <modifiedWord/>
      <trackRevisions>false</trackRevisions>
    </reviewItem>
    <reviewItem>
      <errorID>4b296a3e-bfac-40bd-91df-175d14484f79</errorID>
      <errorWord>（</errorWord>
      <group>L1_Format</group>
      <groupName>格式问题</groupName>
      <ability>L2_HalfPunc_CN</ability>
      <abilityName>全半角问题</abilityName>
      <candidateList>
        <item>(</item>
      </candidateList>
      <explain>文本全半角错误。</explain>
      <paraID>51D9AA05</paraID>
      <start>12</start>
      <end>13</end>
      <status>unmodified</status>
      <modifiedWord/>
      <trackRevisions>false</trackRevisions>
    </reviewItem>
    <reviewItem>
      <errorID>cb4adb07-cd1d-4fa8-915e-5555c7ee7011</errorID>
      <errorWord>）</errorWord>
      <group>L1_Format</group>
      <groupName>格式问题</groupName>
      <ability>L2_HalfPunc_CN</ability>
      <abilityName>全半角问题</abilityName>
      <candidateList>
        <item>)</item>
      </candidateList>
      <explain>文本全半角错误。</explain>
      <paraID>51D9AA05</paraID>
      <start>17</start>
      <end>18</end>
      <status>unmodified</status>
      <modifiedWord/>
      <trackRevisions>false</trackRevisions>
    </reviewItem>
    <reviewItem>
      <errorID>9fe032da-0566-437d-ad7d-aead6d355083</errorID>
      <errorWord>（</errorWord>
      <group>L1_Format</group>
      <groupName>格式问题</groupName>
      <ability>L2_HalfPunc_CN</ability>
      <abilityName>全半角问题</abilityName>
      <candidateList>
        <item>(</item>
      </candidateList>
      <explain>文本全半角错误。</explain>
      <paraID> E2688CD</paraID>
      <start>11</start>
      <end>12</end>
      <status>unmodified</status>
      <modifiedWord/>
      <trackRevisions>false</trackRevisions>
    </reviewItem>
    <reviewItem>
      <errorID>7160ea28-8cac-48fc-b15f-fd26dbf9184a</errorID>
      <errorWord>）</errorWord>
      <group>L1_Format</group>
      <groupName>格式问题</groupName>
      <ability>L2_HalfPunc_CN</ability>
      <abilityName>全半角问题</abilityName>
      <candidateList>
        <item>)</item>
      </candidateList>
      <explain>文本全半角错误。</explain>
      <paraID> E2688CD</paraID>
      <start>16</start>
      <end>17</end>
      <status>unmodified</status>
      <modifiedWord/>
      <trackRevisions>false</trackRevisions>
    </reviewItem>
    <reviewItem>
      <errorID>00a1b43a-f3be-42c5-beb9-a57cc8db7943</errorID>
      <errorWord>（</errorWord>
      <group>L1_Format</group>
      <groupName>格式问题</groupName>
      <ability>L2_HalfPunc_CN</ability>
      <abilityName>全半角问题</abilityName>
      <candidateList>
        <item>(</item>
      </candidateList>
      <explain>文本全半角错误。</explain>
      <paraID> FE7DCA6</paraID>
      <start>7</start>
      <end>8</end>
      <status>unmodified</status>
      <modifiedWord/>
      <trackRevisions>false</trackRevisions>
    </reviewItem>
    <reviewItem>
      <errorID>2644e76c-e8df-43fa-ac97-62d589d75bf3</errorID>
      <errorWord>）</errorWord>
      <group>L1_Format</group>
      <groupName>格式问题</groupName>
      <ability>L2_HalfPunc_CN</ability>
      <abilityName>全半角问题</abilityName>
      <candidateList>
        <item>)</item>
      </candidateList>
      <explain>文本全半角错误。</explain>
      <paraID> FE7DCA6</paraID>
      <start>12</start>
      <end>13</end>
      <status>unmodified</status>
      <modifiedWord/>
      <trackRevisions>false</trackRevisions>
    </reviewItem>
    <reviewItem>
      <errorID>4597592e-5b29-4e1d-8d3e-e9d5c43d97d7</errorID>
      <errorWord>（</errorWord>
      <group>L1_Format</group>
      <groupName>格式问题</groupName>
      <ability>L2_HalfPunc_CN</ability>
      <abilityName>全半角问题</abilityName>
      <candidateList>
        <item>(</item>
      </candidateList>
      <explain>文本全半角错误。</explain>
      <paraID>3CEBF5C1</paraID>
      <start>7</start>
      <end>8</end>
      <status>unmodified</status>
      <modifiedWord/>
      <trackRevisions>false</trackRevisions>
    </reviewItem>
    <reviewItem>
      <errorID>f583a14e-19c3-46bb-9449-24c7f89f983c</errorID>
      <errorWord>）</errorWord>
      <group>L1_Format</group>
      <groupName>格式问题</groupName>
      <ability>L2_HalfPunc_CN</ability>
      <abilityName>全半角问题</abilityName>
      <candidateList>
        <item>)</item>
      </candidateList>
      <explain>文本全半角错误。</explain>
      <paraID>3CEBF5C1</paraID>
      <start>12</start>
      <end>13</end>
      <status>unmodified</status>
      <modifiedWord/>
      <trackRevisions>false</trackRevisions>
    </reviewItem>
    <reviewItem>
      <errorID>eef6adfb-4342-4bcd-8a9b-067eaa27ec58</errorID>
      <errorWord>（</errorWord>
      <group>L1_Format</group>
      <groupName>格式问题</groupName>
      <ability>L2_HalfPunc_CN</ability>
      <abilityName>全半角问题</abilityName>
      <candidateList>
        <item>(</item>
      </candidateList>
      <explain>文本全半角错误。</explain>
      <paraID>31288425</paraID>
      <start>9</start>
      <end>10</end>
      <status>unmodified</status>
      <modifiedWord/>
      <trackRevisions>false</trackRevisions>
    </reviewItem>
    <reviewItem>
      <errorID>9f945327-d9d4-4561-a7e3-aa653d3e0409</errorID>
      <errorWord>）</errorWord>
      <group>L1_Format</group>
      <groupName>格式问题</groupName>
      <ability>L2_HalfPunc_CN</ability>
      <abilityName>全半角问题</abilityName>
      <candidateList>
        <item>)</item>
      </candidateList>
      <explain>文本全半角错误。</explain>
      <paraID>31288425</paraID>
      <start>14</start>
      <end>15</end>
      <status>unmodified</status>
      <modifiedWord/>
      <trackRevisions>false</trackRevisions>
    </reviewItem>
    <reviewItem>
      <errorID>89689e29-85ba-4788-8e47-d81845f050d9</errorID>
      <errorWord>（</errorWord>
      <group>L1_Format</group>
      <groupName>格式问题</groupName>
      <ability>L2_HalfPunc_CN</ability>
      <abilityName>全半角问题</abilityName>
      <candidateList>
        <item>(</item>
      </candidateList>
      <explain>文本全半角错误。</explain>
      <paraID>4CF20B0E</paraID>
      <start>8</start>
      <end>9</end>
      <status>unmodified</status>
      <modifiedWord/>
      <trackRevisions>false</trackRevisions>
    </reviewItem>
    <reviewItem>
      <errorID>fb0fcbda-7256-412b-ac8c-b2e7f608d5d3</errorID>
      <errorWord>）</errorWord>
      <group>L1_Format</group>
      <groupName>格式问题</groupName>
      <ability>L2_HalfPunc_CN</ability>
      <abilityName>全半角问题</abilityName>
      <candidateList>
        <item>)</item>
      </candidateList>
      <explain>文本全半角错误。</explain>
      <paraID>4CF20B0E</paraID>
      <start>13</start>
      <end>14</end>
      <status>unmodified</status>
      <modifiedWord/>
      <trackRevisions>false</trackRevisions>
    </reviewItem>
    <reviewItem>
      <errorID>ec056623-4df1-491f-a458-7b63634b24a3</errorID>
      <errorWord>（</errorWord>
      <group>L1_Format</group>
      <groupName>格式问题</groupName>
      <ability>L2_HalfPunc_CN</ability>
      <abilityName>全半角问题</abilityName>
      <candidateList>
        <item>(</item>
      </candidateList>
      <explain>文本全半角错误。</explain>
      <paraID>5B92ED8C</paraID>
      <start>9</start>
      <end>10</end>
      <status>unmodified</status>
      <modifiedWord/>
      <trackRevisions>false</trackRevisions>
    </reviewItem>
    <reviewItem>
      <errorID>04fe07c7-bd4c-4b88-bc1f-238aa9fd2ddb</errorID>
      <errorWord>）</errorWord>
      <group>L1_Format</group>
      <groupName>格式问题</groupName>
      <ability>L2_HalfPunc_CN</ability>
      <abilityName>全半角问题</abilityName>
      <candidateList>
        <item>)</item>
      </candidateList>
      <explain>文本全半角错误。</explain>
      <paraID>5B92ED8C</paraID>
      <start>14</start>
      <end>15</end>
      <status>unmodified</status>
      <modifiedWord/>
      <trackRevisions>false</trackRevisions>
    </reviewItem>
    <reviewItem>
      <errorID>6e008303-eb16-49b2-802d-0b45a8e7c89f</errorID>
      <errorWord>、</errorWord>
      <group>L1_Punc</group>
      <groupName>标点问题</groupName>
      <ability>L2_Punc_CN</ability>
      <abilityName>标点符号问题</abilityName>
      <candidateList>
        <item>.</item>
      </candidateList>
      <explain/>
      <paraID>659B6888</paraID>
      <start>1</start>
      <end>2</end>
      <status>unmodified</status>
      <modifiedWord/>
      <trackRevisions>false</trackRevisions>
    </reviewItem>
    <reviewItem>
      <errorID>859820cb-43e4-4e5c-9902-7a6779bd8d8f</errorID>
      <errorWord>（</errorWord>
      <group>L1_Format</group>
      <groupName>格式问题</groupName>
      <ability>L2_HalfPunc_CN</ability>
      <abilityName>全半角问题</abilityName>
      <candidateList>
        <item>(</item>
      </candidateList>
      <explain>文本全半角错误。</explain>
      <paraID>415CB395</paraID>
      <start>10</start>
      <end>11</end>
      <status>unmodified</status>
      <modifiedWord/>
      <trackRevisions>false</trackRevisions>
    </reviewItem>
    <reviewItem>
      <errorID>1972a0ef-b0f2-43ca-9de8-38cc05105a17</errorID>
      <errorWord>）</errorWord>
      <group>L1_Format</group>
      <groupName>格式问题</groupName>
      <ability>L2_HalfPunc_CN</ability>
      <abilityName>全半角问题</abilityName>
      <candidateList>
        <item>)</item>
      </candidateList>
      <explain>文本全半角错误。</explain>
      <paraID>415CB395</paraID>
      <start>15</start>
      <end>16</end>
      <status>unmodified</status>
      <modifiedWord/>
      <trackRevisions>false</trackRevisions>
    </reviewItem>
    <reviewItem>
      <errorID>83a2d4ba-2374-4c73-934f-fdd2603002e6</errorID>
      <errorWord>、</errorWord>
      <group>L1_Punc</group>
      <groupName>标点问题</groupName>
      <ability>L2_Punc_CN</ability>
      <abilityName>标点符号问题</abilityName>
      <candidateList>
        <item>.</item>
      </candidateList>
      <explain/>
      <paraID>68B7B09E</paraID>
      <start>1</start>
      <end>2</end>
      <status>unmodified</status>
      <modifiedWord/>
      <trackRevisions>false</trackRevisions>
    </reviewItem>
    <reviewItem>
      <errorID>a2ff33df-77be-43fe-bb11-f7c2f7f89b54</errorID>
      <errorWord>、</errorWord>
      <group>L1_Punc</group>
      <groupName>标点问题</groupName>
      <ability>L2_Punc_CN</ability>
      <abilityName>标点符号问题</abilityName>
      <candidateList>
        <item>.</item>
      </candidateList>
      <explain/>
      <paraID> E633E3C</paraID>
      <start>1</start>
      <end>2</end>
      <status>unmodified</status>
      <modifiedWord/>
      <trackRevisions>false</trackRevisions>
    </reviewItem>
    <reviewItem>
      <errorID>16c14559-ef48-4902-8cfc-02a4190179f1</errorID>
      <errorWord>适合于</errorWord>
      <group>L1_Word</group>
      <groupName>字词问题</groupName>
      <ability>L2_Typo</ability>
      <abilityName>字词错误</abilityName>
      <candidateList>
        <item>适合</item>
      </candidateList>
      <explain/>
      <paraID> E633E3C</paraID>
      <start>27</start>
      <end>30</end>
      <status>unmodified</status>
      <modifiedWord/>
      <trackRevisions>false</trackRevisions>
    </reviewItem>
    <reviewItem>
      <errorID>461d5d28-45e7-4b14-b1ea-21b4759ba71d</errorID>
      <errorWord>、</errorWord>
      <group>L1_Punc</group>
      <groupName>标点问题</groupName>
      <ability>L2_Punc_CN</ability>
      <abilityName>标点符号问题</abilityName>
      <candidateList>
        <item>.</item>
      </candidateList>
      <explain/>
      <paraID>5693A97F</paraID>
      <start>1</start>
      <end>2</end>
      <status>unmodified</status>
      <modifiedWord/>
      <trackRevisions>false</trackRevisions>
    </reviewItem>
    <reviewItem>
      <errorID>e93869ac-f22f-4b67-9e03-d405d0465845</errorID>
      <errorWord>（</errorWord>
      <group>L1_Format</group>
      <groupName>格式问题</groupName>
      <ability>L2_HalfPunc_CN</ability>
      <abilityName>全半角问题</abilityName>
      <candidateList>
        <item>(</item>
      </candidateList>
      <explain>文本全半角错误。</explain>
      <paraID>41E4B6FF</paraID>
      <start>8</start>
      <end>9</end>
      <status>unmodified</status>
      <modifiedWord/>
      <trackRevisions>false</trackRevisions>
    </reviewItem>
    <reviewItem>
      <errorID>61e53b60-b7b0-4811-a611-09154165200b</errorID>
      <errorWord>）</errorWord>
      <group>L1_Format</group>
      <groupName>格式问题</groupName>
      <ability>L2_HalfPunc_CN</ability>
      <abilityName>全半角问题</abilityName>
      <candidateList>
        <item>)</item>
      </candidateList>
      <explain>文本全半角错误。</explain>
      <paraID>41E4B6FF</paraID>
      <start>13</start>
      <end>14</end>
      <status>unmodified</status>
      <modifiedWord/>
      <trackRevisions>false</trackRevisions>
    </reviewItem>
    <reviewItem>
      <errorID>ce16c50d-02b9-4708-93d9-498f55c8a3b3</errorID>
      <errorWord>-</errorWord>
      <group>L1_Format</group>
      <groupName>格式问题</groupName>
      <ability>L2_HalfPunc_CN</ability>
      <abilityName>全半角问题</abilityName>
      <candidateList>
        <item>－</item>
      </candidateList>
      <explain>文本全半角错误。</explain>
      <paraID>1FD9F378</paraID>
      <start>2</start>
      <end>3</end>
      <status>unmodified</status>
      <modifiedWord/>
      <trackRevisions>false</trackRevisions>
    </reviewItem>
    <reviewItem>
      <errorID>627a77a4-9acc-450e-89f0-2bf923eb1333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5CE6290B</paraID>
      <start>16</start>
      <end>17</end>
      <status>unmodified</status>
      <modifiedWord/>
      <trackRevisions>false</trackRevisions>
    </reviewItem>
    <reviewItem>
      <errorID>df98b049-71ba-4db7-95fc-9077c15c9334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5CE6290B</paraID>
      <start>18</start>
      <end>19</end>
      <status>unmodified</status>
      <modifiedWord/>
      <trackRevisions>false</trackRevisions>
    </reviewItem>
    <reviewItem>
      <errorID>f144cc4f-4d52-4005-9c20-be671b51d821</errorID>
      <errorWord>、</errorWord>
      <group>L1_Punc</group>
      <groupName>标点问题</groupName>
      <ability>L2_Punc_CN</ability>
      <abilityName>标点符号问题</abilityName>
      <candidateList>
        <item>.</item>
      </candidateList>
      <explain/>
      <paraID> 503A814</paraID>
      <start>1</start>
      <end>2</end>
      <status>unmodified</status>
      <modifiedWord/>
      <trackRevisions>false</trackRevisions>
    </reviewItem>
    <reviewItem>
      <errorID>72e3749f-4907-4811-a899-4be057d225fb</errorID>
      <errorWord>计算方法应</errorWord>
      <group>L1_Word</group>
      <groupName>字词问题</groupName>
      <ability>L2_Typo</ability>
      <abilityName>字词错误</abilityName>
      <candidateList>
        <item>计算方法</item>
      </candidateList>
      <explain/>
      <paraID>4A9DA092</paraID>
      <start>15</start>
      <end>20</end>
      <status>unmodified</status>
      <modifiedWord/>
      <trackRevisions>false</trackRevisions>
    </reviewItem>
    <reviewItem>
      <errorID>a285ca6a-eeac-428e-8e9f-1f3af4800098</errorID>
      <errorWord>作</errorWord>
      <group>L1_Word</group>
      <groupName>字词问题</groupName>
      <ability>L2_Typo</ability>
      <abilityName>字词错误</abilityName>
      <candidateList>
        <item>做</item>
      </candidateList>
      <explain>存在发音相同字词的误用。</explain>
      <paraID>4A9DA092</paraID>
      <start>28</start>
      <end>29</end>
      <status>unmodified</status>
      <modifiedWord/>
      <trackRevisions>false</trackRevisions>
    </reviewItem>
    <reviewItem>
      <errorID>6f27d9b8-d1a3-4040-96ba-f8f26a643a0d</errorID>
      <errorWord>、</errorWord>
      <group>L1_Punc</group>
      <groupName>标点问题</groupName>
      <ability>L2_Punc_CN</ability>
      <abilityName>标点符号问题</abilityName>
      <candidateList>
        <item>.</item>
      </candidateList>
      <explain/>
      <paraID>44D22465</paraID>
      <start>1</start>
      <end>2</end>
      <status>unmodified</status>
      <modifiedWord/>
      <trackRevisions>false</trackRevisions>
    </reviewItem>
    <reviewItem>
      <errorID>1b3574c4-7ef3-4ad2-8540-949ff2bcc57e</errorID>
      <errorWord>………</errorWord>
      <group>L1_Punc</group>
      <groupName>标点问题</groupName>
      <ability>L2_Punc_CN</ability>
      <abilityName>标点符号问题</abilityName>
      <candidateList>
        <item>……</item>
      </candidateList>
      <explain/>
      <paraID>7CCFB79C</paraID>
      <start>1</start>
      <end>4</end>
      <status>unmodified</status>
      <modifiedWord/>
      <trackRevisions>false</trackRevisions>
    </reviewItem>
    <reviewItem>
      <errorID>e90b174c-d6bf-4ce8-aa3f-37bd13b6bf24</errorID>
      <errorWord>（</errorWord>
      <group>L1_Format</group>
      <groupName>格式问题</groupName>
      <ability>L2_HalfPunc_CN</ability>
      <abilityName>全半角问题</abilityName>
      <candidateList>
        <item>(</item>
      </candidateList>
      <explain>文本全半角错误。</explain>
      <paraID>7CCFB79C</paraID>
      <start>4</start>
      <end>5</end>
      <status>unmodified</status>
      <modifiedWord/>
      <trackRevisions>false</trackRevisions>
    </reviewItem>
    <reviewItem>
      <errorID>40651465-6312-4fe9-a759-1d8298a348a4</errorID>
      <errorWord>）</errorWord>
      <group>L1_Format</group>
      <groupName>格式问题</groupName>
      <ability>L2_HalfPunc_CN</ability>
      <abilityName>全半角问题</abilityName>
      <candidateList>
        <item>)</item>
      </candidateList>
      <explain>文本全半角错误。</explain>
      <paraID>7CCFB79C</paraID>
      <start>9</start>
      <end>10</end>
      <status>unmodified</status>
      <modifiedWord/>
      <trackRevisions>false</trackRevisions>
    </reviewItem>
    <reviewItem>
      <errorID>21bea5e5-ebed-4a7a-808f-3307050f331c</errorID>
      <errorWord>、</errorWord>
      <group>L1_Punc</group>
      <groupName>标点问题</groupName>
      <ability>L2_Punc_CN</ability>
      <abilityName>标点符号问题</abilityName>
      <candidateList>
        <item>.</item>
      </candidateList>
      <explain/>
      <paraID>39096FDA</paraID>
      <start>1</start>
      <end>2</end>
      <status>unmodified</status>
      <modifiedWord/>
      <trackRevisions>false</trackRevisions>
    </reviewItem>
    <reviewItem>
      <errorID>828f6845-c894-4258-87ce-faf63976c8cf</errorID>
      <errorWord>………</errorWord>
      <group>L1_Punc</group>
      <groupName>标点问题</groupName>
      <ability>L2_Punc_CN</ability>
      <abilityName>标点符号问题</abilityName>
      <candidateList>
        <item>……</item>
      </candidateList>
      <explain/>
      <paraID>56408DAA</paraID>
      <start>1</start>
      <end>4</end>
      <status>unmodified</status>
      <modifiedWord/>
      <trackRevisions>false</trackRevisions>
    </reviewItem>
    <reviewItem>
      <errorID>fbbf8f57-db46-4273-872d-c63949350404</errorID>
      <errorWord>（</errorWord>
      <group>L1_Format</group>
      <groupName>格式问题</groupName>
      <ability>L2_HalfPunc_CN</ability>
      <abilityName>全半角问题</abilityName>
      <candidateList>
        <item>(</item>
      </candidateList>
      <explain>文本全半角错误。</explain>
      <paraID>56408DAA</paraID>
      <start>4</start>
      <end>5</end>
      <status>unmodified</status>
      <modifiedWord/>
      <trackRevisions>false</trackRevisions>
    </reviewItem>
    <reviewItem>
      <errorID>6944f159-739c-4ca1-b452-cf3d2e93741f</errorID>
      <errorWord>）</errorWord>
      <group>L1_Format</group>
      <groupName>格式问题</groupName>
      <ability>L2_HalfPunc_CN</ability>
      <abilityName>全半角问题</abilityName>
      <candidateList>
        <item>)</item>
      </candidateList>
      <explain>文本全半角错误。</explain>
      <paraID>56408DAA</paraID>
      <start>9</start>
      <end>10</end>
      <status>unmodified</status>
      <modifiedWord/>
      <trackRevisions>false</trackRevisions>
    </reviewItem>
    <reviewItem>
      <errorID>9a25fb8b-d2cd-4e8e-8d96-ae9158517cd8</errorID>
      <errorWord>-</errorWord>
      <group>L1_Format</group>
      <groupName>格式问题</groupName>
      <ability>L2_HalfPunc_CN</ability>
      <abilityName>全半角问题</abilityName>
      <candidateList>
        <item>－</item>
      </candidateList>
      <explain>文本全半角错误。</explain>
      <paraID>4CCEE214</paraID>
      <start>2</start>
      <end>3</end>
      <status>unmodified</status>
      <modifiedWord/>
      <trackRevisions>false</trackRevisions>
    </reviewItem>
    <reviewItem>
      <errorID>a254089d-9904-4718-8e0f-9b0aacf695f4</errorID>
      <errorWord>-</errorWord>
      <group>L1_Format</group>
      <groupName>格式问题</groupName>
      <ability>L2_HalfPunc_CN</ability>
      <abilityName>全半角问题</abilityName>
      <candidateList>
        <item>－</item>
      </candidateList>
      <explain>文本全半角错误。</explain>
      <paraID>1E0A70BD</paraID>
      <start>2</start>
      <end>3</end>
      <status>unmodified</status>
      <modifiedWord/>
      <trackRevisions>false</trackRevisions>
    </reviewItem>
    <reviewItem>
      <errorID>0a7d1288-56cc-4fc0-8516-be96a184e152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6F43BF7E</paraID>
      <start>0</start>
      <end>2</end>
      <status>unmodified</status>
      <modifiedWord/>
      <trackRevisions>false</trackRevisions>
    </reviewItem>
    <reviewItem>
      <errorID>a9d1091f-d8e2-4271-af7a-aa0f2af87b06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377D468D</paraID>
      <start>0</start>
      <end>2</end>
      <status>unmodified</status>
      <modifiedWord/>
      <trackRevisions>false</trackRevisions>
    </reviewItem>
    <reviewItem>
      <errorID>12fb5622-a3a1-4369-8b83-d787761246d8</errorID>
      <errorWord>[2014]789号</errorWord>
      <group>L1_Knowledge</group>
      <groupName>知识性问题</groupName>
      <ability>L2_Knowledge</ability>
      <abilityName>其他知识</abilityName>
      <candidateList>
        <item>〔2014〕789号</item>
      </candidateList>
      <explain>发文字号格式错误。</explain>
      <paraID>7C3002D0</paraID>
      <start>5</start>
      <end>15</end>
      <status>modified</status>
      <modifiedWord>〔2014〕789号</modifiedWord>
      <trackRevisions>false</trackRevisions>
    </reviewItem>
    <reviewItem>
      <errorID>72887135-c57b-4b0f-b956-48e3ac272f9e</errorID>
      <errorWord>”</errorWord>
      <group>L1_Punc</group>
      <groupName>标点问题</groupName>
      <ability>L2_Punc_CN</ability>
      <abilityName>标点符号问题</abilityName>
      <candidateList>
        <item>“</item>
      </candidateList>
      <explain>注意检查双引号的方向是否正确。</explain>
      <paraID>7C3002D0</paraID>
      <start>37</start>
      <end>38</end>
      <status>modified</status>
      <modifiedWord>“</modifiedWord>
      <trackRevisions>false</trackRevisions>
    </reviewItem>
    <reviewItem>
      <errorID>744a4ae2-a3d3-46d9-82c2-9eca97227ed3</errorID>
      <errorWord>[2017]25号</errorWord>
      <group>L1_Knowledge</group>
      <groupName>知识性问题</groupName>
      <ability>L2_Knowledge</ability>
      <abilityName>其他知识</abilityName>
      <candidateList>
        <item>〔2017〕25号</item>
      </candidateList>
      <explain>发文字号格式错误。</explain>
      <paraID>6C700A4D</paraID>
      <start>53</start>
      <end>62</end>
      <status>modified</status>
      <modifiedWord>〔2017〕25号</modifiedWord>
      <trackRevisions>false</trackRevisions>
    </reviewItem>
    <reviewItem>
      <errorID>fb34a980-e4fd-4241-b319-0852fe6d37fc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1C0AABA</paraID>
      <start>19</start>
      <end>22</end>
      <status>unmodified</status>
      <modifiedWord/>
      <trackRevisions>false</trackRevisions>
    </reviewItem>
    <reviewItem>
      <errorID>07d2253c-b622-4e3b-aeb8-8d0bb4a0eb98</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1C0AABA</paraID>
      <start>60</start>
      <end>63</end>
      <status>unmodified</status>
      <modifiedWord/>
      <trackRevisions>false</trackRevisions>
    </reviewItem>
    <reviewItem>
      <errorID>a8a78692-0a2d-49f4-b1ac-840725c24e4c</errorID>
      <errorWord>、</errorWord>
      <group>L1_Punc</group>
      <groupName>标点问题</groupName>
      <ability>L2_Punc_CN</ability>
      <abilityName>标点符号问题</abilityName>
      <candidateList>
        <item>.</item>
      </candidateList>
      <explain/>
      <paraID> 79E7A27</paraID>
      <start>1</start>
      <end>2</end>
      <status>unmodified</status>
      <modifiedWord/>
      <trackRevisions>false</trackRevisions>
    </reviewItem>
    <reviewItem>
      <errorID>d553265e-b702-44e7-9574-b2fac7bc2118</errorID>
      <errorWord>、</errorWord>
      <group>L1_Punc</group>
      <groupName>标点问题</groupName>
      <ability>L2_Punc_CN</ability>
      <abilityName>标点符号问题</abilityName>
      <candidateList>
        <item>.</item>
      </candidateList>
      <explain/>
      <paraID>656A659D</paraID>
      <start>1</start>
      <end>2</end>
      <status>unmodified</status>
      <modifiedWord/>
      <trackRevisions>false</trackRevisions>
    </reviewItem>
    <reviewItem>
      <errorID>ee8d84af-563e-40ca-ae3e-66d4777f696f</errorID>
      <errorWord>其它缺陷</errorWord>
      <group>L1_Word</group>
      <groupName>字词问题</groupName>
      <ability>L2_Alias</ability>
      <abilityName>也作/曾用词</abilityName>
      <candidateList>
        <item>其他缺陷</item>
      </candidateList>
      <explain>词汇[其它缺陷]为不规范表述或旧称，其规范书面表述为[其他缺陷]。</explain>
      <paraID>656A659D</paraID>
      <start>41</start>
      <end>45</end>
      <status>unmodified</status>
      <modifiedWord/>
      <trackRevisions>false</trackRevisions>
    </reviewItem>
    <reviewItem>
      <errorID>4147fe3c-19f6-4482-8209-2568abc3a71b</errorID>
      <errorWord>、</errorWord>
      <group>L1_Punc</group>
      <groupName>标点问题</groupName>
      <ability>L2_Punc_CN</ability>
      <abilityName>标点符号问题</abilityName>
      <candidateList>
        <item>.</item>
      </candidateList>
      <explain/>
      <paraID>2E167F94</paraID>
      <start>1</start>
      <end>2</end>
      <status>unmodified</status>
      <modifiedWord/>
      <trackRevisions>false</trackRevisions>
    </reviewItem>
    <reviewItem>
      <errorID>a802d887-6a57-443b-b762-c38dae5d52c2</errorID>
      <errorWord>、</errorWord>
      <group>L1_Punc</group>
      <groupName>标点问题</groupName>
      <ability>L2_Punc_CN</ability>
      <abilityName>标点符号问题</abilityName>
      <candidateList>
        <item>.</item>
      </candidateList>
      <explain/>
      <paraID>36D3D6D4</paraID>
      <start>1</start>
      <end>2</end>
      <status>unmodified</status>
      <modifiedWord/>
      <trackRevisions>false</trackRevisions>
    </reviewItem>
    <reviewItem>
      <errorID>8d7a45f4-5eff-4b18-a6de-c17d701bdabf</errorID>
      <errorWord>、</errorWord>
      <group>L1_Punc</group>
      <groupName>标点问题</groupName>
      <ability>L2_Punc_CN</ability>
      <abilityName>标点符号问题</abilityName>
      <candidateList>
        <item>.</item>
      </candidateList>
      <explain/>
      <paraID>5240AFA4</paraID>
      <start>1</start>
      <end>2</end>
      <status>unmodified</status>
      <modifiedWord/>
      <trackRevisions>false</trackRevisions>
    </reviewItem>
    <reviewItem>
      <errorID>1f408927-e946-476b-9ba5-42bb2636af6f</errorID>
      <errorWord>警示标示</errorWord>
      <group>L1_Knowledge</group>
      <groupName>知识性问题</groupName>
      <ability>L2_Term</ability>
      <abilityName>专业术语</abilityName>
      <candidateList>
        <item>警示标志</item>
      </candidateList>
      <explain/>
      <paraID>5240AFA4</paraID>
      <start>28</start>
      <end>32</end>
      <status>unmodified</status>
      <modifiedWord/>
      <trackRevisions>false</trackRevisions>
    </reviewItem>
    <reviewItem>
      <errorID>d9c8b7f8-443e-43d1-84ec-887ebf0cbc25</errorID>
      <errorWord>、</errorWord>
      <group>L1_Punc</group>
      <groupName>标点问题</groupName>
      <ability>L2_Punc_CN</ability>
      <abilityName>标点符号问题</abilityName>
      <candidateList>
        <item>.</item>
      </candidateList>
      <explain/>
      <paraID>7ABBBA20</paraID>
      <start>1</start>
      <end>2</end>
      <status>unmodified</status>
      <modifiedWord/>
      <trackRevisions>false</trackRevisions>
    </reviewItem>
    <reviewItem>
      <errorID>ccf145af-fc7a-4c3f-8c2e-3d4f0a081143</errorID>
      <errorWord>、</errorWord>
      <group>L1_Punc</group>
      <groupName>标点问题</groupName>
      <ability>L2_Punc_CN</ability>
      <abilityName>标点符号问题</abilityName>
      <candidateList>
        <item>.</item>
      </candidateList>
      <explain/>
      <paraID>7900B207</paraID>
      <start>1</start>
      <end>2</end>
      <status>unmodified</status>
      <modifiedWord/>
      <trackRevisions>false</trackRevisions>
    </reviewItem>
    <reviewItem>
      <errorID>3e14bdea-36fa-4fdd-96b7-ebbbe9fe31a1</errorID>
      <errorWord>、</errorWord>
      <group>L1_Punc</group>
      <groupName>标点问题</groupName>
      <ability>L2_Punc_CN</ability>
      <abilityName>标点符号问题</abilityName>
      <candidateList>
        <item>.</item>
      </candidateList>
      <explain/>
      <paraID>2D042205</paraID>
      <start>1</start>
      <end>2</end>
      <status>unmodified</status>
      <modifiedWord/>
      <trackRevisions>false</trackRevisions>
    </reviewItem>
    <reviewItem>
      <errorID>97f7540e-169a-4809-ad7d-00ae11135edb</errorID>
      <errorWord>、</errorWord>
      <group>L1_Punc</group>
      <groupName>标点问题</groupName>
      <ability>L2_Punc_CN</ability>
      <abilityName>标点符号问题</abilityName>
      <candidateList>
        <item>.</item>
      </candidateList>
      <explain/>
      <paraID>67674D0A</paraID>
      <start>1</start>
      <end>2</end>
      <status>unmodified</status>
      <modifiedWord/>
      <trackRevisions>false</trackRevisions>
    </reviewItem>
    <reviewItem>
      <errorID>cd7b050f-3b6a-46ba-aa93-020975131f76</errorID>
      <errorWord>PH值</errorWord>
      <group>L1_Word</group>
      <groupName>字词问题</groupName>
      <ability>L2_Typo</ability>
      <abilityName>字词错误</abilityName>
      <candidateList>
        <item>pH值</item>
      </candidateList>
      <explain/>
      <paraID>37C128D9</paraID>
      <start>65</start>
      <end>68</end>
      <status>unmodified</status>
      <modifiedWord/>
      <trackRevisions>false</trackRevisions>
    </reviewItem>
    <reviewItem>
      <errorID>e8866567-4dda-483b-b5ce-91f5b99bda7f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6A0E78AD</paraID>
      <start>0</start>
      <end>2</end>
      <status>unmodified</status>
      <modifiedWord/>
      <trackRevisions>false</trackRevisions>
    </reviewItem>
    <reviewItem>
      <errorID>e7724bf5-1ec4-447c-aded-4f499f645405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343B108C</paraID>
      <start>0</start>
      <end>2</end>
      <status>unmodified</status>
      <modifiedWord/>
      <trackRevisions>false</trackRevisions>
    </reviewItem>
    <reviewItem>
      <errorID>07418285-1687-4f99-857d-1ce18d0b9fdd</errorID>
      <errorWord>目</errorWord>
      <group>L1_Word</group>
      <groupName>字词问题</groupName>
      <ability>L2_Typo</ability>
      <abilityName>字词错误</abilityName>
      <candidateList>
        <item>目在</item>
      </candidateList>
      <explain/>
      <paraID> 2D8E7B9</paraID>
      <start>2</start>
      <end>3</end>
      <status>unmodified</status>
      <modifiedWord/>
      <trackRevisions>false</trackRevisions>
    </reviewItem>
    <reviewItem>
      <errorID>214b07ce-c4a2-46e0-99aa-f9f47f227a57</errorID>
      <errorWord>（</errorWord>
      <group>L1_Format</group>
      <groupName>格式问题</groupName>
      <ability>L2_HalfPunc_CN</ability>
      <abilityName>全半角问题</abilityName>
      <candidateList>
        <item>(</item>
      </candidateList>
      <explain>文本全半角错误。</explain>
      <paraID>690FF89F</paraID>
      <start>0</start>
      <end>1</end>
      <status>unmodified</status>
      <modifiedWord/>
      <trackRevisions>false</trackRevisions>
    </reviewItem>
    <reviewItem>
      <errorID>7737c426-f5c1-4c95-a86e-ff22c41ea52b</errorID>
      <errorWord>）</errorWord>
      <group>L1_Format</group>
      <groupName>格式问题</groupName>
      <ability>L2_HalfPunc_CN</ability>
      <abilityName>全半角问题</abilityName>
      <candidateList>
        <item>)</item>
      </candidateList>
      <explain>文本全半角错误。</explain>
      <paraID>690FF89F</paraID>
      <start>6</start>
      <end>7</end>
      <status>unmodified</status>
      <modifiedWord/>
      <trackRevisions>false</trackRevisions>
    </reviewItem>
    <reviewItem>
      <errorID>ba8c0106-2f12-4a53-89ab-955f96c30479</errorID>
      <errorWord>）</errorWord>
      <group>L1_Format</group>
      <groupName>格式问题</groupName>
      <ability>L2_HalfPunc_CN</ability>
      <abilityName>全半角问题</abilityName>
      <candidateList>
        <item>)</item>
      </candidateList>
      <explain>文本全半角错误。</explain>
      <paraID>71049FF2</paraID>
      <start>1</start>
      <end>2</end>
      <status>unmodified</status>
      <modifiedWord/>
      <trackRevisions>false</trackRevisions>
    </reviewItem>
    <reviewItem>
      <errorID>3eacfb34-1bf8-4d0d-a517-96a2f29c70fd</errorID>
      <errorWord>；</errorWord>
      <group>L1_Format</group>
      <groupName>格式问题</groupName>
      <ability>L2_HalfPunc_CN</ability>
      <abilityName>全半角问题</abilityName>
      <candidateList>
        <item>; </item>
      </candidateList>
      <explain>文本全半角错误。</explain>
      <paraID>71049FF2</paraID>
      <start>3</start>
      <end>4</end>
      <status>unmodified</status>
      <modifiedWord/>
      <trackRevisions>false</trackRevisions>
    </reviewItem>
    <reviewItem>
      <errorID>95cb9e59-b6f3-4609-9a45-f9324706e792</errorID>
      <errorWord>）</errorWord>
      <group>L1_Format</group>
      <groupName>格式问题</groupName>
      <ability>L2_HalfPunc_CN</ability>
      <abilityName>全半角问题</abilityName>
      <candidateList>
        <item>)</item>
      </candidateList>
      <explain>文本全半角错误。</explain>
      <paraID>71049FF2</paraID>
      <start>5</start>
      <end>6</end>
      <status>unmodified</status>
      <modifiedWord/>
      <trackRevisions>false</trackRevisions>
    </reviewItem>
    <reviewItem>
      <errorID>9c6f70e7-39b4-406a-8132-2826b1f1eeb6</errorID>
      <errorWord>；</errorWord>
      <group>L1_Format</group>
      <groupName>格式问题</groupName>
      <ability>L2_HalfPunc_CN</ability>
      <abilityName>全半角问题</abilityName>
      <candidateList>
        <item>; </item>
      </candidateList>
      <explain>文本全半角错误。</explain>
      <paraID>71049FF2</paraID>
      <start>7</start>
      <end>8</end>
      <status>unmodified</status>
      <modifiedWord/>
      <trackRevisions>false</trackRevisions>
    </reviewItem>
    <reviewItem>
      <errorID>44956d4d-4f76-40e4-94ca-ce13537e0676</errorID>
      <errorWord>）</errorWord>
      <group>L1_Format</group>
      <groupName>格式问题</groupName>
      <ability>L2_HalfPunc_CN</ability>
      <abilityName>全半角问题</abilityName>
      <candidateList>
        <item>)</item>
      </candidateList>
      <explain>文本全半角错误。</explain>
      <paraID>71049FF2</paraID>
      <start>9</start>
      <end>10</end>
      <status>unmodified</status>
      <modifiedWord/>
      <trackRevisions>false</trackRevisions>
    </reviewItem>
    <reviewItem>
      <errorID>b05fa2c0-d991-4550-9422-97db49f2e7b4</errorID>
      <errorWord>；</errorWord>
      <group>L1_Format</group>
      <groupName>格式问题</groupName>
      <ability>L2_HalfPunc_CN</ability>
      <abilityName>全半角问题</abilityName>
      <candidateList>
        <item>; </item>
      </candidateList>
      <explain>文本全半角错误。</explain>
      <paraID>71049FF2</paraID>
      <start>11</start>
      <end>12</end>
      <status>unmodified</status>
      <modifiedWord/>
      <trackRevisions>false</trackRevisions>
    </reviewItem>
    <reviewItem>
      <errorID>70d049a6-53dd-4420-b353-04e24d147182</errorID>
      <errorWord>）</errorWord>
      <group>L1_Format</group>
      <groupName>格式问题</groupName>
      <ability>L2_HalfPunc_CN</ability>
      <abilityName>全半角问题</abilityName>
      <candidateList>
        <item>)</item>
      </candidateList>
      <explain>文本全半角错误。</explain>
      <paraID>71049FF2</paraID>
      <start>13</start>
      <end>14</end>
      <status>unmodified</status>
      <modifiedWord/>
      <trackRevisions>false</trackRevisions>
    </reviewItem>
    <reviewItem>
      <errorID>3d11173d-cf97-4c9b-9342-4486de339429</errorID>
      <errorWord>（</errorWord>
      <group>L1_Format</group>
      <groupName>格式问题</groupName>
      <ability>L2_HalfPunc_CN</ability>
      <abilityName>全半角问题</abilityName>
      <candidateList>
        <item>(</item>
      </candidateList>
      <explain>文本全半角错误。</explain>
      <paraID>1C51F864</paraID>
      <start>0</start>
      <end>1</end>
      <status>unmodified</status>
      <modifiedWord/>
      <trackRevisions>false</trackRevisions>
    </reviewItem>
    <reviewItem>
      <errorID>922562a5-7fd7-403a-8c71-7e756efa7988</errorID>
      <errorWord>）</errorWord>
      <group>L1_Format</group>
      <groupName>格式问题</groupName>
      <ability>L2_HalfPunc_CN</ability>
      <abilityName>全半角问题</abilityName>
      <candidateList>
        <item>)</item>
      </candidateList>
      <explain>文本全半角错误。</explain>
      <paraID>1C51F864</paraID>
      <start>11</start>
      <end>12</end>
      <status>unmodified</status>
      <modifiedWord/>
      <trackRevisions>false</trackRevisions>
    </reviewItem>
    <reviewItem>
      <errorID>c1c5e01a-4978-4cd2-8d17-70c7c6c34b0b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39C9DAA7</paraID>
      <start>28</start>
      <end>29</end>
      <status>unmodified</status>
      <modifiedWord/>
      <trackRevisions>false</trackRevisions>
    </reviewItem>
    <reviewItem>
      <errorID>6853bfae-d550-4ae4-b00f-2cf58a09a1db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3</start>
      <end>4</end>
      <status>unmodified</status>
      <modifiedWord/>
      <trackRevisions>false</trackRevisions>
    </reviewItem>
    <reviewItem>
      <errorID>cb37b947-9fd2-4d75-b18e-3c348d8a99b5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5</start>
      <end>6</end>
      <status>unmodified</status>
      <modifiedWord/>
      <trackRevisions>false</trackRevisions>
    </reviewItem>
    <reviewItem>
      <errorID>99cdfb65-73f2-4305-a1ff-4e3c53a543df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14</start>
      <end>15</end>
      <status>unmodified</status>
      <modifiedWord/>
      <trackRevisions>false</trackRevisions>
    </reviewItem>
    <reviewItem>
      <errorID>afee57b9-e74b-40d0-bd5c-5f313064dc29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17</start>
      <end>18</end>
      <status>unmodified</status>
      <modifiedWord/>
      <trackRevisions>false</trackRevisions>
    </reviewItem>
    <reviewItem>
      <errorID>4c9c8236-8668-46aa-a139-63285be9287d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25</start>
      <end>26</end>
      <status>unmodified</status>
      <modifiedWord/>
      <trackRevisions>false</trackRevisions>
    </reviewItem>
    <reviewItem>
      <errorID>7e24f25b-c390-43b9-9dd4-6e4ebde490a0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56440A67</paraID>
      <start>28</start>
      <end>29</end>
      <status>unmodified</status>
      <modifiedWord/>
      <trackRevisions>false</trackRevisions>
    </reviewItem>
    <reviewItem>
      <errorID>d31a0e90-dc3a-4f22-a4df-c6d345387c3d</errorID>
      <errorWord>环境影响评级</errorWord>
      <group>L1_Knowledge</group>
      <groupName>知识性问题</groupName>
      <ability>L2_Term</ability>
      <abilityName>专业术语</abilityName>
      <candidateList>
        <item>环境影响评价</item>
      </candidateList>
      <explain/>
      <paraID>56440A67</paraID>
      <start>48</start>
      <end>54</end>
      <status>unmodified</status>
      <modifiedWord/>
      <trackRevisions>false</trackRevisions>
    </reviewItem>
    <reviewItem>
      <errorID>bbf3cc70-b342-4548-8163-d6089bd41d8a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5BD2AB32</paraID>
      <start>0</start>
      <end>2</end>
      <status>unmodified</status>
      <modifiedWord/>
      <trackRevisions>false</trackRevisions>
    </reviewItem>
    <reviewItem>
      <errorID>c9ad21e2-5873-479e-9c4e-c8778af5cdb9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639B8953</paraID>
      <start>0</start>
      <end>2</end>
      <status>unmodified</status>
      <modifiedWord/>
      <trackRevisions>false</trackRevisions>
    </reviewItem>
    <reviewItem>
      <errorID>346a38bf-4b1c-459b-85a3-20d11f4bd299</errorID>
      <errorWord>篙</errorWord>
      <group>L1_Word</group>
      <groupName>字词问题</groupName>
      <ability>L2_Typo</ability>
      <abilityName>字词错误</abilityName>
      <candidateList>
        <item>蒿</item>
      </candidateList>
      <explain>存在发音相近字词的误用。</explain>
      <paraID>3D7B6014</paraID>
      <start>30</start>
      <end>31</end>
      <status>unmodified</status>
      <modifiedWord/>
      <trackRevisions>false</trackRevisions>
    </reviewItem>
    <reviewItem>
      <errorID>d344d103-7dca-47e7-8058-1854512417e4</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552E49D0</paraID>
      <start>16</start>
      <end>19</end>
      <status>unmodified</status>
      <modifiedWord/>
      <trackRevisions>false</trackRevisions>
    </reviewItem>
    <reviewItem>
      <errorID>7dc9d4e9-5eaf-4521-a666-329864f7c1a7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552E49D0</paraID>
      <start>50</start>
      <end>53</end>
      <status>unmodified</status>
      <modifiedWord/>
      <trackRevisions>false</trackRevisions>
    </reviewItem>
    <reviewItem>
      <errorID>1cc0553f-8f9c-4b82-be14-e09dd763b850</errorID>
      <errorWord>相关了</errorWord>
      <group>L1_Word</group>
      <groupName>字词问题</groupName>
      <ability>L2_Typo</ability>
      <abilityName>字词错误</abilityName>
      <candidateList>
        <item>相关</item>
      </candidateList>
      <explain>〈动〉彼此关连：休戚～｜体育事业和人民健康密切～。</explain>
      <paraID>552E49D0</paraID>
      <start>60</start>
      <end>63</end>
      <status>unmodified</status>
      <modifiedWord/>
      <trackRevisions>false</trackRevisions>
    </reviewItem>
    <reviewItem>
      <errorID>116fea74-7b09-4b07-8ca8-96c69247a47c</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526E4B78</paraID>
      <start>7</start>
      <end>9</end>
      <status>unmodified</status>
      <modifiedWord/>
      <trackRevisions>false</trackRevisions>
    </reviewItem>
    <reviewItem>
      <errorID>f063b72f-d391-403e-8847-2b4485f45d9f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1F74B820</paraID>
      <start>0</start>
      <end>2</end>
      <status>unmodified</status>
      <modifiedWord/>
      <trackRevisions>false</trackRevisions>
    </reviewItem>
    <reviewItem>
      <errorID>d828eb3a-4c02-402b-b534-7213cec2b70e</errorID>
      <errorWord>进行</errorWord>
      <group>L1_Grammar</group>
      <groupName>语法问题</groupName>
      <ability>L2_Grammar</ability>
      <abilityName>语法错误</abilityName>
      <candidateList>
        <item>开展</item>
      </candidateList>
      <explain>“广泛～进行”搭配不当，建议修改为“广泛～开展”。</explain>
      <paraID>282373A8</paraID>
      <start>125</start>
      <end>127</end>
      <status>unmodified</status>
      <modifiedWord/>
      <trackRevisions>false</trackRevisions>
    </reviewItem>
    <reviewItem>
      <errorID>df2f72a8-9963-4584-b457-124ebf7cdeb9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282373A8</paraID>
      <start>164</start>
      <end>165</end>
      <status>unmodified</status>
      <modifiedWord/>
      <trackRevisions>false</trackRevisions>
    </reviewItem>
    <reviewItem>
      <errorID>6ae72d34-a780-4c62-80cb-ac0a557455ab</errorID>
      <errorWord>环境污染的</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6EC85AF2</paraID>
      <start>16</start>
      <end>21</end>
      <status>unmodified</status>
      <modifiedWord/>
      <trackRevisions>false</trackRevisions>
    </reviewItem>
    <reviewItem>
      <errorID>413bf7f7-6410-4813-8fe0-e423d70e0bb1</errorID>
      <errorWord>[2012]98号</errorWord>
      <group>L1_Knowledge</group>
      <groupName>知识性问题</groupName>
      <ability>L2_Knowledge</ability>
      <abilityName>其他知识</abilityName>
      <candidateList>
        <item>〔2012〕98号</item>
      </candidateList>
      <explain>发文字号格式错误。</explain>
      <paraID>4D5B2EBD</paraID>
      <start>59</start>
      <end>68</end>
      <status>unmodified</status>
      <modifiedWord/>
      <trackRevisions>false</trackRevisions>
    </reviewItem>
    <reviewItem>
      <errorID>2ec8411f-c732-459d-8f2d-aec833113232</errorID>
      <errorWord>[2012]77号</errorWord>
      <group>L1_Knowledge</group>
      <groupName>知识性问题</groupName>
      <ability>L2_Knowledge</ability>
      <abilityName>其他知识</abilityName>
      <candidateList>
        <item>〔2012〕77号</item>
      </candidateList>
      <explain>发文字号格式错误。</explain>
      <paraID>4D5B2EBD</paraID>
      <start>99</start>
      <end>108</end>
      <status>unmodified</status>
      <modifiedWord/>
      <trackRevisions>false</trackRevisions>
    </reviewItem>
    <reviewItem>
      <errorID>06aa3a07-077a-45cf-9267-d8a5ae11bbc3</errorID>
      <errorWord>泄露</errorWord>
      <group>L1_Word</group>
      <groupName>字词问题</groupName>
      <ability>L2_Typo</ability>
      <abilityName>字词错误</abilityName>
      <candidateList>
        <item>泄漏</item>
      </candidateList>
      <explain/>
      <paraID>32CC0656</paraID>
      <start>31</start>
      <end>33</end>
      <status>unmodified</status>
      <modifiedWord/>
      <trackRevisions>false</trackRevisions>
    </reviewItem>
    <reviewItem>
      <errorID>67b1e074-4fad-46cd-bca7-0cb443b0a6a9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6D8A857D</paraID>
      <start>0</start>
      <end>2</end>
      <status>unmodified</status>
      <modifiedWord/>
      <trackRevisions>false</trackRevisions>
    </reviewItem>
    <reviewItem>
      <errorID>8de0f96a-6b57-4ab0-a826-0d3140f8f3b6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40C3536A</paraID>
      <start>0</start>
      <end>2</end>
      <status>unmodified</status>
      <modifiedWord/>
      <trackRevisions>false</trackRevisions>
    </reviewItem>
    <reviewItem>
      <errorID>40b358b1-0e9b-4c10-aba6-1f8fc5e67ec8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1A22DC47</paraID>
      <start>0</start>
      <end>2</end>
      <status>unmodified</status>
      <modifiedWord/>
      <trackRevisions>false</trackRevisions>
    </reviewItem>
    <reviewItem>
      <errorID>4c30242f-17c0-4aa5-98f1-d9b217aa8ade</errorID>
      <errorWord>泄露</errorWord>
      <group>L1_Word</group>
      <groupName>字词问题</groupName>
      <ability>L2_Typo</ability>
      <abilityName>字词错误</abilityName>
      <candidateList>
        <item>泄漏</item>
      </candidateList>
      <explain/>
      <paraID>1A22DC47</paraID>
      <start>10</start>
      <end>12</end>
      <status>unmodified</status>
      <modifiedWord/>
      <trackRevisions>false</trackRevisions>
    </reviewItem>
    <reviewItem>
      <errorID>713e3300-7d6a-44fa-a4f4-f972156d30bf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464BD8EC</paraID>
      <start>0</start>
      <end>2</end>
      <status>unmodified</status>
      <modifiedWord/>
      <trackRevisions>false</trackRevisions>
    </reviewItem>
    <reviewItem>
      <errorID>aa2aaf08-8bb0-471a-a8e8-1c9e8f324886</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1F0BDF81</paraID>
      <start>70</start>
      <end>73</end>
      <status>unmodified</status>
      <modifiedWord/>
      <trackRevisions>false</trackRevisions>
    </reviewItem>
    <reviewItem>
      <errorID>e7fb94a8-3b0d-41d7-853a-8c1e37bcb27a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704EB5A7</paraID>
      <start>0</start>
      <end>2</end>
      <status>unmodified</status>
      <modifiedWord/>
      <trackRevisions>false</trackRevisions>
    </reviewItem>
    <reviewItem>
      <errorID>eaec2e4d-bd8c-4784-a624-03b5b9b6b2bd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1A43A012</paraID>
      <start>0</start>
      <end>2</end>
      <status>unmodified</status>
      <modifiedWord/>
      <trackRevisions>false</trackRevisions>
    </reviewItem>
    <reviewItem>
      <errorID>b51e79bf-525c-4ca2-bc01-d7b64e3f05f0</errorID>
      <errorWord>疫情防疫</errorWord>
      <group>L1_Word</group>
      <groupName>字词问题</groupName>
      <ability>L2_Typo</ability>
      <abilityName>字词错误</abilityName>
      <candidateList>
        <item>疫情防控</item>
      </candidateList>
      <explain/>
      <paraID>1A43A012</paraID>
      <start>2</start>
      <end>6</end>
      <status>unmodified</status>
      <modifiedWord/>
      <trackRevisions>false</trackRevisions>
    </reviewItem>
    <reviewItem>
      <errorID>c1884aac-a56d-4e06-a474-eb3bb1d9b3fa</errorID>
      <errorWord>”</errorWord>
      <group>L1_Punc</group>
      <groupName>标点问题</groupName>
      <ability>L2_Punc_CN</ability>
      <abilityName>标点符号问题</abilityName>
      <candidateList>
        <item>“</item>
      </candidateList>
      <explain>注意检查双引号的方向是否正确。</explain>
      <paraID>3AB7C875</paraID>
      <start>43</start>
      <end>44</end>
      <status>unmodified</status>
      <modifiedWord/>
      <trackRevisions>false</trackRevisions>
    </reviewItem>
    <reviewItem>
      <errorID>f2b678f8-3524-447b-9ec7-63b53ac49f60</errorID>
      <errorWord>人</errorWord>
      <group>L1_Word</group>
      <groupName>字词问题</groupName>
      <ability>L2_Typo</ability>
      <abilityName>字词错误</abilityName>
      <candidateList>
        <item>人员</item>
      </candidateList>
      <explain>〈名〉担任某种职务的人：机关工作～｜值班～｜～配备。</explain>
      <paraID>33E4D8CB</paraID>
      <start>7</start>
      <end>8</end>
      <status>unmodified</status>
      <modifiedWord/>
      <trackRevisions>false</trackRevisions>
    </reviewItem>
    <reviewItem>
      <errorID>bfe8e96a-dd82-49eb-b019-46cb6907f2c5</errorID>
      <errorWord>场区</errorWord>
      <group>L1_Word</group>
      <groupName>字词问题</groupName>
      <ability>L2_Typo</ability>
      <abilityName>字词错误</abilityName>
      <candidateList>
        <item>厂区</item>
      </candidateList>
      <explain>存在发音相同字词的误用。</explain>
      <paraID>33E4D8CB</paraID>
      <start>85</start>
      <end>87</end>
      <status>unmodified</status>
      <modifiedWord/>
      <trackRevisions>false</trackRevisions>
    </reviewItem>
    <reviewItem>
      <errorID>9103a8c5-08d8-41e6-a607-20614e1a6fab</errorID>
      <errorWord>抗菌素</errorWord>
      <group>L1_Word</group>
      <groupName>字词问题</groupName>
      <ability>L2_Typo</ability>
      <abilityName>字词错误</abilityName>
      <candidateList>
        <item>抗生素</item>
      </candidateList>
      <explain/>
      <paraID> CC540B1</paraID>
      <start>44</start>
      <end>47</end>
      <status>unmodified</status>
      <modifiedWord/>
      <trackRevisions>false</trackRevisions>
    </reviewItem>
    <reviewItem>
      <errorID>db196345-5dc8-41e6-a762-eedadd3b739a</errorID>
      <errorWord>其</errorWord>
      <group>L1_Word</group>
      <groupName>字词问题</groupName>
      <ability>L2_Typo</ability>
      <abilityName>字词错误</abilityName>
      <candidateList>
        <item>其是</item>
      </candidateList>
      <explain/>
      <paraID>5EE5AAB8</paraID>
      <start>7</start>
      <end>8</end>
      <status>unmodified</status>
      <modifiedWord/>
      <trackRevisions>false</trackRevisions>
    </reviewItem>
    <reviewItem>
      <errorID>a8c4c35a-54dc-46bd-93fe-b0939e1f8e19</errorID>
      <errorWord>”</errorWord>
      <group>L1_Punc</group>
      <groupName>标点问题</groupName>
      <ability>L2_Punc_CN</ability>
      <abilityName>标点符号问题</abilityName>
      <candidateList>
        <item>“</item>
      </candidateList>
      <explain>注意检查双引号的方向是否正确。</explain>
      <paraID>5F174A34</paraID>
      <start>59</start>
      <end>60</end>
      <status>modified</status>
      <modifiedWord>“</modifiedWord>
      <trackRevisions>false</trackRevisions>
    </reviewItem>
    <reviewItem>
      <errorID>fcb156f2-2480-4bc0-8517-3c1380ad02ef</errorID>
      <errorWord>成</errorWord>
      <group>L1_Word</group>
      <groupName>字词问题</groupName>
      <ability>L2_Typo</ability>
      <abilityName>字词错误</abilityName>
      <candidateList>
        <item>成的</item>
      </candidateList>
      <explain/>
      <paraID>23E1317C</paraID>
      <start>97</start>
      <end>98</end>
      <status>unmodified</status>
      <modifiedWord/>
      <trackRevisions>false</trackRevisions>
    </reviewItem>
    <reviewItem>
      <errorID>8ba6c3df-1b9f-49e4-b4d2-f6c35905b654</errorID>
      <errorWord>病性</errorWord>
      <group>L1_Word</group>
      <groupName>字词问题</groupName>
      <ability>L2_Typo</ability>
      <abilityName>字词错误</abilityName>
      <candidateList>
        <item>病</item>
      </candidateList>
      <explain/>
      <paraID>3E94464B</paraID>
      <start>179</start>
      <end>181</end>
      <status>unmodified</status>
      <modifiedWord/>
      <trackRevisions>false</trackRevisions>
    </reviewItem>
    <reviewItem>
      <errorID>9787eec9-f076-46d7-a32b-de372a148902</errorID>
      <errorWord>福尔马林</errorWord>
      <group>L1_Word</group>
      <groupName>字词问题</groupName>
      <ability>L2_Typo</ability>
      <abilityName>字词错误</abilityName>
      <candidateList>
        <item>甲醛溶液</item>
      </candidateList>
      <explain/>
      <paraID>3E94464B</paraID>
      <start>280</start>
      <end>284</end>
      <status>unmodified</status>
      <modifiedWord/>
      <trackRevisions>false</trackRevisions>
    </reviewItem>
    <reviewItem>
      <errorID>e0ca5be0-f925-4179-9dff-1f18b7f5add0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71DA0F44</paraID>
      <start>0</start>
      <end>2</end>
      <status>unmodified</status>
      <modifiedWord/>
      <trackRevisions>false</trackRevisions>
    </reviewItem>
    <reviewItem>
      <errorID>7f2fb1af-126f-4ea0-bfb8-0f923ffc0266</errorID>
      <errorWord>~</errorWord>
      <group>L1_Format</group>
      <groupName>格式问题</groupName>
      <ability>L2_HalfPunc_CN</ability>
      <abilityName>全半角问题</abilityName>
      <candidateList>
        <item>～</item>
      </candidateList>
      <explain>文本全半角错误。</explain>
      <paraID>4F62A1C1</paraID>
      <start>25</start>
      <end>26</end>
      <status>unmodified</status>
      <modifiedWord/>
      <trackRevisions>false</trackRevisions>
    </reviewItem>
    <reviewItem>
      <errorID>2e52fb55-47ef-4b29-a4aa-5340fe61ea1d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5F99D077</paraID>
      <start>0</start>
      <end>2</end>
      <status>unmodified</status>
      <modifiedWord/>
      <trackRevisions>false</trackRevisions>
    </reviewItem>
    <reviewItem>
      <errorID>bf710531-5c4e-4135-940e-321ff525ed2f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18BE2013</paraID>
      <start>40</start>
      <end>43</end>
      <status>unmodified</status>
      <modifiedWord/>
      <trackRevisions>false</trackRevisions>
    </reviewItem>
    <reviewItem>
      <errorID>a5c2bb25-06b9-4cf7-9cae-84b4f3d9e45b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7745036</paraID>
      <start>0</start>
      <end>2</end>
      <status>unmodified</status>
      <modifiedWord/>
      <trackRevisions>false</trackRevisions>
    </reviewItem>
    <reviewItem>
      <errorID>c98317f4-65be-4ec2-9dba-d7c365a8f4b0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60C37629</paraID>
      <start>22</start>
      <end>25</end>
      <status>unmodified</status>
      <modifiedWord/>
      <trackRevisions>false</trackRevisions>
    </reviewItem>
    <reviewItem>
      <errorID>ea141867-3d41-4918-9717-8fc74c0553f8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60C37629</paraID>
      <start>37</start>
      <end>40</end>
      <status>unmodified</status>
      <modifiedWord/>
      <trackRevisions>false</trackRevisions>
    </reviewItem>
    <reviewItem>
      <errorID>5e5bb3ec-3388-49bb-81e5-f80ef12431cd</errorID>
      <errorWord>以下的</errorWord>
      <group>L1_Word</group>
      <groupName>字词问题</groupName>
      <ability>L2_Typo</ability>
      <abilityName>字词错误</abilityName>
      <candidateList>
        <item>以下</item>
      </candidateList>
      <explain/>
      <paraID>2035C242</paraID>
      <start>107</start>
      <end>110</end>
      <status>unmodified</status>
      <modifiedWord/>
      <trackRevisions>false</trackRevisions>
    </reviewItem>
    <reviewItem>
      <errorID>2cecae06-9f39-4e78-b7fd-eb39a9862370</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51D5EAE</paraID>
      <start>48</start>
      <end>51</end>
      <status>unmodified</status>
      <modifiedWord/>
      <trackRevisions>false</trackRevisions>
    </reviewItem>
    <reviewItem>
      <errorID>8d7abeab-d767-40b1-a966-223289f9165a</errorID>
      <errorWord>需具备</errorWord>
      <group>L1_Word</group>
      <groupName>字词问题</groupName>
      <ability>L2_Typo</ability>
      <abilityName>字词错误</abilityName>
      <candidateList>
        <item>须具备</item>
      </candidateList>
      <explain/>
      <paraID>3810A5CF</paraID>
      <start>2</start>
      <end>5</end>
      <status>unmodified</status>
      <modifiedWord/>
      <trackRevisions>false</trackRevisions>
    </reviewItem>
    <reviewItem>
      <errorID>3250bdb2-be10-4576-92ca-8965a8816b75</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1E55A9D8</paraID>
      <start>69</start>
      <end>72</end>
      <status>unmodified</status>
      <modifiedWord/>
      <trackRevisions>false</trackRevisions>
    </reviewItem>
    <reviewItem>
      <errorID>2acc8fc5-a1bc-4d53-929a-7c95b63ab249</errorID>
      <errorWord>撤消</errorWord>
      <group>L1_Word</group>
      <groupName>字词问题</groupName>
      <ability>L2_Alias</ability>
      <abilityName>也作/曾用词</abilityName>
      <candidateList>
        <item>撤销</item>
      </candidateList>
      <explain>词汇[撤消]为不规范表述或旧称，其规范书面表述为[撤销]。</explain>
      <paraID>1E55A9D8</paraID>
      <start>130</start>
      <end>132</end>
      <status>unmodified</status>
      <modifiedWord/>
      <trackRevisions>false</trackRevisions>
    </reviewItem>
    <reviewItem>
      <errorID>2e473262-9632-47f8-988e-44598fde0e30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24CE87D5</paraID>
      <start>0</start>
      <end>2</end>
      <status>unmodified</status>
      <modifiedWord/>
      <trackRevisions>false</trackRevisions>
    </reviewItem>
    <reviewItem>
      <errorID>c6d147e4-0875-4360-8587-42cf1527b596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658ED447</paraID>
      <start>0</start>
      <end>2</end>
      <status>unmodified</status>
      <modifiedWord/>
      <trackRevisions>false</trackRevisions>
    </reviewItem>
    <reviewItem>
      <errorID>668a52c0-7362-4d27-bb9c-596944fbf011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3993556D</paraID>
      <start>0</start>
      <end>2</end>
      <status>unmodified</status>
      <modifiedWord/>
      <trackRevisions>false</trackRevisions>
    </reviewItem>
    <reviewItem>
      <errorID>5de2f3ad-9154-4587-a95c-7dd144842b2b</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23F7A006</paraID>
      <start>0</start>
      <end>2</end>
      <status>unmodified</status>
      <modifiedWord/>
      <trackRevisions>false</trackRevisions>
    </reviewItem>
    <reviewItem>
      <errorID>cb6964d9-a172-4610-883d-077935bb7ff3</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1FF9573E</paraID>
      <start>0</start>
      <end>2</end>
      <status>unmodified</status>
      <modifiedWord/>
      <trackRevisions>false</trackRevisions>
    </reviewItem>
    <reviewItem>
      <errorID>687353a9-be9f-4fbd-9f07-66ba21a32e80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76AF946F</paraID>
      <start>0</start>
      <end>2</end>
      <status>unmodified</status>
      <modifiedWord/>
      <trackRevisions>false</trackRevisions>
    </reviewItem>
    <reviewItem>
      <errorID>2e5e24c0-85c8-401d-87f9-0c5f59a4e98f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2A678A5B</paraID>
      <start>0</start>
      <end>2</end>
      <status>unmodified</status>
      <modifiedWord/>
      <trackRevisions>false</trackRevisions>
    </reviewItem>
    <reviewItem>
      <errorID>fe0bcc97-1371-4f00-9206-235b04814066</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B6281BE</paraID>
      <start>0</start>
      <end>2</end>
      <status>unmodified</status>
      <modifiedWord/>
      <trackRevisions>false</trackRevisions>
    </reviewItem>
    <reviewItem>
      <errorID>a970b792-b89f-4ad1-9905-e73b9c2919f6</errorID>
      <errorWord>无须</errorWord>
      <group>L1_Word</group>
      <groupName>字词问题</groupName>
      <ability>L2_Typo</ability>
      <abilityName>字词错误</abilityName>
      <candidateList>
        <item>无需</item>
      </candidateList>
      <explain>存在发音相同字词的误用。</explain>
      <paraID> B6281BE</paraID>
      <start>62</start>
      <end>64</end>
      <status>unmodified</status>
      <modifiedWord/>
      <trackRevisions>false</trackRevisions>
    </reviewItem>
    <reviewItem>
      <errorID>c0f6dfba-1045-4f28-ac07-6de9457417fa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13CF41A1</paraID>
      <start>0</start>
      <end>2</end>
      <status>unmodified</status>
      <modifiedWord/>
      <trackRevisions>false</trackRevisions>
    </reviewItem>
    <reviewItem>
      <errorID>b694f6b3-bd56-48fe-a68f-60431dad1c43</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10E280F4</paraID>
      <start>0</start>
      <end>2</end>
      <status>unmodified</status>
      <modifiedWord/>
      <trackRevisions>false</trackRevisions>
    </reviewItem>
    <reviewItem>
      <errorID>4616f9bd-52ab-4970-a58f-4f230a871fad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5952D3A1</paraID>
      <start>0</start>
      <end>2</end>
      <status>unmodified</status>
      <modifiedWord/>
      <trackRevisions>false</trackRevisions>
    </reviewItem>
    <reviewItem>
      <errorID>7fecaa63-8d8f-427a-a993-6d6cb4125e1f</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502C6FB1</paraID>
      <start>0</start>
      <end>2</end>
      <status>unmodified</status>
      <modifiedWord/>
      <trackRevisions>false</trackRevisions>
    </reviewItem>
    <reviewItem>
      <errorID>bed318b9-d394-47b6-89f9-40eae4636b61</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7669702E</paraID>
      <start>0</start>
      <end>2</end>
      <status>unmodified</status>
      <modifiedWord/>
      <trackRevisions>false</trackRevisions>
    </reviewItem>
    <reviewItem>
      <errorID>5b49eff8-ba8d-4b66-9717-384c3edbc2a2</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5C03F91</paraID>
      <start>0</start>
      <end>2</end>
      <status>unmodified</status>
      <modifiedWord/>
      <trackRevisions>false</trackRevisions>
    </reviewItem>
    <reviewItem>
      <errorID>6e9b1d83-d72c-4337-ba04-45d70667bfab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2C98E8AA</paraID>
      <start>0</start>
      <end>2</end>
      <status>unmodified</status>
      <modifiedWord/>
      <trackRevisions>false</trackRevisions>
    </reviewItem>
    <reviewItem>
      <errorID>02c9dd60-07ea-4865-a5b8-ebfb660a9d53</errorID>
      <errorWord>制定</errorWord>
      <group>L1_Word</group>
      <groupName>字词问题</groupName>
      <ability>L2_Typo</ability>
      <abilityName>字词错误</abilityName>
      <candidateList>
        <item>指定</item>
      </candidateList>
      <explain/>
      <paraID>3BB2A338</paraID>
      <start>48</start>
      <end>50</end>
      <status>unmodified</status>
      <modifiedWord/>
      <trackRevisions>false</trackRevisions>
    </reviewItem>
    <reviewItem>
      <errorID>0fed75ca-8604-4377-be25-c82a41f3e6e5</errorID>
      <errorWord>提高</errorWord>
      <group>L1_Grammar</group>
      <groupName>语法问题</groupName>
      <ability>L2_Grammar</ability>
      <abilityName>语法错误</abilityName>
      <candidateList>
        <item>增强</item>
      </candidateList>
      <explain>“提高～意识”搭配不当，建议修改为“增强～意识”。</explain>
      <paraID>2E997529</paraID>
      <start>34</start>
      <end>36</end>
      <status>unmodified</status>
      <modifiedWord/>
      <trackRevisions>false</trackRevisions>
    </reviewItem>
    <reviewItem>
      <errorID>cb238789-2e8e-4eba-94b1-76b71f3924ff</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704100ED</paraID>
      <start>51</start>
      <end>53</end>
      <status>unmodified</status>
      <modifiedWord/>
      <trackRevisions>false</trackRevisions>
    </reviewItem>
    <reviewItem>
      <errorID>a1be3772-2685-4c96-b5c7-80a3d54bb2e1</errorID>
      <errorWord>场区</errorWord>
      <group>L1_Word</group>
      <groupName>字词问题</groupName>
      <ability>L2_Typo</ability>
      <abilityName>字词错误</abilityName>
      <candidateList>
        <item>厂区</item>
      </candidateList>
      <explain>存在发音相同字词的误用。</explain>
      <paraID> 96B7692</paraID>
      <start>13</start>
      <end>15</end>
      <status>unmodified</status>
      <modifiedWord/>
      <trackRevisions>false</trackRevisions>
    </reviewItem>
    <reviewItem>
      <errorID>5e4ae603-69fd-4ac1-9fb3-ab3f0b1a6e34</errorID>
      <errorWord>清楚</errorWord>
      <group>L1_Word</group>
      <groupName>字词问题</groupName>
      <ability>L2_Typo</ability>
      <abilityName>字词错误</abilityName>
      <candidateList>
        <item>清除</item>
      </candidateList>
      <explain>〈动〉扫除净尽；全部去掉：～积雪｜～积弊｜～内奸。</explain>
      <paraID>4617AEC1</paraID>
      <start>10</start>
      <end>12</end>
      <status>unmodified</status>
      <modifiedWord/>
      <trackRevisions>false</trackRevisions>
    </reviewItem>
    <reviewItem>
      <errorID>ec08a4e6-083c-49ae-9208-bf70508dc40f</errorID>
      <errorWord>泄露</errorWord>
      <group>L1_Word</group>
      <groupName>字词问题</groupName>
      <ability>L2_Typo</ability>
      <abilityName>字词错误</abilityName>
      <candidateList>
        <item>泄漏</item>
      </candidateList>
      <explain>存在发音相同字词的误用。</explain>
      <paraID>4617AEC1</paraID>
      <start>12</start>
      <end>14</end>
      <status>unmodified</status>
      <modifiedWord/>
      <trackRevisions>false</trackRevisions>
    </reviewItem>
    <reviewItem>
      <errorID>4395606b-f6d5-40b8-8f65-caf0e50cbdf7</errorID>
      <errorWord>临近</errorWord>
      <group>L1_Word</group>
      <groupName>字词问题</groupName>
      <ability>L2_Typo</ability>
      <abilityName>字词错误</abilityName>
      <candidateList>
        <item>邻近</item>
      </candidateList>
      <explain>存在发音相同字词的误用。</explain>
      <paraID>30A41001</paraID>
      <start>5</start>
      <end>7</end>
      <status>unmodified</status>
      <modifiedWord/>
      <trackRevisions>false</trackRevisions>
    </reviewItem>
    <reviewItem>
      <errorID>bd1acb30-12ef-478e-9e97-4b0e1ec2e3fc</errorID>
      <errorWord>清楚</errorWord>
      <group>L1_Word</group>
      <groupName>字词问题</groupName>
      <ability>L2_Typo</ability>
      <abilityName>字词错误</abilityName>
      <candidateList>
        <item>清除</item>
      </candidateList>
      <explain>〈动〉扫除净尽；全部去掉：～积雪｜～积弊｜～内奸。</explain>
      <paraID>30A41001</paraID>
      <start>20</start>
      <end>22</end>
      <status>unmodified</status>
      <modifiedWord/>
      <trackRevisions>false</trackRevisions>
    </reviewItem>
    <reviewItem>
      <errorID>963c52e7-a51c-4f28-ab64-6a3c8aee3658</errorID>
      <errorWord>临近</errorWord>
      <group>L1_Word</group>
      <groupName>字词问题</groupName>
      <ability>L2_Typo</ability>
      <abilityName>字词错误</abilityName>
      <candidateList>
        <item>邻近</item>
      </candidateList>
      <explain>存在发音相同字词的误用。</explain>
      <paraID>3C0F0208</paraID>
      <start>0</start>
      <end>2</end>
      <status>unmodified</status>
      <modifiedWord/>
      <trackRevisions>false</trackRevisions>
    </reviewItem>
    <reviewItem>
      <errorID>6c42255b-88eb-434a-9b7c-304b8bf4c388</errorID>
      <errorWord>临近地区</errorWord>
      <group>L1_Word</group>
      <groupName>字词问题</groupName>
      <ability>L2_Typo</ability>
      <abilityName>字词错误</abilityName>
      <candidateList>
        <item>邻近地区</item>
      </candidateList>
      <explain/>
      <paraID> DFBE602</paraID>
      <start>1</start>
      <end>5</end>
      <status>unmodified</status>
      <modifiedWord/>
      <trackRevisions>false</trackRevisions>
    </reviewItem>
    <reviewItem>
      <errorID>fb92e05e-5a35-4930-a004-e75805fce584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61E8F6E8</paraID>
      <start>0</start>
      <end>2</end>
      <status>unmodified</status>
      <modifiedWord/>
      <trackRevisions>false</trackRevisions>
    </reviewItem>
    <reviewItem>
      <errorID>39e85155-d059-4759-a007-e1194506420b</errorID>
      <errorWord>泄露</errorWord>
      <group>L1_Word</group>
      <groupName>字词问题</groupName>
      <ability>L2_Typo</ability>
      <abilityName>字词错误</abilityName>
      <candidateList>
        <item>泄漏</item>
      </candidateList>
      <explain/>
      <paraID>101C0304</paraID>
      <start>44</start>
      <end>46</end>
      <status>unmodified</status>
      <modifiedWord/>
      <trackRevisions>false</trackRevisions>
    </reviewItem>
    <reviewItem>
      <errorID>6c556699-0d9a-4dde-b4d5-360708a204d3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33F3DAF</paraID>
      <start>0</start>
      <end>2</end>
      <status>unmodified</status>
      <modifiedWord/>
      <trackRevisions>false</trackRevisions>
    </reviewItem>
    <reviewItem>
      <errorID>d58f0589-436c-4431-9174-ed75e7b1a1a1</errorID>
      <errorWord>警钟常鸣</errorWord>
      <group>L1_Word</group>
      <groupName>字词问题</groupName>
      <ability>L2_Typo</ability>
      <abilityName>字词错误</abilityName>
      <candidateList>
        <item>警钟长鸣</item>
      </candidateList>
      <explain>报告发生意外或遇到危险的钟，比喻持久的保持警惕性。</explain>
      <paraID>7EAF25E6</paraID>
      <start>20</start>
      <end>24</end>
      <status>unmodified</status>
      <modifiedWord/>
      <trackRevisions>false</trackRevisions>
    </reviewItem>
    <reviewItem>
      <errorID>db57ff7b-94a3-420f-aa3e-4fee611ce451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4E86D496</paraID>
      <start>0</start>
      <end>2</end>
      <status>unmodified</status>
      <modifiedWord/>
      <trackRevisions>false</trackRevisions>
    </reviewItem>
    <reviewItem>
      <errorID>4e7fa6e2-0114-456e-a0f5-b640cd09441d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 9A078AA</paraID>
      <start>0</start>
      <end>3</end>
      <status>unmodified</status>
      <modifiedWord/>
      <trackRevisions>false</trackRevisions>
    </reviewItem>
    <reviewItem>
      <errorID>0d1fff4d-f10d-409a-bf61-71d62614ca8f</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5FB931D6</paraID>
      <start>0</start>
      <end>3</end>
      <status>unmodified</status>
      <modifiedWord/>
      <trackRevisions>false</trackRevisions>
    </reviewItem>
    <reviewItem>
      <errorID>c84047f3-7d5a-4043-bf0d-225b5f7329a0</errorID>
      <errorWord>泄露</errorWord>
      <group>L1_Word</group>
      <groupName>字词问题</groupName>
      <ability>L2_Typo</ability>
      <abilityName>字词错误</abilityName>
      <candidateList>
        <item>泄漏</item>
      </candidateList>
      <explain/>
      <paraID>5BB9FB96</paraID>
      <start>14</start>
      <end>16</end>
      <status>unmodified</status>
      <modifiedWord/>
      <trackRevisions>false</trackRevisions>
    </reviewItem>
    <reviewItem>
      <errorID>77befbe7-7de6-4095-b55c-dabeb3fed445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2BE8AD84</paraID>
      <start>0</start>
      <end>2</end>
      <status>unmodified</status>
      <modifiedWord/>
      <trackRevisions>false</trackRevisions>
    </reviewItem>
    <reviewItem>
      <errorID>5443d204-229a-4935-b170-2d58b5ca7e67</errorID>
      <errorWord>”</errorWord>
      <group>L1_Punc</group>
      <groupName>标点问题</groupName>
      <ability>L2_Punc_CN</ability>
      <abilityName>标点符号问题</abilityName>
      <candidateList>
        <item>“</item>
      </candidateList>
      <explain>注意检查双引号的方向是否正确。</explain>
      <paraID> 2ECE778</paraID>
      <start>20</start>
      <end>21</end>
      <status>unmodified</status>
      <modifiedWord/>
      <trackRevisions>false</trackRevisions>
    </reviewItem>
    <reviewItem>
      <errorID>a6c805e2-2cf3-47a5-b94b-8ed471513f11</errorID>
      <errorWord>程</errorWord>
      <group>L1_Word</group>
      <groupName>字词问题</groupName>
      <ability>L2_Typo</ability>
      <abilityName>字词错误</abilityName>
      <candidateList>
        <item>程中</item>
      </candidateList>
      <explain/>
      <paraID>5BDF2084</paraID>
      <start>62</start>
      <end>63</end>
      <status>unmodified</status>
      <modifiedWord/>
      <trackRevisions>false</trackRevisions>
    </reviewItem>
    <reviewItem>
      <errorID>6f8fe8d2-e3f7-4ac7-a288-f16a02cc24c1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7A3B9CC1</paraID>
      <start>0</start>
      <end>2</end>
      <status>unmodified</status>
      <modifiedWord/>
      <trackRevisions>false</trackRevisions>
    </reviewItem>
    <reviewItem>
      <errorID>cf13d714-832e-42f6-82c8-3118b09e9679</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3134AA7</paraID>
      <start>105</start>
      <end>107</end>
      <status>unmodified</status>
      <modifiedWord/>
      <trackRevisions>false</trackRevisions>
    </reviewItem>
    <reviewItem>
      <errorID>e156cdcd-683f-48d8-9db1-7b2121089592</errorID>
      <errorWord>工地</errorWord>
      <group>L1_Word</group>
      <groupName>字词问题</groupName>
      <ability>L2_Typo</ability>
      <abilityName>字词错误</abilityName>
      <candidateList>
        <item>场地</item>
      </candidateList>
      <explain>存在字形相近字词的误用。</explain>
      <paraID>69E7C2B7</paraID>
      <start>14</start>
      <end>16</end>
      <status>unmodified</status>
      <modifiedWord/>
      <trackRevisions>false</trackRevisions>
    </reviewItem>
    <reviewItem>
      <errorID>c413d005-61dc-478a-a0db-d8ea4085e32f</errorID>
      <errorWord>围拦</errorWord>
      <group>L1_Word</group>
      <groupName>字词问题</groupName>
      <ability>L2_Typo</ability>
      <abilityName>字词错误</abilityName>
      <candidateList>
        <item>围栏</item>
      </candidateList>
      <explain/>
      <paraID>69E7C2B7</paraID>
      <start>43</start>
      <end>45</end>
      <status>unmodified</status>
      <modifiedWord/>
      <trackRevisions>false</trackRevisions>
    </reviewItem>
    <reviewItem>
      <errorID>2bb637fb-8a5b-4167-9157-5a3422a6ab66</errorID>
      <errorWord>蓬布</errorWord>
      <group>L1_Word</group>
      <groupName>字词问题</groupName>
      <ability>L2_Typo</ability>
      <abilityName>字词错误</abilityName>
      <candidateList>
        <item>篷布</item>
      </candidateList>
      <explain/>
      <paraID>57CE5D13</paraID>
      <start>67</start>
      <end>69</end>
      <status>unmodified</status>
      <modifiedWord/>
      <trackRevisions>false</trackRevisions>
    </reviewItem>
    <reviewItem>
      <errorID>9bc982a3-6da7-4bf2-baa1-a1731391fcce</errorID>
      <errorWord>”</errorWord>
      <group>L1_Punc</group>
      <groupName>标点问题</groupName>
      <ability>L2_Punc_CN</ability>
      <abilityName>标点符号问题</abilityName>
      <candidateList>
        <item>“</item>
      </candidateList>
      <explain>注意检查双引号的方向是否正确。</explain>
      <paraID>1C0EE27B</paraID>
      <start>11</start>
      <end>12</end>
      <status>unmodified</status>
      <modifiedWord/>
      <trackRevisions>false</trackRevisions>
    </reviewItem>
    <reviewItem>
      <errorID>8831d8cb-a123-45ce-af1c-9c95486bcdba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20C5A55C</paraID>
      <start>0</start>
      <end>2</end>
      <status>unmodified</status>
      <modifiedWord/>
      <trackRevisions>false</trackRevisions>
    </reviewItem>
    <reviewItem>
      <errorID>64a3a3d8-564d-4576-934d-c31fa55e6021</errorID>
      <errorWord>以下的</errorWord>
      <group>L1_Word</group>
      <groupName>字词问题</groupName>
      <ability>L2_Typo</ability>
      <abilityName>字词错误</abilityName>
      <candidateList>
        <item>以下</item>
      </candidateList>
      <explain/>
      <paraID>11071CDD</paraID>
      <start>16</start>
      <end>19</end>
      <status>unmodified</status>
      <modifiedWord/>
      <trackRevisions>false</trackRevisions>
    </reviewItem>
    <reviewItem>
      <errorID>4d72e3dd-cf3e-4d27-9bd1-edf21e851021</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2AC95694</paraID>
      <start>5</start>
      <end>8</end>
      <status>unmodified</status>
      <modifiedWord/>
      <trackRevisions>false</trackRevisions>
    </reviewItem>
    <reviewItem>
      <errorID>e0e040b6-ce92-4f9f-81cf-6d883ce140d6</errorID>
      <errorWord>有效的控制</errorWord>
      <group>L1_Word</group>
      <groupName>字词问题</groupName>
      <ability>L2_Typo</ability>
      <abilityName>字词错误</abilityName>
      <candidateList>
        <item>有效地控制</item>
      </candidateList>
      <explain/>
      <paraID>6F63DD36</paraID>
      <start>131</start>
      <end>136</end>
      <status>unmodified</status>
      <modifiedWord/>
      <trackRevisions>false</trackRevisions>
    </reviewItem>
    <reviewItem>
      <errorID>c3106dc7-f83d-43bf-8e32-91ff116c9a00</errorID>
      <errorWord>来自于</errorWord>
      <group>L1_Word</group>
      <groupName>字词问题</groupName>
      <ability>L2_Typo</ability>
      <abilityName>字词错误</abilityName>
      <candidateList>
        <item>来自</item>
      </candidateList>
      <explain/>
      <paraID>5A5419C7</paraID>
      <start>11</start>
      <end>14</end>
      <status>unmodified</status>
      <modifiedWord/>
      <trackRevisions>false</trackRevisions>
    </reviewItem>
    <reviewItem>
      <errorID>7caa1c60-801b-4924-8196-a106333ee581</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5A5419C7</paraID>
      <start>74</start>
      <end>90</end>
      <status>unmodified</status>
      <modifiedWord/>
      <trackRevisions>false</trackRevisions>
    </reviewItem>
    <reviewItem>
      <errorID>018b06de-ef32-4949-9748-2100ecfb5135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F20A47E</paraID>
      <start>0</start>
      <end>2</end>
      <status>unmodified</status>
      <modifiedWord/>
      <trackRevisions>false</trackRevisions>
    </reviewItem>
    <reviewItem>
      <errorID>c1b6133b-0395-443f-94c5-6e75bccf3cb7</errorID>
      <errorWord>严重的</errorWord>
      <group>L1_Word</group>
      <groupName>字词问题</groupName>
      <ability>L2_Typo</ability>
      <abilityName>字词错误</abilityName>
      <candidateList>
        <item>严重</item>
      </candidateList>
      <explain/>
      <paraID>1F4A1500</paraID>
      <start>66</start>
      <end>69</end>
      <status>unmodified</status>
      <modifiedWord/>
      <trackRevisions>false</trackRevisions>
    </reviewItem>
    <reviewItem>
      <errorID>31b665c9-dff9-440c-b9c3-d96ea6bd2efd</errorID>
      <errorWord>震动</errorWord>
      <group>L1_Word</group>
      <groupName>字词问题</groupName>
      <ability>L2_Typo</ability>
      <abilityName>字词错误</abilityName>
      <candidateList>
        <item>振动</item>
      </candidateList>
      <explain>存在发音相同字词的误用。</explain>
      <paraID>60645C78</paraID>
      <start>38</start>
      <end>40</end>
      <status>unmodified</status>
      <modifiedWord/>
      <trackRevisions>false</trackRevisions>
    </reviewItem>
    <reviewItem>
      <errorID>87bc87c5-2d21-493f-a278-7ceb1af907f4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683AD941</paraID>
      <start>0</start>
      <end>2</end>
      <status>unmodified</status>
      <modifiedWord/>
      <trackRevisions>false</trackRevisions>
    </reviewItem>
    <reviewItem>
      <errorID>dad4ff79-07a1-437b-abaf-ce5567c53d9a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6F2EE33E</paraID>
      <start>0</start>
      <end>2</end>
      <status>unmodified</status>
      <modifiedWord/>
      <trackRevisions>false</trackRevisions>
    </reviewItem>
    <reviewItem>
      <errorID>0b5550e6-3e68-42dd-980f-749857c81085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7AE8A07F</paraID>
      <start>14</start>
      <end>15</end>
      <status>unmodified</status>
      <modifiedWord/>
      <trackRevisions>false</trackRevisions>
    </reviewItem>
    <reviewItem>
      <errorID>bb7ed0d6-3a69-4b56-84e5-186969b60367</errorID>
      <errorWord>及时外</errorWord>
      <group>L1_Word</group>
      <groupName>字词问题</groupName>
      <ability>L2_Typo</ability>
      <abilityName>字词错误</abilityName>
      <candidateList>
        <item>及时</item>
      </candidateList>
      <explain>❶〈形〉正赶上时候；适合需要：～雨｜他来得很～。❷〈副〉不拖延；马上；立刻：有问题就～解决。</explain>
      <paraID>1287C3D4</paraID>
      <start>129</start>
      <end>132</end>
      <status>unmodified</status>
      <modifiedWord/>
      <trackRevisions>false</trackRevisions>
    </reviewItem>
    <reviewItem>
      <errorID>ef81e614-8ae7-451a-ac9f-9d786e71cba0</errorID>
      <errorWord>接收</errorWord>
      <group>L1_Word</group>
      <groupName>字词问题</groupName>
      <ability>L2_Typo</ability>
      <abilityName>字词错误</abilityName>
      <candidateList>
        <item>接受</item>
      </candidateList>
      <explain>〈动〉❶收取（给予的东西）：～礼品｜～捐款。❷对事物容纳而不拒绝：～任务｜～考验｜～教训｜虚心～批评。</explain>
      <paraID>165BC495</paraID>
      <start>59</start>
      <end>61</end>
      <status>unmodified</status>
      <modifiedWord/>
      <trackRevisions>false</trackRevisions>
    </reviewItem>
    <reviewItem>
      <errorID>aec7a2a1-5012-47c4-8853-8db34c296b4f</errorID>
      <errorWord>度</errorWord>
      <group>L1_Word</group>
      <groupName>字词问题</groupName>
      <ability>L2_Typo</ability>
      <abilityName>字词错误</abilityName>
      <candidateList>
        <item>度地</item>
      </candidateList>
      <explain/>
      <paraID>17E21298</paraID>
      <start>12</start>
      <end>13</end>
      <status>unmodified</status>
      <modifiedWord/>
      <trackRevisions>false</trackRevisions>
    </reviewItem>
    <reviewItem>
      <errorID>3d6d1257-918f-45c8-813d-aacb936f0f4f</errorID>
      <errorWord>大气污染物防治</errorWord>
      <group>L1_Word</group>
      <groupName>字词问题</groupName>
      <ability>L2_Typo</ability>
      <abilityName>字词错误</abilityName>
      <candidateList>
        <item>大气污染防治</item>
      </candidateList>
      <explain/>
      <paraID>4A983196</paraID>
      <start>5</start>
      <end>12</end>
      <status>unmodified</status>
      <modifiedWord/>
      <trackRevisions>false</trackRevisions>
    </reviewItem>
    <reviewItem>
      <errorID>2195c37d-b5d3-4e59-bfec-981aade85993</errorID>
      <errorWord>：</errorWord>
      <group>L1_Format</group>
      <groupName>格式问题</groupName>
      <ability>L2_HalfPunc_CN</ability>
      <abilityName>全半角问题</abilityName>
      <candidateList>
        <item>:</item>
      </candidateList>
      <explain>文本全半角错误。</explain>
      <paraID>702751C4</paraID>
      <start>12</start>
      <end>13</end>
      <status>unmodified</status>
      <modifiedWord/>
      <trackRevisions>false</trackRevisions>
    </reviewItem>
    <reviewItem>
      <errorID>11f9f6d3-d182-4f02-b5ac-bec8f4076dd7</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70B5E2E6</paraID>
      <start>38</start>
      <end>41</end>
      <status>unmodified</status>
      <modifiedWord/>
      <trackRevisions>false</trackRevisions>
    </reviewItem>
    <reviewItem>
      <errorID>19fc68e2-d5e6-4506-843c-0ed5016dbfb2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57192BB5</paraID>
      <start>0</start>
      <end>2</end>
      <status>unmodified</status>
      <modifiedWord/>
      <trackRevisions>false</trackRevisions>
    </reviewItem>
    <reviewItem>
      <errorID>e6f917b4-c5fc-44b0-a006-735b6cc8d33e</errorID>
      <errorWord>~</errorWord>
      <group>L1_Format</group>
      <groupName>格式问题</groupName>
      <ability>L2_HalfPunc_CN</ability>
      <abilityName>全半角问题</abilityName>
      <candidateList>
        <item>～</item>
      </candidateList>
      <explain>文本全半角错误。</explain>
      <paraID>3CED4EF6</paraID>
      <start>58</start>
      <end>59</end>
      <status>unmodified</status>
      <modifiedWord/>
      <trackRevisions>false</trackRevisions>
    </reviewItem>
    <reviewItem>
      <errorID>493d1228-9b17-42fd-8fe2-96b9af2b7713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3CED4EF6</paraID>
      <start>261</start>
      <end>262</end>
      <status>unmodified</status>
      <modifiedWord/>
      <trackRevisions>false</trackRevisions>
    </reviewItem>
    <reviewItem>
      <errorID>1aa19fd7-a995-40e3-b549-59f07e2d808d</errorID>
      <errorWord>建立巡逻制度</errorWord>
      <group>L1_Political</group>
      <groupName>政治性问题</groupName>
      <ability>L2_Keyword</ability>
      <abilityName>固定表述</abilityName>
      <candidateList>
        <item>建立巡察制度</item>
      </candidateList>
      <explain>词汇“建立巡察制度”在特定场景下为固定表述形式，请确认此处的“建立巡逻制度”是否存在不当。</explain>
      <paraID>72A3AFF9</paraID>
      <start>8</start>
      <end>14</end>
      <status>unmodified</status>
      <modifiedWord/>
      <trackRevisions>false</trackRevisions>
    </reviewItem>
    <reviewItem>
      <errorID>8bb8152e-ff4b-4dc8-969c-20062aade233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23678ED0</paraID>
      <start>0</start>
      <end>2</end>
      <status>unmodified</status>
      <modifiedWord/>
      <trackRevisions>false</trackRevisions>
    </reviewItem>
    <reviewItem>
      <errorID>99c89897-2652-44fb-b605-d91dceef0c14</errorID>
      <errorWord>减震</errorWord>
      <group>L1_Word</group>
      <groupName>字词问题</groupName>
      <ability>L2_Typo</ability>
      <abilityName>字词错误</abilityName>
      <candidateList>
        <item>减振</item>
      </candidateList>
      <explain>存在发音相同字词的误用。</explain>
      <paraID>7D480FFD</paraID>
      <start>33</start>
      <end>35</end>
      <status>unmodified</status>
      <modifiedWord/>
      <trackRevisions>false</trackRevisions>
    </reviewItem>
    <reviewItem>
      <errorID>0c53c33d-2163-4937-98b6-80e62d28604b</errorID>
      <errorWord>措施后</errorWord>
      <group>L1_Word</group>
      <groupName>字词问题</groupName>
      <ability>L2_Typo</ability>
      <abilityName>字词错误</abilityName>
      <candidateList>
        <item>措施</item>
      </candidateList>
      <explain>〈名〉针对某种情况而采取的处理办法（用于较大的事情）：计划已经订出，～应该跟上。</explain>
      <paraID> 6F4A3A9</paraID>
      <start>4</start>
      <end>7</end>
      <status>unmodified</status>
      <modifiedWord/>
      <trackRevisions>false</trackRevisions>
    </reviewItem>
    <reviewItem>
      <errorID>1944c9e2-af73-4b5a-92c0-1fc82fc62201</errorID>
      <errorWord>[2014]789号</errorWord>
      <group>L1_Knowledge</group>
      <groupName>知识性问题</groupName>
      <ability>L2_Knowledge</ability>
      <abilityName>其他知识</abilityName>
      <candidateList>
        <item>〔2014〕789号</item>
      </candidateList>
      <explain>发文字号格式错误。</explain>
      <paraID>5627E391</paraID>
      <start>5</start>
      <end>15</end>
      <status>unmodified</status>
      <modifiedWord/>
      <trackRevisions>false</trackRevisions>
    </reviewItem>
    <reviewItem>
      <errorID>c7cd8c3b-3039-46f6-baa7-1de687019d4f</errorID>
      <errorWord>交由交由</errorWord>
      <group>L1_Word</group>
      <groupName>字词问题</groupName>
      <ability>L2_Typo</ability>
      <abilityName>字词错误</abilityName>
      <candidateList>
        <item>交由</item>
      </candidateList>
      <explain/>
      <paraID>54DB124C</paraID>
      <start>48</start>
      <end>52</end>
      <status>unmodified</status>
      <modifiedWord/>
      <trackRevisions>false</trackRevisions>
    </reviewItem>
    <reviewItem>
      <errorID>5d33f219-2d96-4bd2-87a8-8c94d047456d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4837AADA</paraID>
      <start>64</start>
      <end>67</end>
      <status>unmodified</status>
      <modifiedWord/>
      <trackRevisions>false</trackRevisions>
    </reviewItem>
    <reviewItem>
      <errorID>1abd162f-8788-48d5-ac92-97da41d77d44</errorID>
      <errorWord>[2001]199号</errorWord>
      <group>L1_Knowledge</group>
      <groupName>知识性问题</groupName>
      <ability>L2_Knowledge</ability>
      <abilityName>其他知识</abilityName>
      <candidateList>
        <item>〔2001〕199号</item>
      </candidateList>
      <explain>发文字号格式错误。</explain>
      <paraID>4837AADA</paraID>
      <start>90</start>
      <end>100</end>
      <status>modified</status>
      <modifiedWord>〔2001〕199号</modifiedWord>
      <trackRevisions>false</trackRevisions>
    </reviewItem>
    <reviewItem>
      <errorID>a610a82f-e907-439c-b79b-f8c21c01c4bd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4837AADA</paraID>
      <start>129</start>
      <end>130</end>
      <status>unmodified</status>
      <modifiedWord/>
      <trackRevisions>false</trackRevisions>
    </reviewItem>
    <reviewItem>
      <errorID>86a5549b-5517-4b45-9a22-edf7b8fe43b7</errorID>
      <errorWord>如下的</errorWord>
      <group>L1_Word</group>
      <groupName>字词问题</groupName>
      <ability>L2_Typo</ability>
      <abilityName>字词错误</abilityName>
      <candidateList>
        <item>如下</item>
      </candidateList>
      <explain>〈动〉如同下面所叙述或列举的：列举～｜现将应注意的事情说明～。</explain>
      <paraID>1AC1C53E</paraID>
      <start>22</start>
      <end>25</end>
      <status>unmodified</status>
      <modifiedWord/>
      <trackRevisions>false</trackRevisions>
    </reviewItem>
    <reviewItem>
      <errorID>dbb612ea-25f8-4c52-8c0a-888d5a578519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152731A5</paraID>
      <start>0</start>
      <end>2</end>
      <status>unmodified</status>
      <modifiedWord/>
      <trackRevisions>false</trackRevisions>
    </reviewItem>
    <reviewItem>
      <errorID>558a9197-3e40-4422-8bda-ea7a6fb0fc00</errorID>
      <errorWord>险</errorWord>
      <group>L1_Word</group>
      <groupName>字词问题</groupName>
      <ability>L2_Typo</ability>
      <abilityName>字词错误</abilityName>
      <candidateList>
        <item>险废</item>
      </candidateList>
      <explain/>
      <paraID>3C71ABA1</paraID>
      <start>223</start>
      <end>224</end>
      <status>unmodified</status>
      <modifiedWord/>
      <trackRevisions>false</trackRevisions>
    </reviewItem>
    <reviewItem>
      <errorID>a4018f7d-8937-421e-9a6d-8a0a72b06212</errorID>
      <errorWord>见</errorWord>
      <group>L1_Word</group>
      <groupName>字词问题</groupName>
      <ability>L2_Typo</ability>
      <abilityName>字词错误</abilityName>
      <candidateList>
        <item>见下</item>
      </candidateList>
      <explain/>
      <paraID>330D0A72</paraID>
      <start>18</start>
      <end>19</end>
      <status>unmodified</status>
      <modifiedWord/>
      <trackRevisions>false</trackRevisions>
    </reviewItem>
    <reviewItem>
      <errorID>ec3556b6-c97e-4ebd-8f65-69099ec006b8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715D322</paraID>
      <start>0</start>
      <end>2</end>
      <status>unmodified</status>
      <modifiedWord/>
      <trackRevisions>false</trackRevisions>
    </reviewItem>
    <reviewItem>
      <errorID>06fe1584-ecbd-4209-b866-61c41c46a040</errorID>
      <errorWord>接受</errorWord>
      <group>L1_Word</group>
      <groupName>字词问题</groupName>
      <ability>L2_Typo</ability>
      <abilityName>字词错误</abilityName>
      <candidateList>
        <item>接收</item>
      </candidateList>
      <explain>存在发音相同字词的误用。</explain>
      <paraID>2EBF00EC</paraID>
      <start>38</start>
      <end>40</end>
      <status>unmodified</status>
      <modifiedWord/>
      <trackRevisions>false</trackRevisions>
    </reviewItem>
    <reviewItem>
      <errorID>9b0909b2-da5d-437d-898f-d01b758620fd</errorID>
      <errorWord>用一</errorWord>
      <group>L1_Word</group>
      <groupName>字词问题</groupName>
      <ability>L2_Typo</ability>
      <abilityName>字词错误</abilityName>
      <candidateList>
        <item>同一</item>
      </candidateList>
      <explain>存在发音相近字词的误用。</explain>
      <paraID>35D94FC9</paraID>
      <start>14</start>
      <end>16</end>
      <status>unmodified</status>
      <modifiedWord/>
      <trackRevisions>false</trackRevisions>
    </reviewItem>
    <reviewItem>
      <errorID>208bf207-2f1d-4e8f-9c3e-04e4dc827196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CB79FFA</paraID>
      <start>29</start>
      <end>30</end>
      <status>unmodified</status>
      <modifiedWord/>
      <trackRevisions>false</trackRevisions>
    </reviewItem>
    <reviewItem>
      <errorID>d712594c-55d8-42f3-8021-2ef0841e5343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CB79FFA</paraID>
      <start>41</start>
      <end>42</end>
      <status>unmodified</status>
      <modifiedWord/>
      <trackRevisions>false</trackRevisions>
    </reviewItem>
    <reviewItem>
      <errorID>4bb3ce05-43f6-4b8f-a560-07c3be90835f</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669D0F86</paraID>
      <start>185</start>
      <end>188</end>
      <status>unmodified</status>
      <modifiedWord/>
      <trackRevisions>false</trackRevisions>
    </reviewItem>
    <reviewItem>
      <errorID>87afb0ab-c2fa-4ee5-a6e9-dc0345020034</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669D0F86</paraID>
      <start>203</start>
      <end>206</end>
      <status>unmodified</status>
      <modifiedWord/>
      <trackRevisions>false</trackRevisions>
    </reviewItem>
    <reviewItem>
      <errorID>b636d392-8cf6-4f13-8257-d2acc98b576d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5F2C7FC</paraID>
      <start>93</start>
      <end>94</end>
      <status>unmodified</status>
      <modifiedWord/>
      <trackRevisions>false</trackRevisions>
    </reviewItem>
    <reviewItem>
      <errorID>5c7e9556-aa2b-4e8a-b623-442859043382</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 5F2C7FC</paraID>
      <start>120</start>
      <end>124</end>
      <status>unmodified</status>
      <modifiedWord/>
      <trackRevisions>false</trackRevisions>
    </reviewItem>
    <reviewItem>
      <errorID>4cf937ad-de7f-408b-87e7-fb3eb0833baf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5F2C7FC</paraID>
      <start>134</start>
      <end>135</end>
      <status>unmodified</status>
      <modifiedWord/>
      <trackRevisions>false</trackRevisions>
    </reviewItem>
    <reviewItem>
      <errorID>6a395d37-13f6-4724-976a-b992dda270d7</errorID>
      <errorWord>施</errorWord>
      <group>L1_Word</group>
      <groupName>字词问题</groupName>
      <ability>L2_Typo</ability>
      <abilityName>字词错误</abilityName>
      <candidateList>
        <item>施和</item>
      </candidateList>
      <explain/>
      <paraID>4510846E</paraID>
      <start>10</start>
      <end>11</end>
      <status>unmodified</status>
      <modifiedWord/>
      <trackRevisions>false</trackRevisions>
    </reviewItem>
    <reviewItem>
      <errorID>8b392bef-8ed8-47e0-b982-50d55cb0fb58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73</start>
      <end>74</end>
      <status>unmodified</status>
      <modifiedWord/>
      <trackRevisions>false</trackRevisions>
    </reviewItem>
    <reviewItem>
      <errorID>41b84ccc-262d-44af-be8c-d932f35c8d56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111</start>
      <end>112</end>
      <status>unmodified</status>
      <modifiedWord/>
      <trackRevisions>false</trackRevisions>
    </reviewItem>
    <reviewItem>
      <errorID>481f384e-38b0-4ef8-8200-c4a625edb820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140</start>
      <end>141</end>
      <status>unmodified</status>
      <modifiedWord/>
      <trackRevisions>false</trackRevisions>
    </reviewItem>
    <reviewItem>
      <errorID>6958961e-dacf-4fd4-855e-b67e018c3b14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237</start>
      <end>238</end>
      <status>unmodified</status>
      <modifiedWord/>
      <trackRevisions>false</trackRevisions>
    </reviewItem>
    <reviewItem>
      <errorID>4285a1f8-372e-4c80-bfa3-5e193f94d728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381402A</paraID>
      <start>282</start>
      <end>283</end>
      <status>unmodified</status>
      <modifiedWord/>
      <trackRevisions>false</trackRevisions>
    </reviewItem>
    <reviewItem>
      <errorID>abaffd58-3c79-403d-80c5-5e39041b05e6</errorID>
      <errorWord>兽医主</errorWord>
      <group>L1_Word</group>
      <groupName>字词问题</groupName>
      <ability>L2_Typo</ability>
      <abilityName>字词错误</abilityName>
      <candidateList>
        <item>兽医</item>
      </candidateList>
      <explain/>
      <paraID>1D126D69</paraID>
      <start>16</start>
      <end>19</end>
      <status>unmodified</status>
      <modifiedWord/>
      <trackRevisions>false</trackRevisions>
    </reviewItem>
    <reviewItem>
      <errorID>1e4ea55e-4425-45eb-b21e-5e5c00b60e8a</errorID>
      <errorWord>管理</errorWord>
      <group>L1_Word</group>
      <groupName>字词问题</groupName>
      <ability>L2_Typo</ability>
      <abilityName>字词错误</abilityName>
      <candidateList>
        <item>管</item>
      </candidateList>
      <explain/>
      <paraID>1D126D69</paraID>
      <start>19</start>
      <end>21</end>
      <status>unmodified</status>
      <modifiedWord/>
      <trackRevisions>false</trackRevisions>
    </reviewItem>
    <reviewItem>
      <errorID>93d79d6a-b1af-497a-93da-7f95d93982fd</errorID>
      <errorWord>疫病</errorWord>
      <group>L1_Grammar</group>
      <groupName>语法问题</groupName>
      <ability>L2_Grammar</ability>
      <abilityName>语法错误</abilityName>
      <candidateList>
        <item>疫情</item>
      </candidateList>
      <explain>“疫病～发生”搭配不当，建议修改为“疫情～发生”。</explain>
      <paraID>43D607FA</paraID>
      <start>14</start>
      <end>16</end>
      <status>unmodified</status>
      <modifiedWord/>
      <trackRevisions>false</trackRevisions>
    </reviewItem>
    <reviewItem>
      <errorID>ca2b8533-e23f-4d5a-94ab-9b3ea3888355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7056CD42</paraID>
      <start>85</start>
      <end>86</end>
      <status>unmodified</status>
      <modifiedWord/>
      <trackRevisions>false</trackRevisions>
    </reviewItem>
    <reviewItem>
      <errorID>afdc5e5d-ec77-4c83-85d6-781247261895</errorID>
      <errorWord>设</errorWord>
      <group>L1_Word</group>
      <groupName>字词问题</groupName>
      <ability>L2_Typo</ability>
      <abilityName>字词错误</abilityName>
      <candidateList>
        <item>设置</item>
      </candidateList>
      <explain>〈动〉❶设立：这座剧院是为儿童～的。❷安放；安装：～障碍。</explain>
      <paraID>7056CD42</paraID>
      <start>113</start>
      <end>114</end>
      <status>unmodified</status>
      <modifiedWord/>
      <trackRevisions>false</trackRevisions>
    </reviewItem>
    <reviewItem>
      <errorID>04eb1e50-ed54-4de8-928a-7919114f8879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3E005C69</paraID>
      <start>0</start>
      <end>2</end>
      <status>unmodified</status>
      <modifiedWord/>
      <trackRevisions>false</trackRevisions>
    </reviewItem>
    <reviewItem>
      <errorID>d439a0de-ece3-404d-a221-b2748ca08247</errorID>
      <errorWord>既是</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740233E3</paraID>
      <start>110</start>
      <end>112</end>
      <status>unmodified</status>
      <modifiedWord/>
      <trackRevisions>false</trackRevisions>
    </reviewItem>
    <reviewItem>
      <errorID>e2660f5f-8604-4fe2-b7df-d4c33c804fbe</errorID>
      <errorWord>经济的持续</errorWord>
      <group>L1_Word</group>
      <groupName>字词问题</groupName>
      <ability>L2_Typo</ability>
      <abilityName>字词错误</abilityName>
      <candidateList>
        <item>经济的可持续</item>
      </candidateList>
      <explain/>
      <paraID>740233E3</paraID>
      <start>203</start>
      <end>208</end>
      <status>unmodified</status>
      <modifiedWord/>
      <trackRevisions>false</trackRevisions>
    </reviewItem>
    <reviewItem>
      <errorID>93534f8e-8a77-470a-8e7b-2b73a95b084b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7AABC3AC</paraID>
      <start>0</start>
      <end>2</end>
      <status>unmodified</status>
      <modifiedWord/>
      <trackRevisions>false</trackRevisions>
    </reviewItem>
    <reviewItem>
      <errorID>7dce617b-65ad-44bb-ac58-7399677631d0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57BEAC12</paraID>
      <start>0</start>
      <end>2</end>
      <status>unmodified</status>
      <modifiedWord/>
      <trackRevisions>false</trackRevisions>
    </reviewItem>
    <reviewItem>
      <errorID>03e99a29-48db-464c-a3e7-c161013cfdf7</errorID>
      <errorWord>优良品质</errorWord>
      <group>L1_Word</group>
      <groupName>字词问题</groupName>
      <ability>L2_Typo</ability>
      <abilityName>字词错误</abilityName>
      <candidateList>
        <item>优良品种</item>
      </candidateList>
      <explain/>
      <paraID>57BEAC12</paraID>
      <start>6</start>
      <end>10</end>
      <status>unmodified</status>
      <modifiedWord/>
      <trackRevisions>false</trackRevisions>
    </reviewItem>
    <reviewItem>
      <errorID>0d259b11-1f73-4a75-9641-c884a0967d2b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57BEAC12</paraID>
      <start>43</start>
      <end>46</end>
      <status>unmodified</status>
      <modifiedWord/>
      <trackRevisions>false</trackRevisions>
    </reviewItem>
    <reviewItem>
      <errorID>fc62c942-7194-4456-b76f-c215573f0440</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57BEAC12</paraID>
      <start>57</start>
      <end>60</end>
      <status>unmodified</status>
      <modifiedWord/>
      <trackRevisions>false</trackRevisions>
    </reviewItem>
    <reviewItem>
      <errorID>8f99859b-992b-477a-8656-e6b86e7fd427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313F4556</paraID>
      <start>0</start>
      <end>2</end>
      <status>unmodified</status>
      <modifiedWord/>
      <trackRevisions>false</trackRevisions>
    </reviewItem>
    <reviewItem>
      <errorID>574a8549-1a51-4afb-a9c8-c406ba289a55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5B732274</paraID>
      <start>0</start>
      <end>2</end>
      <status>unmodified</status>
      <modifiedWord/>
      <trackRevisions>false</trackRevisions>
    </reviewItem>
    <reviewItem>
      <errorID>252399bf-afa5-4425-aaee-8bf462bbc54f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125BD87A</paraID>
      <start>0</start>
      <end>2</end>
      <status>unmodified</status>
      <modifiedWord/>
      <trackRevisions>false</trackRevisions>
    </reviewItem>
    <reviewItem>
      <errorID>84a246fb-796e-4ff9-91b8-5e4d07ba9383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1F15D9E1</paraID>
      <start>0</start>
      <end>2</end>
      <status>unmodified</status>
      <modifiedWord/>
      <trackRevisions>false</trackRevisions>
    </reviewItem>
    <reviewItem>
      <errorID>a22d13ad-06bc-455a-a271-2d53b4073383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E67FB81</paraID>
      <start>0</start>
      <end>2</end>
      <status>unmodified</status>
      <modifiedWord/>
      <trackRevisions>false</trackRevisions>
    </reviewItem>
    <reviewItem>
      <errorID>c00994fa-73b3-4262-a6ed-7441acf66231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7E0A1D3C</paraID>
      <start>19</start>
      <end>22</end>
      <status>unmodified</status>
      <modifiedWord/>
      <trackRevisions>false</trackRevisions>
    </reviewItem>
    <reviewItem>
      <errorID>5de10799-eb72-44d2-8aa4-45f03ca5cbf8</errorID>
      <errorWord>”</errorWord>
      <group>L1_Punc</group>
      <groupName>标点问题</groupName>
      <ability>L2_Punc_CN</ability>
      <abilityName>标点符号问题</abilityName>
      <candidateList>
        <item>“</item>
      </candidateList>
      <explain>注意检查双引号的方向是否正确。</explain>
      <paraID>7E0A1D3C</paraID>
      <start>67</start>
      <end>68</end>
      <status>unmodified</status>
      <modifiedWord/>
      <trackRevisions>false</trackRevisions>
    </reviewItem>
    <reviewItem>
      <errorID>c2987020-8ffc-4616-91a0-ba6d1480519a</errorID>
      <errorWord>三农”问题</errorWord>
      <group>L1_Political</group>
      <groupName>政治性问题</groupName>
      <ability>L2_Keyword</ability>
      <abilityName>固定表述</abilityName>
      <candidateList>
        <item>“三农”问题</item>
      </candidateList>
      <explain>注意检查当前固定表述标点是否使用规范。</explain>
      <paraID>7E0A1D3C</paraID>
      <start>68</start>
      <end>73</end>
      <status>unmodified</status>
      <modifiedWord/>
      <trackRevisions>false</trackRevisions>
    </reviewItem>
    <reviewItem>
      <errorID>b61a2b39-6493-4acf-8509-590fbd1877f5</errorID>
      <errorWord>最小</errorWord>
      <group>L1_Word</group>
      <groupName>字词问题</groupName>
      <ability>L2_Typo</ability>
      <abilityName>字词错误</abilityName>
      <candidateList>
        <item>最低</item>
      </candidateList>
      <explain/>
      <paraID> B3A2856</paraID>
      <start>51</start>
      <end>53</end>
      <status>unmodified</status>
      <modifiedWord/>
      <trackRevisions>false</trackRevisions>
    </reviewItem>
    <reviewItem>
      <errorID>127da363-db74-40e4-97a4-0cf3bfc04bb7</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3676963D</paraID>
      <start>8</start>
      <end>11</end>
      <status>unmodified</status>
      <modifiedWord/>
      <trackRevisions>false</trackRevisions>
    </reviewItem>
    <reviewItem>
      <errorID>03d8d4e4-6ae9-4632-b5c8-c982104e2d88</errorID>
      <errorWord>”</errorWord>
      <group>L1_Punc</group>
      <groupName>标点问题</groupName>
      <ability>L2_Punc_CN</ability>
      <abilityName>标点符号问题</abilityName>
      <candidateList>
        <item>“</item>
      </candidateList>
      <explain>注意检查双引号的方向是否正确。</explain>
      <paraID>3676963D</paraID>
      <start>22</start>
      <end>23</end>
      <status>unmodified</status>
      <modifiedWord/>
      <trackRevisions>false</trackRevisions>
    </reviewItem>
    <reviewItem>
      <errorID>f7452ec6-f96e-44eb-a8b6-d234f29ca3f9</errorID>
      <errorWord>”</errorWord>
      <group>L1_Punc</group>
      <groupName>标点问题</groupName>
      <ability>L2_Punc_CN</ability>
      <abilityName>标点符号问题</abilityName>
      <candidateList>
        <item>“</item>
      </candidateList>
      <explain>注意检查双引号的方向是否正确。</explain>
      <paraID>3676963D</paraID>
      <start>29</start>
      <end>30</end>
      <status>unmodified</status>
      <modifiedWord/>
      <trackRevisions>false</trackRevisions>
    </reviewItem>
    <reviewItem>
      <errorID>eb67d365-2491-4680-82e8-8f7af33ecbed</errorID>
      <errorWord>较</errorWord>
      <group>L1_Word</group>
      <groupName>字词问题</groupName>
      <ability>L2_Typo</ability>
      <abilityName>字词错误</abilityName>
      <candidateList>
        <item>较为</item>
      </candidateList>
      <explain/>
      <paraID>3676963D</paraID>
      <start>166</start>
      <end>167</end>
      <status>unmodified</status>
      <modifiedWord/>
      <trackRevisions>false</trackRevisions>
    </reviewItem>
    <reviewItem>
      <errorID>b68ed9ce-a85c-41d8-ae05-57149949a38e</errorID>
      <errorWord>又</errorWord>
      <group>L1_Word</group>
      <groupName>字词问题</groupName>
      <ability>L2_Typo</ability>
      <abilityName>字词错误</abilityName>
      <candidateList>
        <item>有</item>
      </candidateList>
      <explain>存在发音相同字词的误用。</explain>
      <paraID>34093434</paraID>
      <start>58</start>
      <end>59</end>
      <status>unmodified</status>
      <modifiedWord/>
      <trackRevisions>false</trackRevisions>
    </reviewItem>
    <reviewItem>
      <errorID>7adf138c-0dbf-463a-9a07-800905bceb93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2E3BEE14</paraID>
      <start>97</start>
      <end>98</end>
      <status>unmodified</status>
      <modifiedWord/>
      <trackRevisions>false</trackRevisions>
    </reviewItem>
    <reviewItem>
      <errorID>f43bee8a-0703-4301-a87e-15e99ced65b8</errorID>
      <errorWord>~</errorWord>
      <group>L1_Format</group>
      <groupName>格式问题</groupName>
      <ability>L2_HalfPunc_CN</ability>
      <abilityName>全半角问题</abilityName>
      <candidateList>
        <item>～</item>
      </candidateList>
      <explain>文本全半角错误。</explain>
      <paraID>2E3BEE14</paraID>
      <start>236</start>
      <end>237</end>
      <status>unmodified</status>
      <modifiedWord/>
      <trackRevisions>false</trackRevisions>
    </reviewItem>
    <reviewItem>
      <errorID>6559e5a8-b33a-4239-bb0e-051f60cf1847</errorID>
      <errorWord>”</errorWord>
      <group>L1_Punc</group>
      <groupName>标点问题</groupName>
      <ability>L2_Punc_CN</ability>
      <abilityName>标点符号问题</abilityName>
      <candidateList>
        <item>“</item>
      </candidateList>
      <explain>注意检查双引号的方向是否正确。</explain>
      <paraID>4EDD5D6E</paraID>
      <start>61</start>
      <end>62</end>
      <status>unmodified</status>
      <modifiedWord/>
      <trackRevisions>false</trackRevisions>
    </reviewItem>
    <reviewItem>
      <errorID>877644ff-85bb-439f-b28f-4a2c5f90f97d</errorID>
      <errorWord>十分巨大</errorWord>
      <group>L1_Grammar</group>
      <groupName>语法问题</groupName>
      <ability>L2_Grammar</ability>
      <abilityName>语法错误</abilityName>
      <candidateList>
        <item>巨大</item>
      </candidateList>
      <explain>该表达中的“十分巨大”存在语义重复。【词汇解析】巨大：是指尺寸、体积或容积的极其大的；谓庞大之物。很大。十分：非常，表示程度相当高。与“巨大”有语义上的重复。</explain>
      <paraID>4EDD5D6E</paraID>
      <start>82</start>
      <end>86</end>
      <status>unmodified</status>
      <modifiedWord/>
      <trackRevisions>false</trackRevisions>
    </reviewItem>
    <reviewItem>
      <errorID>a0d0f831-7617-4c2f-82a2-7fb16b9f407a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436D6CDD</paraID>
      <start>0</start>
      <end>2</end>
      <status>unmodified</status>
      <modifiedWord/>
      <trackRevisions>false</trackRevisions>
    </reviewItem>
    <reviewItem>
      <errorID>afd8b299-cf21-4400-ad3b-ca88b8c589dd</errorID>
      <errorWord>拟定</errorWord>
      <group>L1_Word</group>
      <groupName>字词问题</groupName>
      <ability>L2_Typo</ability>
      <abilityName>字词错误</abilityName>
      <candidateList>
        <item>拟</item>
      </candidateList>
      <explain/>
      <paraID>166F06C7</paraID>
      <start>78</start>
      <end>80</end>
      <status>unmodified</status>
      <modifiedWord/>
      <trackRevisions>false</trackRevisions>
    </reviewItem>
    <reviewItem>
      <errorID>0b35a6eb-f8cd-4d02-91ec-fa7bbc11c150</errorID>
      <errorWord>制定出</errorWord>
      <group>L1_Word</group>
      <groupName>字词问题</groupName>
      <ability>L2_Typo</ability>
      <abilityName>字词错误</abilityName>
      <candidateList>
        <item>制定</item>
      </candidateList>
      <explain>〈动〉定出（法律、规程、政策等）：～宪法｜～学会章程。</explain>
      <paraID>166F06C7</paraID>
      <start>112</start>
      <end>115</end>
      <status>unmodified</status>
      <modifiedWord/>
      <trackRevisions>false</trackRevisions>
    </reviewItem>
    <reviewItem>
      <errorID>a4a91975-51f3-4482-b0ed-3921273c0669</errorID>
      <errorWord>”</errorWord>
      <group>L1_Punc</group>
      <groupName>标点问题</groupName>
      <ability>L2_Punc_CN</ability>
      <abilityName>标点符号问题</abilityName>
      <candidateList>
        <item>“</item>
      </candidateList>
      <explain>注意检查双引号的方向是否正确。</explain>
      <paraID>166F06C7</paraID>
      <start>212</start>
      <end>213</end>
      <status>unmodified</status>
      <modifiedWord/>
      <trackRevisions>false</trackRevisions>
    </reviewItem>
    <reviewItem>
      <errorID>7d519c4f-993b-4437-b735-a28d8263598b</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5032A222</paraID>
      <start>17</start>
      <end>20</end>
      <status>unmodified</status>
      <modifiedWord/>
      <trackRevisions>false</trackRevisions>
    </reviewItem>
    <reviewItem>
      <errorID>a1ba09f4-9073-4826-b57d-45c6c0997f29</errorID>
      <errorWord>”</errorWord>
      <group>L1_Punc</group>
      <groupName>标点问题</groupName>
      <ability>L2_Punc_CN</ability>
      <abilityName>标点符号问题</abilityName>
      <candidateList>
        <item>“</item>
      </candidateList>
      <explain>注意检查双引号的方向是否正确。</explain>
      <paraID>123B27B0</paraID>
      <start>36</start>
      <end>37</end>
      <status>unmodified</status>
      <modifiedWord/>
      <trackRevisions>false</trackRevisions>
    </reviewItem>
    <reviewItem>
      <errorID>f24a61c8-8b6d-422e-af21-ada606c5fa38</errorID>
      <errorWord>”</errorWord>
      <group>L1_Punc</group>
      <groupName>标点问题</groupName>
      <ability>L2_Punc_CN</ability>
      <abilityName>标点符号问题</abilityName>
      <candidateList>
        <item>“</item>
      </candidateList>
      <explain>注意检查双引号的方向是否正确。</explain>
      <paraID> 1FC8B01</paraID>
      <start>3</start>
      <end>4</end>
      <status>unmodified</status>
      <modifiedWord/>
      <trackRevisions>false</trackRevisions>
    </reviewItem>
    <reviewItem>
      <errorID>5c33e8b8-ebdb-4d95-a89d-15729ffbbdd5</errorID>
      <errorWord>-</errorWord>
      <group>L1_Format</group>
      <groupName>格式问题</groupName>
      <ability>L2_HalfPunc_CN</ability>
      <abilityName>全半角问题</abilityName>
      <candidateList>
        <item>－</item>
      </candidateList>
      <explain>文本全半角错误。</explain>
      <paraID>5B704ECD</paraID>
      <start>49</start>
      <end>50</end>
      <status>unmodified</status>
      <modifiedWord/>
      <trackRevisions>false</trackRevisions>
    </reviewItem>
    <reviewItem>
      <errorID>61f88735-0849-433c-aca8-3f0422be6fc5</errorID>
      <errorWord>和台帐</errorWord>
      <group>L1_Word</group>
      <groupName>字词问题</groupName>
      <ability>L2_Alias</ability>
      <abilityName>也作/曾用词</abilityName>
      <candidateList>
        <item>和台账</item>
      </candidateList>
      <explain>词汇[和台帐]为不规范表述或旧称，其规范书面表述为[和台账]。</explain>
      <paraID>57C055BD</paraID>
      <start>37</start>
      <end>40</end>
      <status>unmodified</status>
      <modifiedWord/>
      <trackRevisions>false</trackRevisions>
    </reviewItem>
    <reviewItem>
      <errorID>cec96af5-ed5f-4bd0-ac5c-6725c914a767</errorID>
      <errorWord>台帐</errorWord>
      <group>L1_Word</group>
      <groupName>字词问题</groupName>
      <ability>L2_Typo</ability>
      <abilityName>字词错误</abilityName>
      <candidateList>
        <item>台账</item>
      </candidateList>
      <explain>存在发音相同字词的误用。</explain>
      <paraID>57C055BD</paraID>
      <start>58</start>
      <end>60</end>
      <status>unmodified</status>
      <modifiedWord/>
      <trackRevisions>false</trackRevisions>
    </reviewItem>
    <reviewItem>
      <errorID>fbf0b014-fef8-4143-bc4b-cd91733f4f14</errorID>
      <errorWord>台帐</errorWord>
      <group>L1_Word</group>
      <groupName>字词问题</groupName>
      <ability>L2_Typo</ability>
      <abilityName>字词错误</abilityName>
      <candidateList>
        <item>台账</item>
      </candidateList>
      <explain>存在发音相同字词的误用。</explain>
      <paraID>57C055BD</paraID>
      <start>71</start>
      <end>73</end>
      <status>unmodified</status>
      <modifiedWord/>
      <trackRevisions>false</trackRevisions>
    </reviewItem>
    <reviewItem>
      <errorID>81789371-5018-48ba-b989-841a0e8c8c62</errorID>
      <errorWord>使用台帐</errorWord>
      <group>L1_Word</group>
      <groupName>字词问题</groupName>
      <ability>L2_Alias</ability>
      <abilityName>也作/曾用词</abilityName>
      <candidateList>
        <item>使用台账</item>
      </candidateList>
      <explain>词汇[使用台帐]为不规范表述或旧称，其规范书面表述为[使用台账]。</explain>
      <paraID>57C055BD</paraID>
      <start>79</start>
      <end>83</end>
      <status>unmodified</status>
      <modifiedWord/>
      <trackRevisions>false</trackRevisions>
    </reviewItem>
    <reviewItem>
      <errorID>9d370dcf-5429-4e62-b3f3-1ba88f40fdc9</errorID>
      <errorWord>台帐及</errorWord>
      <group>L1_Word</group>
      <groupName>字词问题</groupName>
      <ability>L2_Alias</ability>
      <abilityName>也作/曾用词</abilityName>
      <candidateList>
        <item>台账及</item>
      </candidateList>
      <explain>词汇[台帐及]为不规范表述或旧称，其规范书面表述为[台账及]。</explain>
      <paraID>57C055BD</paraID>
      <start>108</start>
      <end>111</end>
      <status>unmodified</status>
      <modifiedWord/>
      <trackRevisions>false</trackRevisions>
    </reviewItem>
    <reviewItem>
      <errorID>f8d8083f-9cf4-4cb7-897b-043377452e4f</errorID>
      <errorWord>管理台帐</errorWord>
      <group>L1_Word</group>
      <groupName>字词问题</groupName>
      <ability>L2_Alias</ability>
      <abilityName>也作/曾用词</abilityName>
      <candidateList>
        <item>管理台账</item>
      </candidateList>
      <explain>词汇[管理台帐]为不规范表述或旧称，其规范书面表述为[管理台账]。</explain>
      <paraID>4ED25690</paraID>
      <start>152</start>
      <end>156</end>
      <status>unmodified</status>
      <modifiedWord/>
      <trackRevisions>false</trackRevisions>
    </reviewItem>
    <reviewItem>
      <errorID>93b3062e-c6e7-43bd-9c0e-a04397a4c134</errorID>
      <errorWord>台帐及</errorWord>
      <group>L1_Word</group>
      <groupName>字词问题</groupName>
      <ability>L2_Alias</ability>
      <abilityName>也作/曾用词</abilityName>
      <candidateList>
        <item>台账及</item>
      </candidateList>
      <explain>词汇[台帐及]为不规范表述或旧称，其规范书面表述为[台账及]。</explain>
      <paraID>49C8FF54</paraID>
      <start>52</start>
      <end>55</end>
      <status>unmodified</status>
      <modifiedWord/>
      <trackRevisions>false</trackRevisions>
    </reviewItem>
    <reviewItem>
      <errorID>150125f8-11b0-4292-af0f-32d68af7ad69</errorID>
      <errorWord>提高</errorWord>
      <group>L1_Grammar</group>
      <groupName>语法问题</groupName>
      <ability>L2_Grammar</ability>
      <abilityName>语法错误</abilityName>
      <candidateList>
        <item>增强</item>
      </candidateList>
      <explain>“提高～意识”搭配不当，建议修改为“增强～意识”。</explain>
      <paraID>6AD1F1D6</paraID>
      <start>10</start>
      <end>12</end>
      <status>unmodified</status>
      <modifiedWord/>
      <trackRevisions>false</trackRevisions>
    </reviewItem>
    <reviewItem>
      <errorID>bdebb199-376f-4e72-a2aa-1fed3e1523c2</errorID>
      <errorWord>岗位实责</errorWord>
      <group>L1_Word</group>
      <groupName>字词问题</groupName>
      <ability>L2_Typo</ability>
      <abilityName>字词错误</abilityName>
      <candidateList>
        <item>岗位职责</item>
      </candidateList>
      <explain>存在发音相近字词的误用。</explain>
      <paraID>6AD1F1D6</paraID>
      <start>58</start>
      <end>62</end>
      <status>unmodified</status>
      <modifiedWord/>
      <trackRevisions>false</trackRevisions>
    </reviewItem>
    <reviewItem>
      <errorID>9966111b-b174-4c0b-b097-5f5e9312087c</errorID>
      <errorWord>环境的</errorWord>
      <group>L1_Word</group>
      <groupName>字词问题</groupName>
      <ability>L2_Typo</ability>
      <abilityName>字词错误</abilityName>
      <candidateList>
        <item>环境</item>
      </candidateList>
      <explain>〈名〉❶周围的地方：～优美｜～卫生。❷周围的情况和条件：客观～｜工作～。</explain>
      <paraID>47121DC2</paraID>
      <start>8</start>
      <end>11</end>
      <status>unmodified</status>
      <modifiedWord/>
      <trackRevisions>false</trackRevisions>
    </reviewItem>
    <reviewItem>
      <errorID>39fc2fdf-03b1-456a-97b7-8ff933a9d35f</errorID>
      <errorWord>”</errorWord>
      <group>L1_Punc</group>
      <groupName>标点问题</groupName>
      <ability>L2_Punc_CN</ability>
      <abilityName>标点符号问题</abilityName>
      <candidateList>
        <item>“</item>
      </candidateList>
      <explain>注意检查双引号的方向是否正确。</explain>
      <paraID>5BD1DE3F</paraID>
      <start>40</start>
      <end>41</end>
      <status>unmodified</status>
      <modifiedWord/>
      <trackRevisions>false</trackRevisions>
    </reviewItem>
    <reviewItem>
      <errorID>5c25ceba-7e1c-4a37-950c-fab4b2d31d66</errorID>
      <errorWord>纳入到</errorWord>
      <group>L1_Word</group>
      <groupName>字词问题</groupName>
      <ability>L2_Typo</ability>
      <abilityName>字词错误</abilityName>
      <candidateList>
        <item>纳入</item>
      </candidateList>
      <explain>〈动〉放进；归入（多用于抽象事物）：～正轨｜～计划。</explain>
      <paraID>5F7B843E</paraID>
      <start>21</start>
      <end>24</end>
      <status>unmodified</status>
      <modifiedWord/>
      <trackRevisions>false</trackRevisions>
    </reviewItem>
    <reviewItem>
      <errorID>c1205d75-8689-4e6c-bba3-0e509ca1289e</errorID>
      <errorWord>生</errorWord>
      <group>L1_Word</group>
      <groupName>字词问题</groupName>
      <ability>L2_Typo</ability>
      <abilityName>字词错误</abilityName>
      <candidateList>
        <item>生的</item>
      </candidateList>
      <explain/>
      <paraID> 3469D82</paraID>
      <start>16</start>
      <end>17</end>
      <status>unmodified</status>
      <modifiedWord/>
      <trackRevisions>false</trackRevisions>
    </reviewItem>
    <reviewItem>
      <errorID>2f806f0a-ace6-46ac-8979-5c2d25da4b55</errorID>
      <errorWord>一段时期</errorWord>
      <group>L1_Word</group>
      <groupName>字词问题</groupName>
      <ability>L2_Typo</ability>
      <abilityName>字词错误</abilityName>
      <candidateList>
        <item>一段时间</item>
      </candidateList>
      <explain/>
      <paraID>335A1257</paraID>
      <start>47</start>
      <end>51</end>
      <status>unmodified</status>
      <modifiedWord/>
      <trackRevisions>false</trackRevisions>
    </reviewItem>
    <reviewItem>
      <errorID>cb32f312-9336-44ff-8b8e-0a30cd2e606e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3502C5C8</paraID>
      <start>28</start>
      <end>29</end>
      <status>unmodified</status>
      <modifiedWord/>
      <trackRevisions>false</trackRevisions>
    </reviewItem>
    <reviewItem>
      <errorID>f7450ba2-cc55-4465-a5bf-8d9c5c110d2b</errorID>
      <errorWord>”</errorWord>
      <group>L1_Punc</group>
      <groupName>标点问题</groupName>
      <ability>L2_Punc_CN</ability>
      <abilityName>标点符号问题</abilityName>
      <candidateList>
        <item>“</item>
      </candidateList>
      <explain>注意检查双引号的方向是否正确。</explain>
      <paraID>25E09B23</paraID>
      <start>12</start>
      <end>13</end>
      <status>unmodified</status>
      <modifiedWord/>
      <trackRevisions>false</trackRevisions>
    </reviewItem>
    <reviewItem>
      <errorID>19868d7b-fd43-4fbd-99e2-dd4bb12754c6</errorID>
      <errorWord>”</errorWord>
      <group>L1_Punc</group>
      <groupName>标点问题</groupName>
      <ability>L2_Punc_CN</ability>
      <abilityName>标点符号问题</abilityName>
      <candidateList>
        <item>“</item>
      </candidateList>
      <explain>注意检查双引号的方向是否正确。</explain>
      <paraID>385FC0C5</paraID>
      <start>124</start>
      <end>125</end>
      <status>unmodified</status>
      <modifiedWord/>
      <trackRevisions>false</trackRevisions>
    </reviewItem>
    <reviewItem>
      <errorID>aeae304b-01ad-439c-b47b-bf24b2fe1d21</errorID>
      <errorWord>制</errorWord>
      <group>L1_Word</group>
      <groupName>字词问题</groupName>
      <ability>L2_Typo</ability>
      <abilityName>字词错误</abilityName>
      <candidateList>
        <item>制度</item>
      </candidateList>
      <explain/>
      <paraID>3D037F2C</paraID>
      <start>18</start>
      <end>19</end>
      <status>unmodified</status>
      <modifiedWord/>
      <trackRevisions>false</trackRevisions>
    </reviewItem>
    <reviewItem>
      <errorID>f0ccbfdd-564e-46c2-8081-823ffd721b8f</errorID>
      <errorWord>[2017]84号</errorWord>
      <group>L1_Knowledge</group>
      <groupName>知识性问题</groupName>
      <ability>L2_Knowledge</ability>
      <abilityName>其他知识</abilityName>
      <candidateList>
        <item>〔2017〕84号</item>
      </candidateList>
      <explain>发文字号格式错误。</explain>
      <paraID>59D88978</paraID>
      <start>6</start>
      <end>15</end>
      <status>modified</status>
      <modifiedWord>〔2017〕84号</modifiedWord>
      <trackRevisions>false</trackRevisions>
    </reviewItem>
    <reviewItem>
      <errorID>b292d34e-1fa5-4d25-b068-abe72fac228d</errorID>
      <errorWord>制</errorWord>
      <group>L1_Word</group>
      <groupName>字词问题</groupName>
      <ability>L2_Typo</ability>
      <abilityName>字词错误</abilityName>
      <candidateList>
        <item>制度</item>
      </candidateList>
      <explain/>
      <paraID>59D88978</paraID>
      <start>124</start>
      <end>125</end>
      <status>unmodified</status>
      <modifiedWord/>
      <trackRevisions>false</trackRevisions>
    </reviewItem>
    <reviewItem>
      <errorID>6448c4b6-ebd7-4873-b769-3ffcfa573d7c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457BBFAF</paraID>
      <start>0</start>
      <end>2</end>
      <status>unmodified</status>
      <modifiedWord/>
      <trackRevisions>false</trackRevisions>
    </reviewItem>
    <reviewItem>
      <errorID>8a38a6b6-7d94-4aa7-804d-8eccb03c7b0a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B4AF79A</paraID>
      <start>0</start>
      <end>2</end>
      <status>unmodified</status>
      <modifiedWord/>
      <trackRevisions>false</trackRevisions>
    </reviewItem>
    <reviewItem>
      <errorID>db8821e4-1c02-48b4-a73c-e155ac1c8416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698A2B69</paraID>
      <start>0</start>
      <end>2</end>
      <status>unmodified</status>
      <modifiedWord/>
      <trackRevisions>false</trackRevisions>
    </reviewItem>
    <reviewItem>
      <errorID>7ccd4236-3834-41c3-9ccb-8a71b44e1fac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159802E7</paraID>
      <start>0</start>
      <end>2</end>
      <status>unmodified</status>
      <modifiedWord/>
      <trackRevisions>false</trackRevisions>
    </reviewItem>
    <reviewItem>
      <errorID>67e68207-01c3-437f-b3eb-9347a7cf6b8c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E4CD149</paraID>
      <start>0</start>
      <end>2</end>
      <status>unmodified</status>
      <modifiedWord/>
      <trackRevisions>false</trackRevisions>
    </reviewItem>
    <reviewItem>
      <errorID>273c4c7b-a231-4617-bfb4-6c341b96a0de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24460631</paraID>
      <start>0</start>
      <end>2</end>
      <status>unmodified</status>
      <modifiedWord/>
      <trackRevisions>false</trackRevisions>
    </reviewItem>
    <reviewItem>
      <errorID>04d190c7-9c28-4257-8f58-b9a01c012c76</errorID>
      <errorWord>如若</errorWord>
      <group>L1_Word</group>
      <groupName>字词问题</groupName>
      <ability>L2_Typo</ability>
      <abilityName>字词错误</abilityName>
      <candidateList>
        <item>若</item>
      </candidateList>
      <explain/>
      <paraID>77F6C8F6</paraID>
      <start>0</start>
      <end>2</end>
      <status>unmodified</status>
      <modifiedWord/>
      <trackRevisions>false</trackRevisions>
    </reviewItem>
    <reviewItem>
      <errorID>78d87206-c861-42e8-b967-226051ecd2bf</errorID>
      <errorWord>法律、法规</errorWord>
      <group>L1_Word</group>
      <groupName>字词问题</groupName>
      <ability>L2_Typo</ability>
      <abilityName>字词错误</abilityName>
      <candidateList>
        <item>法律法规</item>
      </candidateList>
      <explain/>
      <paraID>70FCB269</paraID>
      <start>11</start>
      <end>16</end>
      <status>unmodified</status>
      <modifiedWord/>
      <trackRevisions>false</trackRevisions>
    </reviewItem>
    <reviewItem>
      <errorID>a5d7d7d8-babd-499d-9e27-e14acf4e593e</errorID>
      <errorWord>”</errorWord>
      <group>L1_Punc</group>
      <groupName>标点问题</groupName>
      <ability>L2_Punc_CN</ability>
      <abilityName>标点符号问题</abilityName>
      <candidateList>
        <item>“</item>
      </candidateList>
      <explain>注意检查双引号的方向是否正确。</explain>
      <paraID>367D5DF3</paraID>
      <start>9</start>
      <end>10</end>
      <status>unmodified</status>
      <modifiedWord/>
      <trackRevisions>false</trackRevisions>
    </reviewItem>
    <reviewItem>
      <errorID>065d14c5-2a0c-4ab7-b6ad-7b2fdd8e3a31</errorID>
      <errorWord>”</errorWord>
      <group>L1_Punc</group>
      <groupName>标点问题</groupName>
      <ability>L2_Punc_CN</ability>
      <abilityName>标点符号问题</abilityName>
      <candidateList>
        <item>“</item>
      </candidateList>
      <explain>注意检查双引号的方向是否正确。</explain>
      <paraID>3F26384F</paraID>
      <start>45</start>
      <end>46</end>
      <status>unmodified</status>
      <modifiedWord/>
      <trackRevisions>false</trackRevisions>
    </reviewItem>
    <reviewItem>
      <errorID>963fd86c-1416-4e32-b4f0-58104adac7c2</errorID>
      <errorWord>”</errorWord>
      <group>L1_Punc</group>
      <groupName>标点问题</groupName>
      <ability>L2_Punc_CN</ability>
      <abilityName>标点符号问题</abilityName>
      <candidateList>
        <item>“</item>
      </candidateList>
      <explain>注意检查双引号的方向是否正确。</explain>
      <paraID>3F26384F</paraID>
      <start>97</start>
      <end>98</end>
      <status>unmodified</status>
      <modifiedWord/>
      <trackRevisions>false</trackRevisions>
    </reviewItem>
    <reviewItem>
      <errorID>9fb1187f-8717-421c-9e70-322e4a09238e</errorID>
      <errorWord>”</errorWord>
      <group>L1_Punc</group>
      <groupName>标点问题</groupName>
      <ability>L2_Punc_CN</ability>
      <abilityName>标点符号问题</abilityName>
      <candidateList>
        <item>“</item>
      </candidateList>
      <explain>注意检查双引号的方向是否正确。</explain>
      <paraID>5FA2FDA7</paraID>
      <start>13</start>
      <end>14</end>
      <status>unmodified</status>
      <modifiedWord/>
      <trackRevisions>false</trackRevisions>
    </reviewItem>
    <reviewItem>
      <errorID>ce100352-36af-430b-9996-3b944e425752</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48686B58</paraID>
      <start>12</start>
      <end>15</end>
      <status>unmodified</status>
      <modifiedWord/>
      <trackRevisions>false</trackRevisions>
    </reviewItem>
    <reviewItem>
      <errorID>ba357343-6e98-405f-8fa7-3692b16e1140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72E5C9CA</paraID>
      <start>0</start>
      <end>2</end>
      <status>unmodified</status>
      <modifiedWord/>
      <trackRevisions>false</trackRevisions>
    </reviewItem>
    <reviewItem>
      <errorID>6675df58-ea74-4af8-b20d-1783e4f7ccd9</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3B3A9DA5</paraID>
      <start>8</start>
      <end>11</end>
      <status>unmodified</status>
      <modifiedWord/>
      <trackRevisions>false</trackRevisions>
    </reviewItem>
    <reviewItem>
      <errorID>627eac60-d4e0-4a38-858e-b694dba2f1c5</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5221672D</paraID>
      <start>8</start>
      <end>11</end>
      <status>unmodified</status>
      <modifiedWord/>
      <trackRevisions>false</trackRevisions>
    </reviewItem>
    <reviewItem>
      <errorID>9be8c4d9-75c3-4c99-9d45-a898cd48c3fd</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26BB3AAA</paraID>
      <start>15</start>
      <end>18</end>
      <status>unmodified</status>
      <modifiedWord/>
      <trackRevisions>false</trackRevisions>
    </reviewItem>
    <reviewItem>
      <errorID>27eb5e22-04b0-4370-a194-8f96f1b80d28</errorID>
      <errorWord>”</errorWord>
      <group>L1_Punc</group>
      <groupName>标点问题</groupName>
      <ability>L2_Punc_CN</ability>
      <abilityName>标点符号问题</abilityName>
      <candidateList>
        <item>“</item>
      </candidateList>
      <explain>注意检查双引号的方向是否正确。</explain>
      <paraID>67968DCF</paraID>
      <start>39</start>
      <end>40</end>
      <status>unmodified</status>
      <modifiedWord/>
      <trackRevisions>false</trackRevisions>
    </reviewItem>
    <reviewItem>
      <errorID>82e1a21d-96a8-4bea-bb9b-9ecb1ce435e0</errorID>
      <errorWord>”</errorWord>
      <group>L1_Punc</group>
      <groupName>标点问题</groupName>
      <ability>L2_Punc_CN</ability>
      <abilityName>标点符号问题</abilityName>
      <candidateList>
        <item>“</item>
      </candidateList>
      <explain>注意检查双引号的方向是否正确。</explain>
      <paraID>67968DCF</paraID>
      <start>48</start>
      <end>49</end>
      <status>unmodified</status>
      <modifiedWord/>
      <trackRevisions>false</trackRevisions>
    </reviewItem>
    <reviewItem>
      <errorID>c81f346e-5cd3-4b95-8695-6ce22ef6eadd</errorID>
      <errorWord>”</errorWord>
      <group>L1_Punc</group>
      <groupName>标点问题</groupName>
      <ability>L2_Punc_CN</ability>
      <abilityName>标点符号问题</abilityName>
      <candidateList>
        <item>“</item>
      </candidateList>
      <explain>注意检查双引号的方向是否正确。</explain>
      <paraID>67968DCF</paraID>
      <start>57</start>
      <end>58</end>
      <status>unmodified</status>
      <modifiedWord/>
      <trackRevisions>false</trackRevisions>
    </reviewItem>
    <reviewItem>
      <errorID>de20e11a-b994-4516-8d4e-f6e8d9a5bffb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17B2DB8A</paraID>
      <start>35</start>
      <end>38</end>
      <status>unmodified</status>
      <modifiedWord/>
      <trackRevisions>false</trackRevisions>
    </reviewItem>
    <reviewItem>
      <errorID>e4545f5e-b578-4dc5-8cac-9091685e7d49</errorID>
      <errorWord>”</errorWord>
      <group>L1_Punc</group>
      <groupName>标点问题</groupName>
      <ability>L2_Punc_CN</ability>
      <abilityName>标点符号问题</abilityName>
      <candidateList>
        <item>“</item>
      </candidateList>
      <explain>注意检查双引号的方向是否正确。</explain>
      <paraID>17B2DB8A</paraID>
      <start>49</start>
      <end>50</end>
      <status>unmodified</status>
      <modifiedWord/>
      <trackRevisions>false</trackRevisions>
    </reviewItem>
    <reviewItem>
      <errorID>7057ae2a-7428-42ea-b7f7-f88a546bb277</errorID>
      <errorWord>[2010]151号</errorWord>
      <group>L1_Knowledge</group>
      <groupName>知识性问题</groupName>
      <ability>L2_Knowledge</ability>
      <abilityName>其他知识</abilityName>
      <candidateList>
        <item>〔2010〕151号</item>
      </candidateList>
      <explain>发文字号格式错误。</explain>
      <paraID>17B2DB8A</paraID>
      <start>142</start>
      <end>152</end>
      <status>modified</status>
      <modifiedWord>〔2010〕151号</modifiedWord>
      <trackRevisions>false</trackRevisions>
    </reviewItem>
    <reviewItem>
      <errorID>459d4762-7868-4c7a-96c5-aa577a1ef841</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17B2DB8A</paraID>
      <start>187</start>
      <end>190</end>
      <status>unmodified</status>
      <modifiedWord/>
      <trackRevisions>false</trackRevisions>
    </reviewItem>
    <reviewItem>
      <errorID>723c28f9-2c98-41d4-92e3-0430e21e4383</errorID>
      <errorWord>《土壤环境质量农用地土壤污染风险管控标准》（试行）</errorWord>
      <group>L1_Knowledge</group>
      <groupName>知识性问题</groupName>
      <ability>L2_Knowledge</ability>
      <abilityName>其他知识</abilityName>
      <candidateList>
        <item>《土壤环境质量农用地土壤污染风险管控标准（试行）》</item>
      </candidateList>
      <explain>疑似政策文件、法律法规名称等书写不规范，请注意检查。</explain>
      <paraID> 5AB8B44</paraID>
      <start>22</start>
      <end>47</end>
      <status>modified</status>
      <modifiedWord>《土壤环境质量农用地土壤污染风险管控标准（试行）》</modifiedWord>
      <trackRevisions>false</trackRevisions>
    </reviewItem>
    <reviewItem>
      <errorID>3c7fe012-6b63-41d5-bf79-0764812a21b5</errorID>
      <errorWord>其它有毒</errorWord>
      <group>L1_Word</group>
      <groupName>字词问题</groupName>
      <ability>L2_Alias</ability>
      <abilityName>也作/曾用词</abilityName>
      <candidateList>
        <item>其他有毒</item>
      </candidateList>
      <explain>词汇[其它有毒]为不规范表述或旧称，其规范书面表述为[其他有毒]。</explain>
      <paraID>7F9BE8B5</paraID>
      <start>49</start>
      <end>53</end>
      <status>unmodified</status>
      <modifiedWord/>
      <trackRevisions>false</trackRevisions>
    </reviewItem>
    <reviewItem>
      <errorID>48530d22-c632-40ed-9d8a-0ab6f232afb0</errorID>
      <errorWord>最小</errorWord>
      <group>L1_Word</group>
      <groupName>字词问题</groupName>
      <ability>L2_Typo</ability>
      <abilityName>字词错误</abilityName>
      <candidateList>
        <item>最低</item>
      </candidateList>
      <explain/>
      <paraID>7185FEE3</paraID>
      <start>61</start>
      <end>63</end>
      <status>unmodified</status>
      <modifiedWord/>
      <trackRevisions>false</trackRevisions>
    </reviewItem>
    <reviewItem>
      <errorID>48837b1d-b12d-439d-b449-13b68e1d4503</errorID>
      <errorWord>其它有毒</errorWord>
      <group>L1_Word</group>
      <groupName>字词问题</groupName>
      <ability>L2_Alias</ability>
      <abilityName>也作/曾用词</abilityName>
      <candidateList>
        <item>其他有毒</item>
      </candidateList>
      <explain>词汇[其它有毒]为不规范表述或旧称，其规范书面表述为[其他有毒]。</explain>
      <paraID>648411E0</paraID>
      <start>48</start>
      <end>52</end>
      <status>unmodified</status>
      <modifiedWord/>
      <trackRevisions>false</trackRevisions>
    </reviewItem>
    <reviewItem>
      <errorID>06b821c8-8942-4756-a372-bd7f0f55f40b</errorID>
      <errorWord>”</errorWord>
      <group>L1_Punc</group>
      <groupName>标点问题</groupName>
      <ability>L2_Punc_CN</ability>
      <abilityName>标点符号问题</abilityName>
      <candidateList>
        <item>“</item>
      </candidateList>
      <explain>注意检查双引号的方向是否正确。</explain>
      <paraID>6C655A89</paraID>
      <start>187</start>
      <end>188</end>
      <status>unmodified</status>
      <modifiedWord/>
      <trackRevisions>false</trackRevisions>
    </reviewItem>
    <reviewItem>
      <errorID>5e6e0ed6-85a0-435a-a235-ce325c10e44b</errorID>
      <errorWord>进行了的</errorWord>
      <group>L1_Word</group>
      <groupName>字词问题</groupName>
      <ability>L2_Typo</ability>
      <abilityName>字词错误</abilityName>
      <candidateList>
        <item>进行了</item>
      </candidateList>
      <explain/>
      <paraID>172D70A8</paraID>
      <start>36</start>
      <end>40</end>
      <status>unmodified</status>
      <modifiedWord/>
      <trackRevisions>false</trackRevisions>
    </reviewItem>
    <reviewItem>
      <errorID>ff6d1e92-02ee-4780-9d6e-bca9fa6face0</errorID>
      <errorWord>木垒县</errorWord>
      <group>L1_Knowledge</group>
      <groupName>知识性问题</groupName>
      <ability>L2_Location</ability>
      <abilityName>地名检查</abilityName>
      <candidateList>
        <item>木垒哈萨克自治县</item>
      </candidateList>
      <explain>自治区州县缩写不规范。《地名管理条例》第十八条规定，标识牌、公共平台发布的信息、各类公文证件、学习类公开出版物、地图、法律法规规定等场景范围内必须使用标准地名。</explain>
      <paraID>172D70A8</paraID>
      <start>136</start>
      <end>139</end>
      <status>unmodified</status>
      <modifiedWord/>
      <trackRevisions>false</trackRevisions>
    </reviewItem>
    <reviewItem>
      <errorID>2e0f25b7-7c50-4793-95af-080eb9bf39f1</errorID>
      <errorWord>较</errorWord>
      <group>L1_Word</group>
      <groupName>字词问题</groupName>
      <ability>L2_Typo</ability>
      <abilityName>字词错误</abilityName>
      <candidateList>
        <item>较为</item>
      </candidateList>
      <explain/>
      <paraID>5C1B0F51</paraID>
      <start>55</start>
      <end>56</end>
      <status>unmodified</status>
      <modifiedWord/>
      <trackRevisions>false</trackRevisions>
    </reviewItem>
    <reviewItem>
      <errorID>05c84e55-8caa-4ad3-bc8b-6a766ffbfa3a</errorID>
      <errorWord>法律、法规</errorWord>
      <group>L1_Word</group>
      <groupName>字词问题</groupName>
      <ability>L2_Typo</ability>
      <abilityName>字词错误</abilityName>
      <candidateList>
        <item>法律法规</item>
      </candidateList>
      <explain/>
      <paraID>3F3FDD7D</paraID>
      <start>33</start>
      <end>38</end>
      <status>unmodified</status>
      <modifiedWord/>
      <trackRevisions>false</trackRevisions>
    </reviewItem>
    <reviewItem>
      <errorID>1f5a9a7a-7a2f-4d7f-97d4-d6092c835a96</errorID>
      <errorWord>”</errorWord>
      <group>L1_Punc</group>
      <groupName>标点问题</groupName>
      <ability>L2_Punc_CN</ability>
      <abilityName>标点符号问题</abilityName>
      <candidateList>
        <item>“</item>
      </candidateList>
      <explain>注意检查双引号的方向是否正确。</explain>
      <paraID>3F3FDD7D</paraID>
      <start>166</start>
      <end>167</end>
      <status>modified</status>
      <modifiedWord>“</modifiedWord>
      <trackRevisions>false</trackRevisions>
    </reviewItem>
    <reviewItem>
      <errorID>7662ffbf-65e3-49c2-94e2-6d3519b4b344</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3F3FDD7D</paraID>
      <start>167</start>
      <end>173</end>
      <status>modified</status>
      <modifiedWord>“三线一单”</modifiedWord>
      <trackRevisions>false</trackRevisions>
    </reviewItem>
    <reviewItem>
      <errorID>ac41b9f3-a158-405e-9cba-b3b37cd1a0e7</errorID>
      <errorWord>”</errorWord>
      <group>L1_Punc</group>
      <groupName>标点问题</groupName>
      <ability>L2_Punc_CN</ability>
      <abilityName>标点符号问题</abilityName>
      <candidateList>
        <item>“</item>
      </candidateList>
      <explain>注意检查双引号的方向是否正确。</explain>
      <paraID>3F3FDD7D</paraID>
      <start>185</start>
      <end>186</end>
      <status>modified</status>
      <modifiedWord>“</modifiedWord>
      <trackRevisions>false</trackRevisions>
    </reviewItem>
    <reviewItem>
      <errorID>0c3a104d-9941-47ae-9917-b54282a5dc70</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3F3FDD7D</paraID>
      <start>186</start>
      <end>191</end>
      <status>unmodified</status>
      <modifiedWord/>
      <trackRevisions>false</trackRevisions>
    </reviewItem>
    <reviewItem>
      <errorID>3288c414-38c5-40ec-abe7-96bc634444bf</errorID>
      <errorWord>”</errorWord>
      <group>L1_Punc</group>
      <groupName>标点问题</groupName>
      <ability>L2_Punc_CN</ability>
      <abilityName>标点符号问题</abilityName>
      <candidateList>
        <item>“</item>
      </candidateList>
      <explain>注意检查双引号的方向是否正确。</explain>
      <paraID>312669CD</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0D45CB-1165-4CE0-A347-8264E62585EF}">
  <ds:schemaRefs/>
</ds:datastoreItem>
</file>

<file path=customXml/itemProps3.xml><?xml version="1.0" encoding="utf-8"?>
<ds:datastoreItem xmlns:ds="http://schemas.openxmlformats.org/officeDocument/2006/customXml" ds:itemID="{2b20dd56-07c0-4e47-87f4-473026f446a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197</Pages>
  <Words>4785</Words>
  <Characters>5657</Characters>
  <Lines>1335</Lines>
  <Paragraphs>376</Paragraphs>
  <TotalTime>3</TotalTime>
  <ScaleCrop>false</ScaleCrop>
  <LinksUpToDate>false</LinksUpToDate>
  <CharactersWithSpaces>6143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2022-07-14T15:01:00Z</dcterms:created>
  <dc:creator>Zhengjun Guo</dc:creator>
  <cp:lastModifiedBy>孤巷</cp:lastModifiedBy>
  <cp:lastPrinted>2023-10-13T10:20:00Z</cp:lastPrinted>
  <dcterms:modified xsi:type="dcterms:W3CDTF">2026-07-15T04:34:59Z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WinEqns">
    <vt:bool>true</vt:bool>
  </property>
  <property fmtid="{D5CDD505-2E9C-101B-9397-08002B2CF9AE}" pid="3" name="KSOProductBuildVer">
    <vt:lpwstr>2052-12.1.0.26895</vt:lpwstr>
  </property>
  <property fmtid="{D5CDD505-2E9C-101B-9397-08002B2CF9AE}" pid="4" name="ICV">
    <vt:lpwstr>108233E11151453787D720AADBF62EB7_13</vt:lpwstr>
  </property>
  <property fmtid="{D5CDD505-2E9C-101B-9397-08002B2CF9AE}" pid="5" name="KSOTemplateDocerSaveRecord">
    <vt:lpwstr>eyJoZGlkIjoiNGVkYjE0NzljZDM0NGVlNGY2ZTg4MjdmYmU5YjdlMGIiLCJ1c2VySWQiOiI0ODU2NzA3OTIifQ==</vt:lpwstr>
  </property>
</Properties>
</file>